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sz w:val="22"/>
          <w:szCs w:val="22"/>
        </w:rPr>
      </w:pPr>
      <w:r>
        <w:rPr>
          <w:rFonts w:hint="eastAsia" w:ascii="宋体" w:hAnsi="宋体" w:eastAsia="宋体" w:cs="宋体"/>
          <w:b/>
          <w:bCs/>
          <w:sz w:val="36"/>
          <w:szCs w:val="36"/>
          <w:lang w:eastAsia="zh-CN"/>
        </w:rPr>
        <w:t>2024年嵊州市市政基础设施建设工程</w:t>
      </w:r>
      <w:r>
        <w:rPr>
          <w:rFonts w:hint="eastAsia" w:ascii="宋体" w:hAnsi="宋体" w:eastAsia="宋体" w:cs="宋体"/>
          <w:b/>
          <w:bCs/>
          <w:sz w:val="36"/>
          <w:szCs w:val="36"/>
        </w:rPr>
        <w:t>（设计）</w:t>
      </w:r>
    </w:p>
    <w:p>
      <w:pPr>
        <w:spacing w:after="159" w:afterLines="50"/>
        <w:jc w:val="center"/>
        <w:rPr>
          <w:rFonts w:hint="eastAsia" w:ascii="宋体" w:hAnsi="宋体" w:eastAsia="宋体" w:cs="宋体"/>
          <w:b/>
          <w:sz w:val="24"/>
          <w:szCs w:val="24"/>
        </w:rPr>
      </w:pPr>
    </w:p>
    <w:p>
      <w:pPr>
        <w:spacing w:after="159" w:afterLines="50"/>
        <w:jc w:val="center"/>
        <w:rPr>
          <w:rFonts w:hint="eastAsia" w:ascii="宋体" w:hAnsi="宋体" w:eastAsia="宋体" w:cs="宋体"/>
          <w:b/>
          <w:sz w:val="24"/>
          <w:szCs w:val="24"/>
        </w:rPr>
      </w:pPr>
      <w:r>
        <w:rPr>
          <w:rFonts w:hint="eastAsia" w:ascii="宋体" w:hAnsi="宋体" w:eastAsia="宋体" w:cs="宋体"/>
          <w:b/>
          <w:sz w:val="24"/>
          <w:szCs w:val="24"/>
        </w:rPr>
        <w:t>（项目编号：</w:t>
      </w:r>
      <w:r>
        <w:rPr>
          <w:rFonts w:hint="eastAsia" w:ascii="宋体" w:hAnsi="宋体" w:eastAsia="宋体" w:cs="宋体"/>
          <w:b/>
          <w:sz w:val="24"/>
          <w:szCs w:val="24"/>
          <w:lang w:eastAsia="zh-CN"/>
        </w:rPr>
        <w:t>A3306830770000101</w:t>
      </w:r>
      <w:r>
        <w:rPr>
          <w:rFonts w:hint="eastAsia" w:ascii="宋体" w:hAnsi="宋体" w:eastAsia="宋体" w:cs="宋体"/>
          <w:b/>
          <w:sz w:val="24"/>
          <w:szCs w:val="24"/>
        </w:rPr>
        <w:t xml:space="preserve"> ）</w:t>
      </w:r>
    </w:p>
    <w:p>
      <w:pPr>
        <w:jc w:val="center"/>
        <w:rPr>
          <w:rFonts w:hint="eastAsia"/>
          <w:b/>
          <w:bCs/>
          <w:sz w:val="28"/>
          <w:szCs w:val="36"/>
          <w:lang w:val="en-US" w:eastAsia="zh-CN"/>
        </w:rPr>
      </w:pPr>
      <w:r>
        <w:rPr>
          <w:rFonts w:hint="eastAsia"/>
          <w:b/>
          <w:bCs/>
          <w:sz w:val="28"/>
          <w:szCs w:val="36"/>
          <w:lang w:val="en-US" w:eastAsia="zh-CN"/>
        </w:rPr>
        <w:t>1号答疑澄清文件</w:t>
      </w:r>
    </w:p>
    <w:p>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firstLine="442" w:firstLineChars="200"/>
        <w:textAlignment w:val="auto"/>
        <w:rPr>
          <w:rFonts w:hint="eastAsia" w:ascii="宋体" w:hAnsi="宋体" w:cstheme="minorBidi"/>
          <w:b/>
          <w:bCs/>
          <w:kern w:val="2"/>
          <w:sz w:val="22"/>
          <w:szCs w:val="22"/>
          <w:lang w:val="en-US" w:eastAsia="zh-CN" w:bidi="ar-SA"/>
        </w:rPr>
      </w:pPr>
      <w:bookmarkStart w:id="0" w:name="_Toc23184"/>
      <w:bookmarkStart w:id="1" w:name="_Toc32110"/>
      <w:bookmarkStart w:id="2" w:name="_Toc426469048"/>
      <w:bookmarkStart w:id="3" w:name="_Toc15606"/>
      <w:bookmarkStart w:id="4" w:name="_Toc7367"/>
      <w:bookmarkStart w:id="5" w:name="_Toc6321"/>
      <w:bookmarkStart w:id="6" w:name="_Toc8015"/>
      <w:bookmarkStart w:id="7" w:name="_Toc2519"/>
      <w:bookmarkStart w:id="8" w:name="_Toc6672"/>
      <w:bookmarkStart w:id="9" w:name="_Toc318378398"/>
      <w:bookmarkStart w:id="10" w:name="_Toc25035"/>
      <w:bookmarkStart w:id="11" w:name="_Toc318970231"/>
      <w:bookmarkStart w:id="12" w:name="_Toc289433506"/>
      <w:bookmarkStart w:id="13" w:name="_Toc31634"/>
      <w:bookmarkStart w:id="14" w:name="_Toc24101"/>
      <w:bookmarkStart w:id="15" w:name="_Toc19694"/>
      <w:bookmarkStart w:id="16" w:name="_Toc32152"/>
      <w:bookmarkStart w:id="17" w:name="_Toc13652"/>
      <w:r>
        <w:rPr>
          <w:rFonts w:hint="eastAsia" w:ascii="宋体" w:hAnsi="宋体" w:cstheme="minorBidi"/>
          <w:b/>
          <w:bCs/>
          <w:kern w:val="2"/>
          <w:sz w:val="22"/>
          <w:szCs w:val="22"/>
          <w:lang w:val="en-US" w:eastAsia="zh-CN" w:bidi="ar-SA"/>
        </w:rPr>
        <w:t>一、</w:t>
      </w:r>
      <w:r>
        <w:rPr>
          <w:rFonts w:hint="eastAsia" w:ascii="宋体" w:hAnsi="宋体" w:eastAsiaTheme="minorEastAsia" w:cstheme="minorBidi"/>
          <w:b/>
          <w:bCs/>
          <w:kern w:val="2"/>
          <w:sz w:val="22"/>
          <w:szCs w:val="22"/>
          <w:lang w:val="en-US" w:eastAsia="zh-CN" w:bidi="ar-SA"/>
        </w:rPr>
        <w:t>原招标文件中第一章招标公告3.投标人资格要求</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hint="eastAsia" w:ascii="宋体" w:hAnsi="宋体" w:cstheme="minorBidi"/>
          <w:b/>
          <w:bCs/>
          <w:kern w:val="2"/>
          <w:sz w:val="22"/>
          <w:szCs w:val="22"/>
          <w:lang w:val="en-US" w:eastAsia="zh-CN" w:bidi="ar-SA"/>
        </w:rPr>
        <w:t>中：</w:t>
      </w:r>
    </w:p>
    <w:p>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firstLine="440" w:firstLineChars="200"/>
        <w:textAlignment w:val="auto"/>
        <w:rPr>
          <w:rFonts w:hint="default" w:ascii="宋体" w:hAnsi="宋体" w:eastAsiaTheme="minorEastAsia" w:cstheme="minorBidi"/>
          <w:kern w:val="2"/>
          <w:sz w:val="22"/>
          <w:szCs w:val="22"/>
          <w:lang w:val="en-US" w:eastAsia="zh-CN" w:bidi="ar-SA"/>
        </w:rPr>
      </w:pPr>
      <w:r>
        <w:rPr>
          <w:rFonts w:hint="eastAsia" w:ascii="宋体" w:hAnsi="宋体" w:eastAsiaTheme="minorEastAsia" w:cstheme="minorBidi"/>
          <w:kern w:val="2"/>
          <w:sz w:val="22"/>
          <w:szCs w:val="22"/>
          <w:lang w:val="en-US" w:eastAsia="zh-CN" w:bidi="ar-SA"/>
        </w:rPr>
        <w:t>注：拟派项目负责人的电子证书应符合《全国注册建筑师管理委员会关于开展使用一级注册建筑师电子注册证书工作的通知》（注建〔2021〕2 号）文，须在个人签名处手写本人签名。</w:t>
      </w:r>
      <w:r>
        <w:rPr>
          <w:rFonts w:hint="eastAsia" w:ascii="宋体" w:hAnsi="宋体" w:eastAsiaTheme="minorEastAsia" w:cstheme="minorBidi"/>
          <w:b/>
          <w:bCs/>
          <w:kern w:val="2"/>
          <w:sz w:val="22"/>
          <w:szCs w:val="22"/>
          <w:lang w:val="en-US" w:eastAsia="zh-CN" w:bidi="ar-SA"/>
        </w:rPr>
        <w:t>此条款予以取消</w:t>
      </w:r>
      <w:r>
        <w:rPr>
          <w:rFonts w:hint="eastAsia" w:ascii="宋体" w:hAnsi="宋体" w:cstheme="minorBidi"/>
          <w:b/>
          <w:bCs/>
          <w:kern w:val="2"/>
          <w:sz w:val="22"/>
          <w:szCs w:val="22"/>
          <w:lang w:val="en-US" w:eastAsia="zh-CN" w:bidi="ar-SA"/>
        </w:rPr>
        <w:t>。</w:t>
      </w:r>
      <w:r>
        <w:rPr>
          <w:rFonts w:hint="eastAsia" w:ascii="宋体" w:hAnsi="宋体" w:eastAsiaTheme="minorEastAsia" w:cstheme="minorBidi"/>
          <w:b/>
          <w:bCs/>
          <w:kern w:val="2"/>
          <w:sz w:val="22"/>
          <w:szCs w:val="22"/>
          <w:lang w:val="en-US" w:eastAsia="zh-CN" w:bidi="ar-SA"/>
        </w:rPr>
        <w:t>招标文件中关于本条都作相应</w:t>
      </w:r>
      <w:r>
        <w:rPr>
          <w:rFonts w:hint="eastAsia" w:ascii="宋体" w:hAnsi="宋体" w:cstheme="minorBidi"/>
          <w:b/>
          <w:bCs/>
          <w:kern w:val="2"/>
          <w:sz w:val="22"/>
          <w:szCs w:val="22"/>
          <w:lang w:val="en-US" w:eastAsia="zh-CN" w:bidi="ar-SA"/>
        </w:rPr>
        <w:t>取消</w:t>
      </w:r>
      <w:r>
        <w:rPr>
          <w:rFonts w:hint="eastAsia" w:ascii="宋体" w:hAnsi="宋体" w:eastAsiaTheme="minorEastAsia" w:cstheme="minorBidi"/>
          <w:b/>
          <w:bCs/>
          <w:kern w:val="2"/>
          <w:sz w:val="22"/>
          <w:szCs w:val="22"/>
          <w:lang w:val="en-US" w:eastAsia="zh-CN" w:bidi="ar-SA"/>
        </w:rPr>
        <w:t>。</w:t>
      </w:r>
    </w:p>
    <w:p>
      <w:pPr>
        <w:spacing w:line="400" w:lineRule="exact"/>
        <w:ind w:firstLine="442" w:firstLineChars="200"/>
        <w:rPr>
          <w:rFonts w:hint="eastAsia" w:ascii="宋体" w:hAnsi="宋体"/>
          <w:b/>
          <w:bCs/>
          <w:sz w:val="22"/>
          <w:szCs w:val="22"/>
          <w:lang w:val="en-US" w:eastAsia="zh-CN"/>
        </w:rPr>
      </w:pPr>
    </w:p>
    <w:p>
      <w:pPr>
        <w:spacing w:line="400" w:lineRule="exact"/>
        <w:ind w:firstLine="442" w:firstLineChars="200"/>
        <w:rPr>
          <w:rFonts w:hint="eastAsia" w:ascii="宋体" w:hAnsi="宋体" w:eastAsiaTheme="minorEastAsia"/>
          <w:b/>
          <w:bCs/>
          <w:sz w:val="22"/>
          <w:szCs w:val="22"/>
          <w:lang w:eastAsia="zh-CN"/>
        </w:rPr>
      </w:pPr>
      <w:bookmarkStart w:id="18" w:name="_GoBack"/>
      <w:bookmarkEnd w:id="18"/>
      <w:r>
        <w:rPr>
          <w:rFonts w:hint="eastAsia" w:ascii="宋体" w:hAnsi="宋体"/>
          <w:b/>
          <w:bCs/>
          <w:sz w:val="22"/>
          <w:szCs w:val="22"/>
          <w:lang w:val="en-US" w:eastAsia="zh-CN"/>
        </w:rPr>
        <w:t>二、原招标文件中第三章评标、定标办法</w:t>
      </w:r>
      <w:r>
        <w:rPr>
          <w:rFonts w:hint="eastAsia" w:ascii="宋体" w:hAnsi="宋体"/>
          <w:b/>
          <w:bCs/>
          <w:sz w:val="22"/>
          <w:szCs w:val="22"/>
        </w:rPr>
        <w:t>2.2.5商务标评分办法</w:t>
      </w:r>
      <w:r>
        <w:rPr>
          <w:rFonts w:hint="eastAsia" w:ascii="宋体" w:hAnsi="宋体"/>
          <w:b/>
          <w:bCs/>
          <w:sz w:val="22"/>
          <w:szCs w:val="22"/>
          <w:lang w:val="en-US" w:eastAsia="zh-CN"/>
        </w:rPr>
        <w:t>中：</w:t>
      </w:r>
    </w:p>
    <w:p>
      <w:pPr>
        <w:spacing w:line="400" w:lineRule="exact"/>
        <w:ind w:firstLine="440" w:firstLineChars="200"/>
        <w:rPr>
          <w:rFonts w:ascii="宋体" w:hAnsi="宋体"/>
          <w:sz w:val="22"/>
          <w:szCs w:val="22"/>
        </w:rPr>
      </w:pPr>
      <w:r>
        <w:rPr>
          <w:rFonts w:hint="eastAsia" w:ascii="宋体" w:hAnsi="宋体" w:cs="宋体"/>
          <w:sz w:val="22"/>
          <w:szCs w:val="22"/>
          <w:lang w:bidi="ar"/>
        </w:rPr>
        <w:t>1本项目招标人确定的招标控制价为</w:t>
      </w:r>
      <w:r>
        <w:rPr>
          <w:rFonts w:hint="eastAsia" w:ascii="宋体" w:hAnsi="宋体" w:cs="宋体"/>
          <w:b/>
          <w:sz w:val="22"/>
          <w:szCs w:val="22"/>
          <w:u w:val="single"/>
          <w:lang w:eastAsia="zh-CN" w:bidi="ar"/>
        </w:rPr>
        <w:t>122.47</w:t>
      </w:r>
      <w:r>
        <w:rPr>
          <w:rFonts w:hint="eastAsia" w:ascii="宋体" w:hAnsi="宋体" w:cs="宋体"/>
          <w:sz w:val="22"/>
          <w:szCs w:val="22"/>
          <w:lang w:bidi="ar"/>
        </w:rPr>
        <w:t>万元，</w:t>
      </w:r>
      <w:r>
        <w:rPr>
          <w:rFonts w:hint="eastAsia" w:ascii="宋体" w:hAnsi="宋体"/>
          <w:sz w:val="22"/>
          <w:szCs w:val="22"/>
        </w:rPr>
        <w:t>投标人据此进行下浮率报价，设为Xi（Xi最多保留小数点后两位），招标人设定最小下浮率为10%，Xi小于10%的作无效标处理。</w:t>
      </w:r>
    </w:p>
    <w:p>
      <w:pPr>
        <w:spacing w:line="400" w:lineRule="exact"/>
        <w:ind w:firstLine="440" w:firstLineChars="200"/>
        <w:rPr>
          <w:rFonts w:hint="eastAsia" w:ascii="宋体" w:hAnsi="宋体" w:cs="宋体"/>
          <w:sz w:val="22"/>
          <w:szCs w:val="22"/>
        </w:rPr>
      </w:pPr>
      <w:r>
        <w:rPr>
          <w:rFonts w:hint="eastAsia" w:ascii="宋体" w:hAnsi="宋体" w:cs="宋体"/>
          <w:sz w:val="22"/>
          <w:szCs w:val="22"/>
          <w:lang w:bidi="ar"/>
        </w:rPr>
        <w:t>2 投标下浮率报价最多只能精确到小数点后两位，否则作废标处理。投标人投标下浮率，设为Xi。</w:t>
      </w:r>
    </w:p>
    <w:p>
      <w:pPr>
        <w:spacing w:line="400" w:lineRule="exact"/>
        <w:ind w:firstLine="440" w:firstLineChars="200"/>
        <w:rPr>
          <w:rFonts w:hint="eastAsia" w:ascii="宋体" w:hAnsi="宋体" w:cs="宋体"/>
          <w:sz w:val="22"/>
          <w:szCs w:val="22"/>
        </w:rPr>
      </w:pPr>
      <w:r>
        <w:rPr>
          <w:rFonts w:hint="eastAsia" w:ascii="宋体" w:hAnsi="宋体" w:cs="宋体"/>
          <w:sz w:val="22"/>
          <w:szCs w:val="22"/>
          <w:lang w:bidi="ar"/>
        </w:rPr>
        <w:t>3 由招标人代表在10%（含）-15%（含）范围内（各档之间的步长为0.5%），随机抽取二次下浮率，算术平均值作为基准评标下浮率，设为Y。各投标人报价得分计算如下：</w:t>
      </w:r>
    </w:p>
    <w:p>
      <w:pPr>
        <w:spacing w:line="400" w:lineRule="exact"/>
        <w:ind w:firstLine="440" w:firstLineChars="200"/>
        <w:rPr>
          <w:rFonts w:ascii="宋体" w:hAnsi="宋体"/>
          <w:sz w:val="22"/>
          <w:szCs w:val="22"/>
        </w:rPr>
      </w:pPr>
      <w:r>
        <w:rPr>
          <w:rFonts w:hint="eastAsia" w:ascii="宋体" w:hAnsi="宋体"/>
          <w:sz w:val="22"/>
          <w:szCs w:val="22"/>
        </w:rPr>
        <w:t>当Xi＝Y时，得满分；</w:t>
      </w:r>
    </w:p>
    <w:p>
      <w:pPr>
        <w:spacing w:line="400" w:lineRule="exact"/>
        <w:ind w:firstLine="440" w:firstLineChars="200"/>
        <w:rPr>
          <w:rFonts w:ascii="宋体" w:hAnsi="宋体"/>
          <w:sz w:val="22"/>
          <w:szCs w:val="22"/>
        </w:rPr>
      </w:pPr>
      <w:r>
        <w:rPr>
          <w:rFonts w:hint="eastAsia" w:ascii="宋体" w:hAnsi="宋体"/>
          <w:sz w:val="22"/>
          <w:szCs w:val="22"/>
        </w:rPr>
        <w:t>当Xi＞Y时，得分=</w:t>
      </w:r>
      <w:r>
        <w:rPr>
          <w:rFonts w:hint="eastAsia" w:ascii="宋体" w:hAnsi="宋体"/>
          <w:b/>
          <w:sz w:val="22"/>
          <w:szCs w:val="22"/>
          <w:u w:val="single"/>
          <w:lang w:val="en-US" w:eastAsia="zh-CN"/>
        </w:rPr>
        <w:t>2</w:t>
      </w:r>
      <w:r>
        <w:rPr>
          <w:rFonts w:hint="eastAsia" w:ascii="宋体" w:hAnsi="宋体"/>
          <w:b/>
          <w:sz w:val="22"/>
          <w:szCs w:val="22"/>
          <w:u w:val="single"/>
        </w:rPr>
        <w:t>5</w:t>
      </w:r>
      <w:r>
        <w:rPr>
          <w:rFonts w:hint="eastAsia" w:ascii="宋体" w:hAnsi="宋体"/>
          <w:sz w:val="22"/>
          <w:szCs w:val="22"/>
        </w:rPr>
        <w:t>－（Xi－Y）×100×</w:t>
      </w:r>
      <w:r>
        <w:rPr>
          <w:rFonts w:hint="eastAsia" w:ascii="宋体" w:hAnsi="宋体"/>
          <w:sz w:val="22"/>
          <w:szCs w:val="22"/>
          <w:lang w:val="en-US" w:eastAsia="zh-CN"/>
        </w:rPr>
        <w:t>3</w:t>
      </w:r>
      <w:r>
        <w:rPr>
          <w:rFonts w:hint="eastAsia" w:ascii="宋体" w:hAnsi="宋体"/>
          <w:sz w:val="22"/>
          <w:szCs w:val="22"/>
        </w:rPr>
        <w:t>；</w:t>
      </w:r>
    </w:p>
    <w:p>
      <w:pPr>
        <w:spacing w:line="400" w:lineRule="exact"/>
        <w:ind w:firstLine="440" w:firstLineChars="200"/>
        <w:rPr>
          <w:rFonts w:ascii="宋体" w:hAnsi="宋体"/>
          <w:sz w:val="22"/>
          <w:szCs w:val="22"/>
        </w:rPr>
      </w:pPr>
      <w:r>
        <w:rPr>
          <w:rFonts w:hint="eastAsia" w:ascii="宋体" w:hAnsi="宋体"/>
          <w:sz w:val="22"/>
          <w:szCs w:val="22"/>
        </w:rPr>
        <w:t>当Xi＜Y时，得分=</w:t>
      </w:r>
      <w:r>
        <w:rPr>
          <w:rFonts w:hint="eastAsia" w:ascii="宋体" w:hAnsi="宋体"/>
          <w:b/>
          <w:sz w:val="22"/>
          <w:szCs w:val="22"/>
          <w:u w:val="single"/>
          <w:lang w:val="en-US" w:eastAsia="zh-CN"/>
        </w:rPr>
        <w:t>2</w:t>
      </w:r>
      <w:r>
        <w:rPr>
          <w:rFonts w:hint="eastAsia" w:ascii="宋体" w:hAnsi="宋体"/>
          <w:b/>
          <w:sz w:val="22"/>
          <w:szCs w:val="22"/>
          <w:u w:val="single"/>
        </w:rPr>
        <w:t>5</w:t>
      </w:r>
      <w:r>
        <w:rPr>
          <w:rFonts w:hint="eastAsia" w:ascii="宋体" w:hAnsi="宋体"/>
          <w:sz w:val="22"/>
          <w:szCs w:val="22"/>
        </w:rPr>
        <w:t>－（Y－Xi）×100×</w:t>
      </w:r>
      <w:r>
        <w:rPr>
          <w:rFonts w:hint="eastAsia" w:ascii="宋体" w:hAnsi="宋体"/>
          <w:sz w:val="22"/>
          <w:szCs w:val="22"/>
          <w:lang w:val="en-US" w:eastAsia="zh-CN"/>
        </w:rPr>
        <w:t>4</w:t>
      </w:r>
      <w:r>
        <w:rPr>
          <w:rFonts w:hint="eastAsia" w:ascii="宋体" w:hAnsi="宋体"/>
          <w:sz w:val="22"/>
          <w:szCs w:val="22"/>
        </w:rPr>
        <w:t>。</w:t>
      </w:r>
    </w:p>
    <w:p>
      <w:pPr>
        <w:spacing w:line="480" w:lineRule="exact"/>
        <w:ind w:firstLine="440" w:firstLineChars="200"/>
        <w:rPr>
          <w:rFonts w:ascii="宋体" w:hAnsi="宋体"/>
          <w:sz w:val="22"/>
          <w:szCs w:val="22"/>
        </w:rPr>
      </w:pPr>
      <w:r>
        <w:rPr>
          <w:rFonts w:hint="eastAsia" w:ascii="宋体" w:hAnsi="宋体"/>
          <w:sz w:val="22"/>
          <w:szCs w:val="22"/>
        </w:rPr>
        <w:t>4计算投标价得分不足一个百分点时，使用直线插入法计算。得分计算结果精确到小数点后两位，小数点后第三位四舍五入。商务标最低得分为0分。</w:t>
      </w:r>
    </w:p>
    <w:p>
      <w:pPr>
        <w:spacing w:line="480" w:lineRule="exact"/>
        <w:ind w:firstLine="440" w:firstLineChars="200"/>
        <w:rPr>
          <w:rFonts w:ascii="宋体" w:hAnsi="宋体"/>
          <w:sz w:val="22"/>
          <w:szCs w:val="22"/>
        </w:rPr>
      </w:pPr>
      <w:r>
        <w:rPr>
          <w:rFonts w:hint="eastAsia" w:ascii="宋体" w:hAnsi="宋体"/>
          <w:sz w:val="22"/>
          <w:szCs w:val="22"/>
        </w:rPr>
        <w:t>5投标人的投标报价大写数额与小写数额不一致的，以大写数额为准。</w:t>
      </w:r>
    </w:p>
    <w:p>
      <w:pPr>
        <w:adjustRightInd w:val="0"/>
        <w:snapToGrid w:val="0"/>
        <w:spacing w:line="480" w:lineRule="exact"/>
        <w:ind w:firstLine="440" w:firstLineChars="200"/>
        <w:rPr>
          <w:rFonts w:ascii="宋体" w:hAnsi="宋体"/>
          <w:sz w:val="22"/>
          <w:szCs w:val="22"/>
        </w:rPr>
      </w:pPr>
      <w:r>
        <w:rPr>
          <w:rFonts w:hint="eastAsia" w:ascii="宋体" w:hAnsi="宋体"/>
          <w:sz w:val="22"/>
          <w:szCs w:val="22"/>
        </w:rPr>
        <w:t>6商务标评估在技术标评估完成后进行。技术标和商务标评估后的分数相加计算出每一投标人的总得分，计算结果精确到小数点后两位。</w:t>
      </w:r>
    </w:p>
    <w:p>
      <w:pPr>
        <w:widowControl/>
        <w:ind w:firstLine="440" w:firstLineChars="200"/>
        <w:jc w:val="both"/>
        <w:rPr>
          <w:sz w:val="22"/>
          <w:szCs w:val="28"/>
        </w:rPr>
      </w:pPr>
      <w:r>
        <w:rPr>
          <w:rFonts w:hint="eastAsia" w:ascii="宋体" w:hAnsi="宋体"/>
          <w:sz w:val="22"/>
          <w:szCs w:val="22"/>
        </w:rPr>
        <w:t>7如果投标文件实质上不响应招标文件的要求，应作废标处理，并且不允许通过修正或者撤销其不符合要求的差异或保留，使之成为其具有响应性的投标。</w:t>
      </w:r>
    </w:p>
    <w:p>
      <w:pPr>
        <w:pStyle w:val="2"/>
        <w:rPr>
          <w:rFonts w:hint="eastAsia" w:ascii="宋体" w:hAnsi="宋体" w:eastAsiaTheme="minorEastAsia" w:cstheme="minorBidi"/>
          <w:b/>
          <w:bCs/>
          <w:kern w:val="2"/>
          <w:sz w:val="22"/>
          <w:szCs w:val="22"/>
          <w:lang w:val="en-US" w:eastAsia="zh-CN" w:bidi="ar-SA"/>
        </w:rPr>
      </w:pPr>
      <w:r>
        <w:rPr>
          <w:rFonts w:hint="eastAsia" w:ascii="宋体" w:hAnsi="宋体" w:eastAsiaTheme="minorEastAsia" w:cstheme="minorBidi"/>
          <w:b/>
          <w:bCs/>
          <w:kern w:val="2"/>
          <w:sz w:val="24"/>
          <w:szCs w:val="24"/>
          <w:lang w:val="en-US" w:eastAsia="zh-CN" w:bidi="ar-SA"/>
        </w:rPr>
        <w:t>修改为：</w:t>
      </w:r>
    </w:p>
    <w:p>
      <w:pPr>
        <w:spacing w:line="400" w:lineRule="exact"/>
        <w:ind w:firstLine="440" w:firstLineChars="200"/>
        <w:rPr>
          <w:rFonts w:ascii="宋体" w:hAnsi="宋体"/>
          <w:sz w:val="22"/>
          <w:szCs w:val="22"/>
        </w:rPr>
      </w:pPr>
      <w:r>
        <w:rPr>
          <w:rFonts w:hint="eastAsia" w:ascii="宋体" w:hAnsi="宋体" w:cs="宋体"/>
          <w:sz w:val="22"/>
          <w:szCs w:val="22"/>
          <w:lang w:bidi="ar"/>
        </w:rPr>
        <w:t>1本项目招标人确定的招标控制价为</w:t>
      </w:r>
      <w:r>
        <w:rPr>
          <w:rFonts w:hint="eastAsia" w:ascii="宋体" w:hAnsi="宋体" w:cs="宋体"/>
          <w:b/>
          <w:sz w:val="22"/>
          <w:szCs w:val="22"/>
          <w:u w:val="single"/>
          <w:lang w:eastAsia="zh-CN" w:bidi="ar"/>
        </w:rPr>
        <w:t>122.47</w:t>
      </w:r>
      <w:r>
        <w:rPr>
          <w:rFonts w:hint="eastAsia" w:ascii="宋体" w:hAnsi="宋体" w:cs="宋体"/>
          <w:sz w:val="22"/>
          <w:szCs w:val="22"/>
          <w:lang w:bidi="ar"/>
        </w:rPr>
        <w:t>万元，</w:t>
      </w:r>
      <w:r>
        <w:rPr>
          <w:rFonts w:hint="eastAsia" w:ascii="宋体" w:hAnsi="宋体"/>
          <w:sz w:val="22"/>
          <w:szCs w:val="22"/>
        </w:rPr>
        <w:t>投标人据此进行下浮率报价，设为Xi（Xi最多保留小数点后两位），招标人设定最小下浮率为10%，Xi小于10%的作无效标处理。</w:t>
      </w:r>
    </w:p>
    <w:p>
      <w:pPr>
        <w:spacing w:line="400" w:lineRule="exact"/>
        <w:ind w:firstLine="440" w:firstLineChars="200"/>
        <w:rPr>
          <w:rFonts w:hint="eastAsia" w:ascii="宋体" w:hAnsi="宋体" w:cs="宋体"/>
          <w:sz w:val="22"/>
          <w:szCs w:val="22"/>
        </w:rPr>
      </w:pPr>
      <w:r>
        <w:rPr>
          <w:rFonts w:hint="eastAsia" w:ascii="宋体" w:hAnsi="宋体" w:cs="宋体"/>
          <w:sz w:val="22"/>
          <w:szCs w:val="22"/>
          <w:lang w:bidi="ar"/>
        </w:rPr>
        <w:t>2 投标下浮率报价最多只能精确到小数点后两位，否则作废标处理。投标人投标下浮率，设为Xi。</w:t>
      </w:r>
    </w:p>
    <w:p>
      <w:pPr>
        <w:spacing w:line="400" w:lineRule="exact"/>
        <w:ind w:firstLine="440" w:firstLineChars="200"/>
        <w:rPr>
          <w:rFonts w:hint="eastAsia" w:ascii="宋体" w:hAnsi="宋体" w:cs="宋体"/>
          <w:sz w:val="22"/>
          <w:szCs w:val="22"/>
        </w:rPr>
      </w:pPr>
      <w:r>
        <w:rPr>
          <w:rFonts w:hint="eastAsia" w:ascii="宋体" w:hAnsi="宋体" w:cs="宋体"/>
          <w:sz w:val="22"/>
          <w:szCs w:val="22"/>
          <w:lang w:bidi="ar"/>
        </w:rPr>
        <w:t>3 由招标人代表在10%（含）-15%（含）范围内（各档之间的步长为0.5%），随机抽取二次下浮率，算术平均值作为基准评标下浮率，设为Y。各投标人报价得分计算如下：</w:t>
      </w:r>
    </w:p>
    <w:p>
      <w:pPr>
        <w:spacing w:line="400" w:lineRule="exact"/>
        <w:ind w:firstLine="440" w:firstLineChars="200"/>
        <w:rPr>
          <w:rFonts w:ascii="宋体" w:hAnsi="宋体"/>
          <w:sz w:val="22"/>
          <w:szCs w:val="22"/>
        </w:rPr>
      </w:pPr>
      <w:r>
        <w:rPr>
          <w:rFonts w:hint="eastAsia" w:ascii="宋体" w:hAnsi="宋体"/>
          <w:sz w:val="22"/>
          <w:szCs w:val="22"/>
        </w:rPr>
        <w:t>当Xi＝Y时，得满分；</w:t>
      </w:r>
    </w:p>
    <w:p>
      <w:pPr>
        <w:spacing w:line="400" w:lineRule="exact"/>
        <w:ind w:firstLine="442" w:firstLineChars="200"/>
        <w:rPr>
          <w:rFonts w:ascii="宋体" w:hAnsi="宋体"/>
          <w:b/>
          <w:bCs/>
          <w:sz w:val="22"/>
          <w:szCs w:val="22"/>
        </w:rPr>
      </w:pPr>
      <w:r>
        <w:rPr>
          <w:rFonts w:hint="eastAsia" w:ascii="宋体" w:hAnsi="宋体"/>
          <w:b/>
          <w:bCs/>
          <w:sz w:val="22"/>
          <w:szCs w:val="22"/>
        </w:rPr>
        <w:t>当Xi＞Y时，得分=</w:t>
      </w:r>
      <w:r>
        <w:rPr>
          <w:rFonts w:hint="eastAsia" w:ascii="宋体" w:hAnsi="宋体"/>
          <w:b/>
          <w:bCs/>
          <w:sz w:val="22"/>
          <w:szCs w:val="22"/>
          <w:u w:val="single"/>
          <w:lang w:val="en-US" w:eastAsia="zh-CN"/>
        </w:rPr>
        <w:t>2</w:t>
      </w:r>
      <w:r>
        <w:rPr>
          <w:rFonts w:hint="eastAsia" w:ascii="宋体" w:hAnsi="宋体"/>
          <w:b/>
          <w:bCs/>
          <w:sz w:val="22"/>
          <w:szCs w:val="22"/>
          <w:u w:val="single"/>
        </w:rPr>
        <w:t>5</w:t>
      </w:r>
      <w:r>
        <w:rPr>
          <w:rFonts w:hint="eastAsia" w:ascii="宋体" w:hAnsi="宋体"/>
          <w:b/>
          <w:bCs/>
          <w:sz w:val="22"/>
          <w:szCs w:val="22"/>
        </w:rPr>
        <w:t>－（Xi－Y）×100×</w:t>
      </w:r>
      <w:r>
        <w:rPr>
          <w:rFonts w:hint="eastAsia" w:ascii="宋体" w:hAnsi="宋体"/>
          <w:b/>
          <w:bCs/>
          <w:sz w:val="22"/>
          <w:szCs w:val="22"/>
          <w:lang w:val="en-US" w:eastAsia="zh-CN"/>
        </w:rPr>
        <w:t>0.5</w:t>
      </w:r>
      <w:r>
        <w:rPr>
          <w:rFonts w:hint="eastAsia" w:ascii="宋体" w:hAnsi="宋体"/>
          <w:b/>
          <w:bCs/>
          <w:sz w:val="22"/>
          <w:szCs w:val="22"/>
        </w:rPr>
        <w:t>；</w:t>
      </w:r>
    </w:p>
    <w:p>
      <w:pPr>
        <w:spacing w:line="400" w:lineRule="exact"/>
        <w:ind w:firstLine="442" w:firstLineChars="200"/>
        <w:rPr>
          <w:rFonts w:ascii="宋体" w:hAnsi="宋体"/>
          <w:b/>
          <w:bCs/>
          <w:sz w:val="22"/>
          <w:szCs w:val="22"/>
        </w:rPr>
      </w:pPr>
      <w:r>
        <w:rPr>
          <w:rFonts w:hint="eastAsia" w:ascii="宋体" w:hAnsi="宋体"/>
          <w:b/>
          <w:bCs/>
          <w:sz w:val="22"/>
          <w:szCs w:val="22"/>
        </w:rPr>
        <w:t>当Xi＜Y时，得分=</w:t>
      </w:r>
      <w:r>
        <w:rPr>
          <w:rFonts w:hint="eastAsia" w:ascii="宋体" w:hAnsi="宋体"/>
          <w:b/>
          <w:bCs/>
          <w:sz w:val="22"/>
          <w:szCs w:val="22"/>
          <w:u w:val="single"/>
          <w:lang w:val="en-US" w:eastAsia="zh-CN"/>
        </w:rPr>
        <w:t>2</w:t>
      </w:r>
      <w:r>
        <w:rPr>
          <w:rFonts w:hint="eastAsia" w:ascii="宋体" w:hAnsi="宋体"/>
          <w:b/>
          <w:bCs/>
          <w:sz w:val="22"/>
          <w:szCs w:val="22"/>
          <w:u w:val="single"/>
        </w:rPr>
        <w:t>5</w:t>
      </w:r>
      <w:r>
        <w:rPr>
          <w:rFonts w:hint="eastAsia" w:ascii="宋体" w:hAnsi="宋体"/>
          <w:b/>
          <w:bCs/>
          <w:sz w:val="22"/>
          <w:szCs w:val="22"/>
        </w:rPr>
        <w:t>－（Y－Xi）×100×</w:t>
      </w:r>
      <w:r>
        <w:rPr>
          <w:rFonts w:hint="eastAsia" w:ascii="宋体" w:hAnsi="宋体"/>
          <w:b/>
          <w:bCs/>
          <w:sz w:val="22"/>
          <w:szCs w:val="22"/>
          <w:lang w:val="en-US" w:eastAsia="zh-CN"/>
        </w:rPr>
        <w:t>1</w:t>
      </w:r>
      <w:r>
        <w:rPr>
          <w:rFonts w:hint="eastAsia" w:ascii="宋体" w:hAnsi="宋体"/>
          <w:b/>
          <w:bCs/>
          <w:sz w:val="22"/>
          <w:szCs w:val="22"/>
        </w:rPr>
        <w:t>。</w:t>
      </w:r>
    </w:p>
    <w:p>
      <w:pPr>
        <w:spacing w:line="480" w:lineRule="exact"/>
        <w:ind w:firstLine="440" w:firstLineChars="200"/>
        <w:rPr>
          <w:rFonts w:ascii="宋体" w:hAnsi="宋体"/>
          <w:sz w:val="22"/>
          <w:szCs w:val="22"/>
        </w:rPr>
      </w:pPr>
      <w:r>
        <w:rPr>
          <w:rFonts w:hint="eastAsia" w:ascii="宋体" w:hAnsi="宋体"/>
          <w:sz w:val="22"/>
          <w:szCs w:val="22"/>
        </w:rPr>
        <w:t>4计算投标价得分不足一个百分点时，使用直线插入法计算。得分计算结果精确到小数点后两位，小数点后第三位四舍五入。商务标最低得分为0分。</w:t>
      </w:r>
    </w:p>
    <w:p>
      <w:pPr>
        <w:spacing w:line="480" w:lineRule="exact"/>
        <w:ind w:firstLine="440" w:firstLineChars="200"/>
        <w:rPr>
          <w:rFonts w:ascii="宋体" w:hAnsi="宋体"/>
          <w:sz w:val="22"/>
          <w:szCs w:val="22"/>
        </w:rPr>
      </w:pPr>
      <w:r>
        <w:rPr>
          <w:rFonts w:hint="eastAsia" w:ascii="宋体" w:hAnsi="宋体"/>
          <w:sz w:val="22"/>
          <w:szCs w:val="22"/>
        </w:rPr>
        <w:t>5投标人的投标报价大写数额与小写数额不一致的，以大写数额为准。</w:t>
      </w:r>
    </w:p>
    <w:p>
      <w:pPr>
        <w:adjustRightInd w:val="0"/>
        <w:snapToGrid w:val="0"/>
        <w:spacing w:line="480" w:lineRule="exact"/>
        <w:ind w:firstLine="440" w:firstLineChars="200"/>
        <w:rPr>
          <w:rFonts w:ascii="宋体" w:hAnsi="宋体"/>
          <w:sz w:val="22"/>
          <w:szCs w:val="22"/>
        </w:rPr>
      </w:pPr>
      <w:r>
        <w:rPr>
          <w:rFonts w:hint="eastAsia" w:ascii="宋体" w:hAnsi="宋体"/>
          <w:sz w:val="22"/>
          <w:szCs w:val="22"/>
        </w:rPr>
        <w:t>6商务标评估在技术标评估完成后进行。技术标和商务标评估后的分数相加计算出每一投标人的总得分，计算结果精确到小数点后两位。</w:t>
      </w:r>
    </w:p>
    <w:p>
      <w:pPr>
        <w:widowControl/>
        <w:ind w:firstLine="440" w:firstLineChars="200"/>
        <w:jc w:val="both"/>
        <w:rPr>
          <w:sz w:val="22"/>
          <w:szCs w:val="28"/>
        </w:rPr>
      </w:pPr>
      <w:r>
        <w:rPr>
          <w:rFonts w:hint="eastAsia" w:ascii="宋体" w:hAnsi="宋体"/>
          <w:sz w:val="22"/>
          <w:szCs w:val="22"/>
        </w:rPr>
        <w:t>7如果投标文件实质上不响应招标文件的要求，应作废标处理，并且不允许通过修正或者撤销其不符合要求的差异或保留，使之成为其具有响应性的投标。</w:t>
      </w:r>
    </w:p>
    <w:p>
      <w:pPr>
        <w:rPr>
          <w:rFonts w:hint="default"/>
          <w:lang w:val="en-US" w:eastAsia="zh-CN"/>
        </w:rPr>
      </w:pPr>
    </w:p>
    <w:p>
      <w:pPr>
        <w:pStyle w:val="3"/>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第</w:t>
      </w:r>
      <w:r>
        <w:rPr>
          <w:rFonts w:hint="eastAsia" w:eastAsia="宋体" w:cs="宋体"/>
          <w:color w:val="auto"/>
          <w:kern w:val="2"/>
          <w:sz w:val="22"/>
          <w:szCs w:val="22"/>
          <w:highlight w:val="none"/>
          <w:lang w:val="en-US" w:eastAsia="zh-CN" w:bidi="ar-SA"/>
        </w:rPr>
        <w:t>1</w:t>
      </w:r>
      <w:r>
        <w:rPr>
          <w:rFonts w:hint="eastAsia" w:ascii="宋体" w:hAnsi="宋体" w:eastAsia="宋体" w:cs="宋体"/>
          <w:color w:val="auto"/>
          <w:kern w:val="2"/>
          <w:sz w:val="22"/>
          <w:szCs w:val="22"/>
          <w:highlight w:val="none"/>
          <w:lang w:val="en-US" w:eastAsia="zh-CN" w:bidi="ar-SA"/>
        </w:rPr>
        <w:t>号澄清文件作为招标文件组成的一部分，若与招标文件中的内容有重复之处，以第</w:t>
      </w:r>
      <w:r>
        <w:rPr>
          <w:rFonts w:hint="eastAsia" w:eastAsia="宋体" w:cs="宋体"/>
          <w:color w:val="auto"/>
          <w:kern w:val="2"/>
          <w:sz w:val="22"/>
          <w:szCs w:val="22"/>
          <w:highlight w:val="none"/>
          <w:lang w:val="en-US" w:eastAsia="zh-CN" w:bidi="ar-SA"/>
        </w:rPr>
        <w:t>1</w:t>
      </w:r>
      <w:r>
        <w:rPr>
          <w:rFonts w:hint="eastAsia" w:ascii="宋体" w:hAnsi="宋体" w:eastAsia="宋体" w:cs="宋体"/>
          <w:color w:val="auto"/>
          <w:kern w:val="2"/>
          <w:sz w:val="22"/>
          <w:szCs w:val="22"/>
          <w:highlight w:val="none"/>
          <w:lang w:val="en-US" w:eastAsia="zh-CN" w:bidi="ar-SA"/>
        </w:rPr>
        <w:t>号澄清文件为准，请投标单位及时下载。所修改的内容对投标单位具有同样的约束力，并按要求参加投标。</w:t>
      </w:r>
    </w:p>
    <w:p>
      <w:pPr>
        <w:pStyle w:val="2"/>
        <w:ind w:firstLine="3150" w:firstLineChars="1500"/>
        <w:rPr>
          <w:rFonts w:hint="eastAsia" w:ascii="宋体" w:hAnsi="宋体" w:eastAsiaTheme="minorEastAsia" w:cstheme="minorBidi"/>
          <w:b w:val="0"/>
          <w:bCs w:val="0"/>
          <w:kern w:val="2"/>
          <w:sz w:val="21"/>
          <w:szCs w:val="21"/>
          <w:lang w:val="en-US" w:eastAsia="zh-CN" w:bidi="ar-SA"/>
        </w:rPr>
      </w:pPr>
    </w:p>
    <w:p>
      <w:pPr>
        <w:pStyle w:val="2"/>
        <w:rPr>
          <w:rFonts w:hint="default" w:ascii="宋体" w:hAnsi="宋体" w:eastAsiaTheme="minorEastAsia" w:cstheme="minorBidi"/>
          <w:b w:val="0"/>
          <w:bCs w:val="0"/>
          <w:kern w:val="2"/>
          <w:sz w:val="24"/>
          <w:szCs w:val="24"/>
          <w:lang w:val="en-US" w:eastAsia="zh-CN" w:bidi="ar-SA"/>
        </w:rPr>
      </w:pPr>
      <w:r>
        <w:rPr>
          <w:rFonts w:hint="eastAsia" w:ascii="宋体" w:hAnsi="宋体" w:eastAsiaTheme="minorEastAsia" w:cstheme="minorBidi"/>
          <w:b w:val="0"/>
          <w:bCs w:val="0"/>
          <w:kern w:val="2"/>
          <w:sz w:val="24"/>
          <w:szCs w:val="24"/>
          <w:lang w:val="en-US" w:eastAsia="zh-CN" w:bidi="ar-SA"/>
        </w:rPr>
        <w:t>嵊州市城市建设投资发展集团有限公司</w:t>
      </w:r>
      <w:r>
        <w:rPr>
          <w:rFonts w:hint="eastAsia" w:ascii="宋体" w:hAnsi="宋体" w:cstheme="minorBidi"/>
          <w:b w:val="0"/>
          <w:bCs w:val="0"/>
          <w:kern w:val="2"/>
          <w:sz w:val="24"/>
          <w:szCs w:val="24"/>
          <w:lang w:val="en-US" w:eastAsia="zh-CN" w:bidi="ar-SA"/>
        </w:rPr>
        <w:t xml:space="preserve">       泰宇建筑工程技术咨询有限公司  </w:t>
      </w:r>
    </w:p>
    <w:p>
      <w:pPr>
        <w:rPr>
          <w:rFonts w:hint="default"/>
          <w:sz w:val="24"/>
          <w:szCs w:val="32"/>
          <w:lang w:val="en-US" w:eastAsia="zh-CN"/>
        </w:rPr>
      </w:pPr>
      <w:r>
        <w:rPr>
          <w:rFonts w:hint="eastAsia" w:ascii="宋体" w:hAnsi="宋体" w:cstheme="minorBidi"/>
          <w:b w:val="0"/>
          <w:bCs w:val="0"/>
          <w:kern w:val="2"/>
          <w:sz w:val="24"/>
          <w:szCs w:val="24"/>
          <w:lang w:val="en-US" w:eastAsia="zh-CN" w:bidi="ar-SA"/>
        </w:rPr>
        <w:t xml:space="preserve">                                                  2024年1月4日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Arial"/>
    <w:panose1 w:val="00000000000000000000"/>
    <w:charset w:val="00"/>
    <w:family w:val="swiss"/>
    <w:pitch w:val="default"/>
    <w:sig w:usb0="00000000" w:usb1="00000000" w:usb2="00000000" w:usb3="00000000" w:csb0="00000001"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5NWJjODViMGE4MGU5MWZlZDRmODc2OWYxNWUwNjAifQ=="/>
  </w:docVars>
  <w:rsids>
    <w:rsidRoot w:val="00000000"/>
    <w:rsid w:val="05B2445C"/>
    <w:rsid w:val="2F2705DB"/>
    <w:rsid w:val="4359499A"/>
    <w:rsid w:val="54ED6FF7"/>
    <w:rsid w:val="69193F61"/>
    <w:rsid w:val="6BE80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rPr>
      <w:rFonts w:ascii="宋体" w:hAnsi="宋体"/>
      <w:kern w:val="0"/>
      <w:sz w:val="24"/>
      <w:szCs w:val="24"/>
    </w:rPr>
  </w:style>
  <w:style w:type="paragraph" w:styleId="4">
    <w:name w:val="Body Text Indent"/>
    <w:basedOn w:val="1"/>
    <w:next w:val="1"/>
    <w:qFormat/>
    <w:uiPriority w:val="0"/>
    <w:pPr>
      <w:spacing w:after="120" w:afterLines="0"/>
      <w:ind w:left="420" w:leftChars="200"/>
    </w:pPr>
  </w:style>
  <w:style w:type="paragraph" w:styleId="5">
    <w:name w:val="Body Text First Indent 2"/>
    <w:basedOn w:val="4"/>
    <w:next w:val="6"/>
    <w:qFormat/>
    <w:uiPriority w:val="0"/>
    <w:pPr>
      <w:ind w:firstLine="420" w:firstLineChars="200"/>
    </w:pPr>
    <w:rPr>
      <w:rFonts w:ascii="Calibri" w:hAnsi="Calibri"/>
      <w:szCs w:val="22"/>
    </w:rPr>
  </w:style>
  <w:style w:type="paragraph" w:customStyle="1" w:styleId="6">
    <w:name w:val="xl53"/>
    <w:basedOn w:val="1"/>
    <w:next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Arial Unicode MS" w:cs="Arial"/>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2024-01-04T07:58:00Z</dcterms:created>
  <dc:creator>Administrator</dc:creator>
  <cp:lastModifiedBy>NTKO</cp:lastModifiedBy>
  <dcterms:modified xsi:type="dcterms:W3CDTF">2024-01-05T09:14:44Z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6CD88B7B873944D7B47EEAB793E66B1E_12</vt:lpwstr>
  </property>
</Properties>
</file>