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嵊州市白莲堂未来社区全过程咨询服务项目招标文件</w:t>
      </w:r>
    </w:p>
    <w:p>
      <w:pPr>
        <w:spacing w:line="240" w:lineRule="auto"/>
        <w:jc w:val="center"/>
        <w:rPr>
          <w:rFonts w:hint="default" w:ascii="宋体" w:hAnsi="宋体"/>
          <w:b/>
          <w:sz w:val="28"/>
          <w:szCs w:val="28"/>
          <w:lang w:val="en-US" w:eastAsia="zh-CN"/>
        </w:rPr>
      </w:pPr>
      <w:bookmarkStart w:id="0" w:name="OLE_LINK1"/>
      <w:r>
        <w:rPr>
          <w:rFonts w:hint="eastAsia" w:ascii="宋体" w:hAnsi="宋体"/>
          <w:b/>
          <w:sz w:val="28"/>
          <w:szCs w:val="28"/>
          <w:lang w:eastAsia="zh-CN"/>
        </w:rPr>
        <w:t>变更公告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2</w:t>
      </w:r>
    </w:p>
    <w:p>
      <w:pPr>
        <w:spacing w:line="24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各潜在投标人：</w:t>
      </w:r>
    </w:p>
    <w:p>
      <w:pPr>
        <w:spacing w:line="240" w:lineRule="auto"/>
        <w:ind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关于嵊州市白莲堂未来社区全过程咨询服务项目招标文件</w:t>
      </w:r>
      <w:r>
        <w:rPr>
          <w:rFonts w:hint="eastAsia" w:ascii="宋体" w:hAnsi="宋体"/>
          <w:sz w:val="24"/>
          <w:szCs w:val="24"/>
          <w:lang w:eastAsia="zh-CN"/>
        </w:rPr>
        <w:t>（</w:t>
      </w:r>
      <w:r>
        <w:rPr>
          <w:rFonts w:hint="eastAsia" w:ascii="宋体" w:hAnsi="宋体"/>
          <w:sz w:val="24"/>
          <w:szCs w:val="24"/>
          <w:lang w:val="en-US" w:eastAsia="zh-CN"/>
        </w:rPr>
        <w:t>项目编号：A3303270430000998</w:t>
      </w:r>
      <w:r>
        <w:rPr>
          <w:rFonts w:hint="eastAsia" w:ascii="宋体" w:hAnsi="宋体"/>
          <w:sz w:val="24"/>
          <w:szCs w:val="24"/>
          <w:lang w:eastAsia="zh-CN"/>
        </w:rPr>
        <w:t>）</w:t>
      </w:r>
      <w:r>
        <w:rPr>
          <w:rFonts w:hint="eastAsia" w:ascii="宋体" w:hAnsi="宋体"/>
          <w:sz w:val="24"/>
          <w:szCs w:val="24"/>
        </w:rPr>
        <w:t>，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现就有关事项内容</w:t>
      </w:r>
      <w:r>
        <w:rPr>
          <w:rFonts w:hint="eastAsia" w:ascii="Times New Roman" w:hAnsi="Times New Roman"/>
          <w:sz w:val="24"/>
          <w:szCs w:val="24"/>
          <w:lang w:eastAsia="zh-CN"/>
        </w:rPr>
        <w:t>变更</w:t>
      </w:r>
      <w:r>
        <w:rPr>
          <w:rFonts w:hint="eastAsia" w:ascii="Times New Roman" w:hAnsi="Times New Roman"/>
          <w:sz w:val="24"/>
          <w:szCs w:val="24"/>
        </w:rPr>
        <w:t>如下：</w:t>
      </w:r>
    </w:p>
    <w:p>
      <w:pPr>
        <w:spacing w:line="240" w:lineRule="auto"/>
        <w:ind w:firstLine="240" w:firstLineChars="100"/>
        <w:jc w:val="left"/>
        <w:rPr>
          <w:rFonts w:hint="eastAsia" w:ascii="宋体" w:hAnsi="宋体"/>
          <w:color w:val="auto"/>
          <w:szCs w:val="21"/>
          <w:highlight w:val="none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 xml:space="preserve">原招标文件P27 </w:t>
      </w:r>
    </w:p>
    <w:tbl>
      <w:tblPr>
        <w:tblStyle w:val="10"/>
        <w:tblpPr w:leftFromText="180" w:rightFromText="180" w:vertAnchor="text" w:horzAnchor="page" w:tblpX="2266" w:tblpY="1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5"/>
        <w:gridCol w:w="4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</w:trPr>
        <w:tc>
          <w:tcPr>
            <w:tcW w:w="371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企业</w:t>
            </w:r>
            <w:r>
              <w:rPr>
                <w:rFonts w:hint="eastAsia" w:ascii="宋体" w:hAnsi="宋体" w:cs="宋体"/>
                <w:szCs w:val="21"/>
              </w:rPr>
              <w:t>全过程工程咨询管理经验：2016年1月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</w:rPr>
              <w:t>1日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以来</w:t>
            </w:r>
            <w:r>
              <w:rPr>
                <w:rFonts w:hint="eastAsia" w:ascii="宋体" w:hAnsi="宋体" w:cs="宋体"/>
                <w:szCs w:val="21"/>
              </w:rPr>
              <w:t>，投标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仅指联合体牵头人</w:t>
            </w:r>
            <w:r>
              <w:rPr>
                <w:rFonts w:hint="eastAsia" w:ascii="宋体" w:hAnsi="宋体" w:cs="宋体"/>
                <w:szCs w:val="21"/>
              </w:rPr>
              <w:t>）承接过的民用建筑工程全过程工程咨询（一个项目内至少包含项目管理和监理，或项目管理和造价咨询二项及以上内容）项目，单个合同里咨询项目的总建筑面积不小于10万平方米或项目建安投资5亿元以上的每个</w:t>
            </w:r>
            <w:r>
              <w:rPr>
                <w:rFonts w:hint="eastAsia" w:ascii="宋体" w:hAnsi="宋体" w:cs="宋体"/>
                <w:szCs w:val="21"/>
                <w:highlight w:val="none"/>
              </w:rPr>
              <w:t>业绩</w:t>
            </w:r>
            <w:r>
              <w:rPr>
                <w:rFonts w:hint="eastAsia" w:ascii="宋体" w:hAnsi="宋体" w:cs="宋体"/>
                <w:szCs w:val="21"/>
              </w:rPr>
              <w:t>得0.5分，最高得1.0分。</w:t>
            </w:r>
          </w:p>
        </w:tc>
        <w:tc>
          <w:tcPr>
            <w:tcW w:w="4445" w:type="dxa"/>
            <w:vAlign w:val="center"/>
          </w:tcPr>
          <w:p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证明材料：须同时提供①中标通知书，②合同协议书</w:t>
            </w:r>
          </w:p>
          <w:p>
            <w:pPr>
              <w:pStyle w:val="2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时间以合同签订时间为准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default" w:ascii="宋体" w:hAnsi="宋体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变更为</w:t>
      </w:r>
    </w:p>
    <w:tbl>
      <w:tblPr>
        <w:tblStyle w:val="10"/>
        <w:tblpPr w:leftFromText="180" w:rightFromText="180" w:vertAnchor="text" w:horzAnchor="page" w:tblpX="2236" w:tblpY="53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7"/>
        <w:gridCol w:w="4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</w:trPr>
        <w:tc>
          <w:tcPr>
            <w:tcW w:w="360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企业</w:t>
            </w:r>
            <w:r>
              <w:rPr>
                <w:rFonts w:hint="eastAsia" w:ascii="宋体" w:hAnsi="宋体" w:cs="宋体"/>
                <w:szCs w:val="21"/>
              </w:rPr>
              <w:t>全过程工程咨询管理经验：2016年1月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Cs w:val="21"/>
              </w:rPr>
              <w:t>1日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以来</w:t>
            </w:r>
            <w:r>
              <w:rPr>
                <w:rFonts w:hint="eastAsia" w:ascii="宋体" w:hAnsi="宋体" w:cs="宋体"/>
                <w:szCs w:val="21"/>
              </w:rPr>
              <w:t>，投标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单位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仅指联合体牵头人</w:t>
            </w:r>
            <w:r>
              <w:rPr>
                <w:rFonts w:hint="eastAsia" w:ascii="宋体" w:hAnsi="宋体" w:cs="宋体"/>
                <w:szCs w:val="21"/>
              </w:rPr>
              <w:t>）承接过的民用建筑工程全过程工程咨询（一个项目内至少包含项目管理和监理，或项目管理和造价咨询二项及以上内容）项目，单个合同里咨询项目的总建筑面积不小于10万平方米或项目建安投资5亿元以上的每个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cs="宋体"/>
                <w:szCs w:val="21"/>
              </w:rPr>
              <w:t>得0.5分，最高得1.0分。</w:t>
            </w:r>
          </w:p>
        </w:tc>
        <w:tc>
          <w:tcPr>
            <w:tcW w:w="4572" w:type="dxa"/>
            <w:vAlign w:val="center"/>
          </w:tcPr>
          <w:p>
            <w:pPr>
              <w:widowControl/>
              <w:rPr>
                <w:rFonts w:hint="eastAsia"/>
              </w:rPr>
            </w:pPr>
            <w:r>
              <w:rPr>
                <w:rFonts w:hint="eastAsia"/>
              </w:rPr>
              <w:t>证明材料：须同时提供①中标通知书，②合同协议书</w:t>
            </w:r>
          </w:p>
          <w:p>
            <w:pPr>
              <w:pStyle w:val="2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时间以合同签订时间为准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宋体" w:hAnsi="宋体"/>
                <w:color w:val="auto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240" w:lineRule="auto"/>
        <w:ind w:firstLine="480" w:firstLineChars="200"/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</w:pPr>
    </w:p>
    <w:p>
      <w:pPr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</w:pPr>
      <w:bookmarkStart w:id="1" w:name="_GoBack"/>
      <w:bookmarkEnd w:id="1"/>
    </w:p>
    <w:p>
      <w:pPr>
        <w:numPr>
          <w:ilvl w:val="0"/>
          <w:numId w:val="0"/>
        </w:numPr>
        <w:spacing w:line="240" w:lineRule="auto"/>
        <w:ind w:firstLine="240" w:firstLineChars="100"/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lang w:val="en-US" w:eastAsia="zh-CN"/>
        </w:rPr>
        <w:t>2、原招标文件其他内容不变。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Style w:val="25"/>
          <w:rFonts w:hint="eastAsia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21"/>
          <w:szCs w:val="21"/>
        </w:rPr>
        <w:t> </w:t>
      </w:r>
      <w:r>
        <w:rPr>
          <w:rFonts w:hint="eastAsia" w:ascii="宋体" w:hAnsi="宋体" w:eastAsia="宋体" w:cs="宋体"/>
          <w:color w:val="333333"/>
          <w:sz w:val="24"/>
          <w:szCs w:val="24"/>
        </w:rPr>
        <w:t>                                      </w:t>
      </w:r>
      <w:r>
        <w:rPr>
          <w:rFonts w:hint="eastAsia" w:ascii="宋体" w:hAnsi="宋体" w:eastAsia="宋体" w:cs="宋体"/>
          <w:color w:val="333333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color w:val="333333"/>
          <w:kern w:val="0"/>
          <w:sz w:val="24"/>
          <w:szCs w:val="24"/>
          <w:lang w:val="en-US" w:eastAsia="zh-CN" w:bidi="ar"/>
        </w:rPr>
        <w:t>招标人：嵊州市城市建设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投资</w:t>
      </w:r>
      <w:r>
        <w:rPr>
          <w:rFonts w:hint="eastAsia" w:ascii="宋体" w:hAnsi="宋体" w:eastAsia="宋体" w:cs="宋体"/>
          <w:b w:val="0"/>
          <w:color w:val="333333"/>
          <w:kern w:val="0"/>
          <w:sz w:val="24"/>
          <w:szCs w:val="24"/>
          <w:lang w:val="en-US" w:eastAsia="zh-CN" w:bidi="ar"/>
        </w:rPr>
        <w:t>发展集团有限公司 </w:t>
      </w:r>
      <w:r>
        <w:rPr>
          <w:rStyle w:val="25"/>
          <w:rFonts w:hint="eastAsia"/>
          <w:lang w:val="en-US" w:eastAsia="zh-CN"/>
        </w:rPr>
        <w:t>      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 w:line="400" w:lineRule="exact"/>
        <w:ind w:right="0" w:firstLine="3120" w:firstLineChars="1300"/>
        <w:jc w:val="both"/>
        <w:textAlignment w:val="auto"/>
        <w:rPr>
          <w:rFonts w:hint="default" w:ascii="Calibri" w:hAnsi="Calibri" w:cs="Calibri"/>
          <w:sz w:val="24"/>
          <w:szCs w:val="24"/>
        </w:rPr>
      </w:pPr>
      <w:r>
        <w:rPr>
          <w:rFonts w:hint="eastAsia" w:ascii="宋体" w:hAnsi="宋体" w:eastAsia="宋体" w:cs="宋体"/>
          <w:color w:val="333333"/>
          <w:sz w:val="24"/>
          <w:szCs w:val="24"/>
        </w:rPr>
        <w:t>招标代理：浙江建诚工程管理咨询有限公司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default" w:cs="宋体"/>
          <w:color w:val="auto"/>
          <w:szCs w:val="21"/>
          <w:highlight w:val="none"/>
          <w:lang w:val="en-US" w:eastAsia="zh-CN" w:bidi="ar"/>
        </w:rPr>
      </w:pP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 xml:space="preserve">                                           2021-2-2</w:t>
      </w:r>
      <w:bookmarkEnd w:id="0"/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Sans Serif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D6"/>
    <w:rsid w:val="0010589F"/>
    <w:rsid w:val="002E575D"/>
    <w:rsid w:val="003932D6"/>
    <w:rsid w:val="00547DC6"/>
    <w:rsid w:val="00683E00"/>
    <w:rsid w:val="00765393"/>
    <w:rsid w:val="0087423E"/>
    <w:rsid w:val="00B47DB2"/>
    <w:rsid w:val="00B54950"/>
    <w:rsid w:val="00C04A16"/>
    <w:rsid w:val="00C3601C"/>
    <w:rsid w:val="00D50F87"/>
    <w:rsid w:val="00DB36FC"/>
    <w:rsid w:val="00FD241B"/>
    <w:rsid w:val="03A03FEE"/>
    <w:rsid w:val="120C0F17"/>
    <w:rsid w:val="16B65CAF"/>
    <w:rsid w:val="1BDE06F8"/>
    <w:rsid w:val="249E42CE"/>
    <w:rsid w:val="2CF92FC7"/>
    <w:rsid w:val="42D43265"/>
    <w:rsid w:val="437F4E6E"/>
    <w:rsid w:val="530C2E99"/>
    <w:rsid w:val="550E2DE5"/>
    <w:rsid w:val="56375F83"/>
    <w:rsid w:val="5B5E488C"/>
    <w:rsid w:val="5C43261D"/>
    <w:rsid w:val="6268557D"/>
    <w:rsid w:val="6CAA1570"/>
    <w:rsid w:val="75695E8C"/>
    <w:rsid w:val="7AE81BB7"/>
    <w:rsid w:val="7B10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6">
    <w:name w:val="Body Text Indent"/>
    <w:basedOn w:val="1"/>
    <w:link w:val="25"/>
    <w:qFormat/>
    <w:uiPriority w:val="0"/>
    <w:pPr>
      <w:widowControl/>
      <w:overflowPunct w:val="0"/>
      <w:autoSpaceDE w:val="0"/>
      <w:autoSpaceDN w:val="0"/>
      <w:adjustRightInd w:val="0"/>
      <w:spacing w:line="360" w:lineRule="auto"/>
      <w:ind w:firstLine="540"/>
      <w:textAlignment w:val="baseline"/>
    </w:pPr>
    <w:rPr>
      <w:rFonts w:ascii="宋体" w:hAnsi="MS Sans Serif"/>
      <w:spacing w:val="12"/>
      <w:kern w:val="0"/>
      <w:sz w:val="24"/>
      <w:szCs w:val="20"/>
    </w:rPr>
  </w:style>
  <w:style w:type="paragraph" w:styleId="7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6"/>
    <w:qFormat/>
    <w:uiPriority w:val="0"/>
    <w:pPr>
      <w:ind w:left="200" w:firstLine="20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</w:style>
  <w:style w:type="character" w:styleId="13">
    <w:name w:val="FollowedHyperlink"/>
    <w:basedOn w:val="11"/>
    <w:semiHidden/>
    <w:unhideWhenUsed/>
    <w:qFormat/>
    <w:uiPriority w:val="99"/>
    <w:rPr>
      <w:color w:val="800080"/>
      <w:u w:val="none"/>
    </w:rPr>
  </w:style>
  <w:style w:type="character" w:styleId="14">
    <w:name w:val="Emphasis"/>
    <w:basedOn w:val="11"/>
    <w:qFormat/>
    <w:uiPriority w:val="20"/>
  </w:style>
  <w:style w:type="character" w:styleId="15">
    <w:name w:val="HTML Definition"/>
    <w:basedOn w:val="11"/>
    <w:semiHidden/>
    <w:unhideWhenUsed/>
    <w:qFormat/>
    <w:uiPriority w:val="99"/>
  </w:style>
  <w:style w:type="character" w:styleId="16">
    <w:name w:val="HTML Typewriter"/>
    <w:basedOn w:val="11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7">
    <w:name w:val="HTML Acronym"/>
    <w:basedOn w:val="11"/>
    <w:semiHidden/>
    <w:unhideWhenUsed/>
    <w:qFormat/>
    <w:uiPriority w:val="99"/>
  </w:style>
  <w:style w:type="character" w:styleId="18">
    <w:name w:val="HTML Variable"/>
    <w:basedOn w:val="11"/>
    <w:semiHidden/>
    <w:unhideWhenUsed/>
    <w:qFormat/>
    <w:uiPriority w:val="99"/>
  </w:style>
  <w:style w:type="character" w:styleId="19">
    <w:name w:val="Hyperlink"/>
    <w:basedOn w:val="11"/>
    <w:semiHidden/>
    <w:unhideWhenUsed/>
    <w:qFormat/>
    <w:uiPriority w:val="99"/>
    <w:rPr>
      <w:color w:val="0000FF"/>
      <w:u w:val="none"/>
    </w:rPr>
  </w:style>
  <w:style w:type="character" w:styleId="20">
    <w:name w:val="HTML Code"/>
    <w:basedOn w:val="11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Cite"/>
    <w:basedOn w:val="11"/>
    <w:semiHidden/>
    <w:unhideWhenUsed/>
    <w:qFormat/>
    <w:uiPriority w:val="99"/>
  </w:style>
  <w:style w:type="character" w:styleId="22">
    <w:name w:val="HTML Keyboard"/>
    <w:basedOn w:val="11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3">
    <w:name w:val="HTML Sample"/>
    <w:basedOn w:val="11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正文文本缩进 Char"/>
    <w:link w:val="6"/>
    <w:qFormat/>
    <w:uiPriority w:val="0"/>
    <w:rPr>
      <w:rFonts w:ascii="宋体" w:hAnsi="MS Sans Serif"/>
      <w:spacing w:val="12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440</Characters>
  <Lines>3</Lines>
  <Paragraphs>1</Paragraphs>
  <TotalTime>41</TotalTime>
  <ScaleCrop>false</ScaleCrop>
  <LinksUpToDate>false</LinksUpToDate>
  <CharactersWithSpaces>516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2020-11-10T06:52:00Z</dcterms:created>
  <dc:creator>xb21cn</dc:creator>
  <cp:lastModifiedBy>NTKO</cp:lastModifiedBy>
  <cp:lastPrinted>2021-02-21T13:16:00Z</cp:lastPrinted>
  <dcterms:modified xsi:type="dcterms:W3CDTF">2021-02-24T08:08:53Z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