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100" w:line="360" w:lineRule="auto"/>
        <w:jc w:val="center"/>
        <w:rPr>
          <w:rFonts w:hint="eastAsia" w:ascii="宋体" w:hAnsi="宋体" w:eastAsia="宋体" w:cs="宋体"/>
          <w:color w:val="auto"/>
          <w:highlight w:val="none"/>
          <w:lang w:eastAsia="zh-CN"/>
        </w:rPr>
      </w:pPr>
      <w:r>
        <w:rPr>
          <w:rFonts w:hint="eastAsia" w:ascii="宋体" w:hAnsi="宋体" w:eastAsia="宋体" w:cs="宋体"/>
          <w:b/>
          <w:bCs/>
          <w:color w:val="auto"/>
          <w:sz w:val="48"/>
          <w:szCs w:val="48"/>
          <w:highlight w:val="none"/>
        </w:rPr>
        <w:t>嵊州市生态共富小流域水土流失综合治理项目（花桥、后村小流域）</w:t>
      </w:r>
    </w:p>
    <w:p>
      <w:pPr>
        <w:spacing w:line="273" w:lineRule="auto"/>
        <w:rPr>
          <w:rFonts w:ascii="宋体" w:hAnsi="宋体" w:eastAsia="宋体" w:cs="宋体"/>
          <w:color w:val="auto"/>
          <w:highlight w:val="none"/>
        </w:rPr>
      </w:pPr>
    </w:p>
    <w:p>
      <w:pPr>
        <w:jc w:val="center"/>
        <w:rPr>
          <w:rFonts w:ascii="宋体" w:hAnsi="宋体" w:eastAsia="宋体" w:cs="宋体"/>
          <w:color w:val="auto"/>
          <w:sz w:val="28"/>
          <w:szCs w:val="28"/>
          <w:highlight w:val="none"/>
        </w:rPr>
      </w:pPr>
      <w:bookmarkStart w:id="0" w:name="_bookmark155"/>
      <w:bookmarkEnd w:id="0"/>
      <w:bookmarkStart w:id="1" w:name="_bookmark154"/>
      <w:bookmarkEnd w:id="1"/>
      <w:bookmarkStart w:id="2" w:name="_Toc13606"/>
      <w:bookmarkStart w:id="3" w:name="_Toc130"/>
      <w:bookmarkStart w:id="4" w:name="_Toc25544"/>
      <w:bookmarkStart w:id="5" w:name="_Toc26390"/>
      <w:r>
        <w:rPr>
          <w:rFonts w:hint="eastAsia" w:ascii="宋体" w:hAnsi="宋体" w:eastAsia="宋体" w:cs="宋体"/>
          <w:color w:val="auto"/>
          <w:sz w:val="28"/>
          <w:szCs w:val="28"/>
          <w:highlight w:val="none"/>
        </w:rPr>
        <w:t>（招标编号：A3306830770000111）</w:t>
      </w:r>
    </w:p>
    <w:p>
      <w:pPr>
        <w:spacing w:before="403" w:line="185" w:lineRule="auto"/>
        <w:jc w:val="center"/>
        <w:outlineLvl w:val="0"/>
        <w:rPr>
          <w:rFonts w:ascii="宋体" w:hAnsi="宋体" w:eastAsia="宋体" w:cs="宋体"/>
          <w:color w:val="auto"/>
          <w:spacing w:val="14"/>
          <w:sz w:val="84"/>
          <w:szCs w:val="84"/>
          <w:highlight w:val="none"/>
        </w:rPr>
      </w:pPr>
    </w:p>
    <w:p>
      <w:pPr>
        <w:spacing w:before="403" w:line="185" w:lineRule="auto"/>
        <w:jc w:val="center"/>
        <w:outlineLvl w:val="0"/>
        <w:rPr>
          <w:rFonts w:ascii="宋体" w:hAnsi="宋体" w:eastAsia="宋体" w:cs="宋体"/>
          <w:color w:val="auto"/>
          <w:spacing w:val="-14"/>
          <w:sz w:val="84"/>
          <w:szCs w:val="84"/>
          <w:highlight w:val="none"/>
        </w:rPr>
      </w:pPr>
      <w:r>
        <w:rPr>
          <w:rFonts w:hint="eastAsia" w:ascii="宋体" w:hAnsi="宋体" w:eastAsia="宋体" w:cs="宋体"/>
          <w:color w:val="auto"/>
          <w:spacing w:val="14"/>
          <w:sz w:val="84"/>
          <w:szCs w:val="84"/>
          <w:highlight w:val="none"/>
        </w:rPr>
        <w:t xml:space="preserve">招 标 </w:t>
      </w:r>
      <w:r>
        <w:rPr>
          <w:rFonts w:hint="eastAsia" w:ascii="宋体" w:hAnsi="宋体" w:eastAsia="宋体" w:cs="宋体"/>
          <w:color w:val="auto"/>
          <w:spacing w:val="-14"/>
          <w:sz w:val="84"/>
          <w:szCs w:val="84"/>
          <w:highlight w:val="none"/>
        </w:rPr>
        <w:t>文 件</w:t>
      </w:r>
      <w:bookmarkEnd w:id="2"/>
      <w:bookmarkEnd w:id="3"/>
      <w:bookmarkEnd w:id="4"/>
      <w:bookmarkEnd w:id="5"/>
    </w:p>
    <w:p>
      <w:pPr>
        <w:rPr>
          <w:rFonts w:ascii="宋体" w:hAnsi="宋体" w:eastAsia="宋体" w:cs="宋体"/>
          <w:color w:val="auto"/>
          <w:highlight w:val="none"/>
        </w:rPr>
      </w:pPr>
    </w:p>
    <w:p>
      <w:pPr>
        <w:rPr>
          <w:rFonts w:ascii="宋体" w:hAnsi="宋体" w:eastAsia="宋体" w:cs="宋体"/>
          <w:color w:val="auto"/>
          <w:highlight w:val="none"/>
        </w:rPr>
      </w:pPr>
    </w:p>
    <w:p>
      <w:pPr>
        <w:rPr>
          <w:rFonts w:ascii="宋体" w:hAnsi="宋体" w:eastAsia="宋体" w:cs="宋体"/>
          <w:color w:val="auto"/>
          <w:highlight w:val="none"/>
        </w:rPr>
      </w:pPr>
    </w:p>
    <w:p>
      <w:pPr>
        <w:jc w:val="center"/>
        <w:rPr>
          <w:rFonts w:ascii="宋体" w:hAnsi="宋体" w:eastAsia="宋体" w:cs="宋体"/>
          <w:color w:val="auto"/>
          <w:sz w:val="28"/>
          <w:szCs w:val="28"/>
          <w:highlight w:val="none"/>
        </w:rPr>
      </w:pPr>
    </w:p>
    <w:p>
      <w:pPr>
        <w:rPr>
          <w:rFonts w:ascii="宋体" w:hAnsi="宋体" w:eastAsia="宋体" w:cs="宋体"/>
          <w:color w:val="auto"/>
          <w:highlight w:val="none"/>
        </w:rPr>
      </w:pPr>
    </w:p>
    <w:p>
      <w:pPr>
        <w:rPr>
          <w:rFonts w:ascii="宋体" w:hAnsi="宋体" w:eastAsia="宋体" w:cs="宋体"/>
          <w:color w:val="auto"/>
          <w:highlight w:val="none"/>
        </w:rPr>
      </w:pPr>
    </w:p>
    <w:p>
      <w:pPr>
        <w:rPr>
          <w:rFonts w:ascii="宋体" w:hAnsi="宋体" w:eastAsia="宋体" w:cs="宋体"/>
          <w:color w:val="auto"/>
          <w:highlight w:val="none"/>
        </w:rPr>
      </w:pPr>
    </w:p>
    <w:p>
      <w:pPr>
        <w:rPr>
          <w:rFonts w:ascii="宋体" w:hAnsi="宋体" w:eastAsia="宋体" w:cs="宋体"/>
          <w:color w:val="auto"/>
          <w:highlight w:val="none"/>
        </w:rPr>
      </w:pPr>
    </w:p>
    <w:p>
      <w:pPr>
        <w:rPr>
          <w:rFonts w:ascii="宋体" w:hAnsi="宋体" w:eastAsia="宋体" w:cs="宋体"/>
          <w:color w:val="auto"/>
          <w:highlight w:val="none"/>
        </w:rPr>
      </w:pPr>
    </w:p>
    <w:p>
      <w:pPr>
        <w:rPr>
          <w:rFonts w:ascii="宋体" w:hAnsi="宋体" w:eastAsia="宋体" w:cs="宋体"/>
          <w:color w:val="auto"/>
          <w:highlight w:val="none"/>
        </w:rPr>
      </w:pPr>
    </w:p>
    <w:p>
      <w:pPr>
        <w:rPr>
          <w:rFonts w:ascii="宋体" w:hAnsi="宋体" w:eastAsia="宋体" w:cs="宋体"/>
          <w:color w:val="auto"/>
          <w:highlight w:val="none"/>
        </w:rPr>
      </w:pPr>
    </w:p>
    <w:p>
      <w:pPr>
        <w:pStyle w:val="21"/>
        <w:ind w:left="420" w:firstLine="420"/>
        <w:rPr>
          <w:rFonts w:ascii="宋体" w:hAnsi="宋体" w:eastAsia="宋体" w:cs="宋体"/>
          <w:color w:val="auto"/>
          <w:highlight w:val="none"/>
        </w:rPr>
      </w:pPr>
    </w:p>
    <w:p>
      <w:pPr>
        <w:pStyle w:val="21"/>
        <w:ind w:left="420" w:firstLine="420"/>
        <w:rPr>
          <w:rFonts w:ascii="宋体" w:hAnsi="宋体" w:eastAsia="宋体" w:cs="宋体"/>
          <w:color w:val="auto"/>
          <w:highlight w:val="none"/>
        </w:rPr>
      </w:pPr>
    </w:p>
    <w:p>
      <w:pPr>
        <w:pStyle w:val="21"/>
        <w:ind w:left="420" w:firstLine="420"/>
        <w:rPr>
          <w:rFonts w:ascii="宋体" w:hAnsi="宋体" w:eastAsia="宋体" w:cs="宋体"/>
          <w:color w:val="auto"/>
          <w:highlight w:val="none"/>
        </w:rPr>
      </w:pPr>
    </w:p>
    <w:p>
      <w:pPr>
        <w:rPr>
          <w:rFonts w:ascii="宋体" w:hAnsi="宋体" w:eastAsia="宋体" w:cs="宋体"/>
          <w:color w:val="auto"/>
          <w:highlight w:val="none"/>
        </w:rPr>
      </w:pPr>
    </w:p>
    <w:p>
      <w:pPr>
        <w:pStyle w:val="21"/>
        <w:ind w:left="420" w:firstLine="420"/>
        <w:rPr>
          <w:color w:val="auto"/>
          <w:highlight w:val="none"/>
        </w:rPr>
      </w:pPr>
    </w:p>
    <w:p>
      <w:pPr>
        <w:rPr>
          <w:rFonts w:ascii="宋体" w:hAnsi="宋体" w:eastAsia="宋体" w:cs="宋体"/>
          <w:color w:val="auto"/>
          <w:highlight w:val="none"/>
        </w:rPr>
      </w:pPr>
    </w:p>
    <w:p>
      <w:pPr>
        <w:rPr>
          <w:rFonts w:ascii="宋体" w:hAnsi="宋体" w:eastAsia="宋体" w:cs="宋体"/>
          <w:color w:val="auto"/>
          <w:highlight w:val="none"/>
        </w:rPr>
      </w:pPr>
    </w:p>
    <w:p>
      <w:pPr>
        <w:spacing w:line="241" w:lineRule="auto"/>
        <w:rPr>
          <w:rFonts w:ascii="宋体" w:hAnsi="宋体" w:eastAsia="宋体" w:cs="宋体"/>
          <w:color w:val="auto"/>
          <w:highlight w:val="none"/>
        </w:rPr>
      </w:pPr>
    </w:p>
    <w:p>
      <w:pPr>
        <w:spacing w:line="241" w:lineRule="auto"/>
        <w:rPr>
          <w:rFonts w:ascii="宋体" w:hAnsi="宋体" w:eastAsia="宋体" w:cs="宋体"/>
          <w:color w:val="auto"/>
          <w:highlight w:val="none"/>
        </w:rPr>
      </w:pPr>
    </w:p>
    <w:p>
      <w:pPr>
        <w:tabs>
          <w:tab w:val="left" w:pos="3268"/>
        </w:tabs>
        <w:spacing w:line="720" w:lineRule="exact"/>
        <w:ind w:right="556" w:firstLine="1330" w:firstLineChars="500"/>
        <w:jc w:val="both"/>
        <w:rPr>
          <w:rFonts w:ascii="宋体" w:hAnsi="宋体" w:eastAsia="宋体" w:cs="宋体"/>
          <w:color w:val="auto"/>
          <w:spacing w:val="-17"/>
          <w:sz w:val="30"/>
          <w:szCs w:val="30"/>
          <w:highlight w:val="none"/>
        </w:rPr>
      </w:pPr>
      <w:r>
        <w:rPr>
          <w:rFonts w:hint="eastAsia" w:ascii="宋体" w:hAnsi="宋体" w:eastAsia="宋体" w:cs="宋体"/>
          <w:color w:val="auto"/>
          <w:spacing w:val="-17"/>
          <w:sz w:val="30"/>
          <w:szCs w:val="30"/>
          <w:highlight w:val="none"/>
        </w:rPr>
        <w:t>招  标  人</w:t>
      </w:r>
      <w:r>
        <w:rPr>
          <w:rFonts w:hint="eastAsia" w:ascii="宋体" w:hAnsi="宋体" w:eastAsia="宋体" w:cs="宋体"/>
          <w:color w:val="auto"/>
          <w:spacing w:val="-40"/>
          <w:sz w:val="30"/>
          <w:szCs w:val="30"/>
          <w:highlight w:val="none"/>
        </w:rPr>
        <w:t xml:space="preserve">： </w:t>
      </w:r>
      <w:r>
        <w:rPr>
          <w:rFonts w:hint="eastAsia" w:ascii="宋体" w:hAnsi="宋体" w:eastAsia="宋体" w:cs="宋体"/>
          <w:color w:val="auto"/>
          <w:spacing w:val="1"/>
          <w:sz w:val="30"/>
          <w:szCs w:val="30"/>
          <w:highlight w:val="none"/>
          <w:u w:val="single"/>
        </w:rPr>
        <w:t xml:space="preserve">嵊州市甘霖镇人民政府  </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pStyle w:val="21"/>
        <w:spacing w:line="720" w:lineRule="exact"/>
        <w:ind w:left="420" w:firstLine="900" w:firstLineChars="300"/>
        <w:rPr>
          <w:rFonts w:eastAsia="宋体"/>
          <w:color w:val="auto"/>
          <w:sz w:val="30"/>
          <w:szCs w:val="30"/>
          <w:highlight w:val="none"/>
        </w:rPr>
      </w:pPr>
      <w:r>
        <w:rPr>
          <w:rFonts w:hint="eastAsia" w:eastAsia="宋体"/>
          <w:color w:val="auto"/>
          <w:sz w:val="30"/>
          <w:szCs w:val="30"/>
          <w:highlight w:val="none"/>
        </w:rPr>
        <w:t>招标代理机构：</w:t>
      </w:r>
      <w:r>
        <w:rPr>
          <w:rFonts w:hint="eastAsia" w:ascii="宋体" w:hAnsi="宋体" w:eastAsia="宋体" w:cs="宋体"/>
          <w:color w:val="auto"/>
          <w:spacing w:val="1"/>
          <w:sz w:val="30"/>
          <w:szCs w:val="30"/>
          <w:highlight w:val="none"/>
          <w:u w:val="single"/>
        </w:rPr>
        <w:t>浙江卓宏建设项目管理有限公司</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tabs>
          <w:tab w:val="left" w:pos="3268"/>
        </w:tabs>
        <w:spacing w:line="720" w:lineRule="exact"/>
        <w:ind w:left="2283" w:leftChars="1087" w:right="556" w:firstLine="1005" w:firstLineChars="335"/>
        <w:jc w:val="both"/>
        <w:rPr>
          <w:rFonts w:ascii="宋体" w:hAnsi="宋体" w:eastAsia="宋体" w:cs="宋体"/>
          <w:color w:val="auto"/>
          <w:sz w:val="30"/>
          <w:szCs w:val="30"/>
          <w:highlight w:val="none"/>
        </w:rPr>
      </w:pPr>
      <w:r>
        <w:rPr>
          <w:rFonts w:hint="eastAsia" w:ascii="宋体" w:hAnsi="宋体" w:eastAsia="宋体" w:cs="宋体"/>
          <w:color w:val="auto"/>
          <w:sz w:val="30"/>
          <w:szCs w:val="30"/>
          <w:highlight w:val="none"/>
          <w:u w:val="single"/>
        </w:rPr>
        <w:t>202</w:t>
      </w:r>
      <w:r>
        <w:rPr>
          <w:rFonts w:hint="eastAsia" w:ascii="宋体" w:hAnsi="宋体" w:eastAsia="宋体" w:cs="宋体"/>
          <w:color w:val="auto"/>
          <w:sz w:val="30"/>
          <w:szCs w:val="30"/>
          <w:highlight w:val="none"/>
          <w:u w:val="single"/>
          <w:lang w:val="en-US" w:eastAsia="zh-CN"/>
        </w:rPr>
        <w:t>4</w:t>
      </w:r>
      <w:r>
        <w:rPr>
          <w:rFonts w:hint="eastAsia" w:ascii="宋体" w:hAnsi="宋体" w:eastAsia="宋体" w:cs="宋体"/>
          <w:color w:val="auto"/>
          <w:sz w:val="30"/>
          <w:szCs w:val="30"/>
          <w:highlight w:val="none"/>
          <w:u w:val="none"/>
          <w:lang w:val="en-US" w:eastAsia="zh-CN"/>
        </w:rPr>
        <w:t xml:space="preserve"> </w:t>
      </w:r>
      <w:r>
        <w:rPr>
          <w:rFonts w:hint="eastAsia" w:ascii="宋体" w:hAnsi="宋体" w:eastAsia="宋体" w:cs="宋体"/>
          <w:color w:val="auto"/>
          <w:spacing w:val="-10"/>
          <w:sz w:val="30"/>
          <w:szCs w:val="30"/>
          <w:highlight w:val="none"/>
        </w:rPr>
        <w:t>年</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2"/>
          <w:sz w:val="30"/>
          <w:szCs w:val="30"/>
          <w:highlight w:val="none"/>
          <w:u w:val="single"/>
          <w:lang w:val="en-US" w:eastAsia="zh-CN"/>
        </w:rPr>
        <w:t>01</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10"/>
          <w:sz w:val="30"/>
          <w:szCs w:val="30"/>
          <w:highlight w:val="none"/>
        </w:rPr>
        <w:t>月</w:t>
      </w:r>
    </w:p>
    <w:p>
      <w:pPr>
        <w:spacing w:line="254" w:lineRule="auto"/>
        <w:rPr>
          <w:color w:val="auto"/>
          <w:highlight w:val="none"/>
        </w:rPr>
      </w:pPr>
    </w:p>
    <w:p>
      <w:pPr>
        <w:spacing w:before="165" w:line="600" w:lineRule="exact"/>
        <w:jc w:val="center"/>
        <w:rPr>
          <w:rFonts w:ascii="宋体" w:hAnsi="宋体" w:eastAsia="宋体" w:cs="宋体"/>
          <w:b/>
          <w:bCs/>
          <w:color w:val="auto"/>
          <w:sz w:val="44"/>
          <w:szCs w:val="44"/>
          <w:highlight w:val="none"/>
        </w:rPr>
        <w:sectPr>
          <w:headerReference r:id="rId3" w:type="default"/>
          <w:footerReference r:id="rId4" w:type="default"/>
          <w:pgSz w:w="11905" w:h="16838"/>
          <w:pgMar w:top="1247" w:right="1417" w:bottom="1247" w:left="1417" w:header="0" w:footer="850" w:gutter="0"/>
          <w:pgNumType w:start="1"/>
          <w:cols w:space="0" w:num="1"/>
          <w:titlePg/>
        </w:sectPr>
      </w:pPr>
    </w:p>
    <w:p>
      <w:pPr>
        <w:spacing w:before="165" w:line="600" w:lineRule="exact"/>
        <w:jc w:val="center"/>
        <w:rPr>
          <w:rFonts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目  录</w:t>
      </w:r>
    </w:p>
    <w:sdt>
      <w:sdtPr>
        <w:rPr>
          <w:rFonts w:ascii="宋体" w:hAnsi="宋体" w:eastAsia="宋体"/>
          <w:color w:val="auto"/>
          <w:highlight w:val="none"/>
        </w:rPr>
        <w:id w:val="147452769"/>
        <w:docPartObj>
          <w:docPartGallery w:val="Table of Contents"/>
          <w:docPartUnique/>
        </w:docPartObj>
      </w:sdtPr>
      <w:sdtEndPr>
        <w:rPr>
          <w:rFonts w:ascii="宋体" w:hAnsi="宋体" w:eastAsia="宋体"/>
          <w:color w:val="auto"/>
          <w:highlight w:val="none"/>
        </w:rPr>
      </w:sdtEndPr>
      <w:sdtContent>
        <w:p>
          <w:pPr>
            <w:spacing w:line="320" w:lineRule="exact"/>
            <w:jc w:val="center"/>
            <w:rPr>
              <w:color w:val="auto"/>
              <w:highlight w:val="none"/>
            </w:rPr>
          </w:pPr>
        </w:p>
        <w:p>
          <w:pPr>
            <w:pStyle w:val="18"/>
            <w:tabs>
              <w:tab w:val="right" w:leader="dot" w:pos="9071"/>
            </w:tabs>
            <w:spacing w:before="0" w:after="0" w:line="320" w:lineRule="exact"/>
            <w:rPr>
              <w:color w:val="auto"/>
              <w:sz w:val="21"/>
              <w:szCs w:val="21"/>
              <w:highlight w:val="none"/>
            </w:rPr>
          </w:pPr>
          <w:r>
            <w:rPr>
              <w:caps w:val="0"/>
              <w:color w:val="auto"/>
              <w:sz w:val="21"/>
              <w:szCs w:val="21"/>
              <w:highlight w:val="none"/>
            </w:rPr>
            <w:fldChar w:fldCharType="begin"/>
          </w:r>
          <w:r>
            <w:rPr>
              <w:caps w:val="0"/>
              <w:color w:val="auto"/>
              <w:sz w:val="21"/>
              <w:szCs w:val="21"/>
              <w:highlight w:val="none"/>
            </w:rPr>
            <w:instrText xml:space="preserve">TOC \o "1-3" \h \u </w:instrText>
          </w:r>
          <w:r>
            <w:rPr>
              <w:caps w:val="0"/>
              <w:color w:val="auto"/>
              <w:sz w:val="21"/>
              <w:szCs w:val="21"/>
              <w:highlight w:val="none"/>
            </w:rPr>
            <w:fldChar w:fldCharType="separate"/>
          </w:r>
          <w:r>
            <w:rPr>
              <w:color w:val="auto"/>
              <w:highlight w:val="none"/>
            </w:rPr>
            <w:fldChar w:fldCharType="begin"/>
          </w:r>
          <w:r>
            <w:rPr>
              <w:color w:val="auto"/>
              <w:highlight w:val="none"/>
            </w:rPr>
            <w:instrText xml:space="preserve"> HYPERLINK \l "_Toc13896" </w:instrText>
          </w:r>
          <w:r>
            <w:rPr>
              <w:color w:val="auto"/>
              <w:highlight w:val="none"/>
            </w:rPr>
            <w:fldChar w:fldCharType="separate"/>
          </w:r>
          <w:r>
            <w:rPr>
              <w:rFonts w:ascii="黑体" w:hAnsi="黑体" w:eastAsia="黑体" w:cs="黑体"/>
              <w:color w:val="auto"/>
              <w:sz w:val="21"/>
              <w:szCs w:val="21"/>
              <w:highlight w:val="none"/>
            </w:rPr>
            <w:t>第一卷</w:t>
          </w:r>
          <w:r>
            <w:rPr>
              <w:color w:val="auto"/>
              <w:sz w:val="21"/>
              <w:szCs w:val="21"/>
              <w:highlight w:val="none"/>
            </w:rPr>
            <w:tab/>
          </w:r>
          <w:r>
            <w:rPr>
              <w:rFonts w:hint="eastAsia" w:eastAsia="宋体"/>
              <w:color w:val="auto"/>
              <w:sz w:val="21"/>
              <w:szCs w:val="21"/>
              <w:highlight w:val="none"/>
              <w:lang w:val="en-US" w:eastAsia="zh-CN"/>
            </w:rPr>
            <w:t>1</w:t>
          </w:r>
          <w:r>
            <w:rPr>
              <w:rFonts w:hint="eastAsia" w:eastAsia="宋体"/>
              <w:color w:val="auto"/>
              <w:sz w:val="21"/>
              <w:szCs w:val="21"/>
              <w:highlight w:val="none"/>
            </w:rPr>
            <w:fldChar w:fldCharType="end"/>
          </w:r>
        </w:p>
        <w:p>
          <w:pPr>
            <w:pStyle w:val="18"/>
            <w:tabs>
              <w:tab w:val="right" w:leader="dot" w:pos="9071"/>
            </w:tabs>
            <w:spacing w:before="0" w:after="0" w:line="320" w:lineRule="exact"/>
            <w:rPr>
              <w:color w:val="auto"/>
              <w:sz w:val="21"/>
              <w:szCs w:val="21"/>
              <w:highlight w:val="none"/>
            </w:rPr>
          </w:pPr>
          <w:r>
            <w:rPr>
              <w:color w:val="auto"/>
              <w:highlight w:val="none"/>
            </w:rPr>
            <w:fldChar w:fldCharType="begin"/>
          </w:r>
          <w:r>
            <w:rPr>
              <w:color w:val="auto"/>
              <w:highlight w:val="none"/>
            </w:rPr>
            <w:instrText xml:space="preserve"> HYPERLINK \l "_Toc1108" </w:instrText>
          </w:r>
          <w:r>
            <w:rPr>
              <w:color w:val="auto"/>
              <w:highlight w:val="none"/>
            </w:rPr>
            <w:fldChar w:fldCharType="separate"/>
          </w:r>
          <w:r>
            <w:rPr>
              <w:rFonts w:ascii="黑体" w:hAnsi="黑体" w:eastAsia="黑体" w:cs="黑体"/>
              <w:color w:val="auto"/>
              <w:sz w:val="21"/>
              <w:szCs w:val="21"/>
              <w:highlight w:val="none"/>
            </w:rPr>
            <w:t>第一章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招标公告</w:t>
          </w:r>
          <w:r>
            <w:rPr>
              <w:color w:val="auto"/>
              <w:sz w:val="21"/>
              <w:szCs w:val="21"/>
              <w:highlight w:val="none"/>
            </w:rPr>
            <w:tab/>
          </w:r>
          <w:r>
            <w:rPr>
              <w:rFonts w:hint="eastAsia" w:eastAsia="宋体"/>
              <w:color w:val="auto"/>
              <w:sz w:val="21"/>
              <w:szCs w:val="21"/>
              <w:highlight w:val="none"/>
              <w:lang w:val="en-US" w:eastAsia="zh-CN"/>
            </w:rPr>
            <w:t>2</w:t>
          </w:r>
          <w:r>
            <w:rPr>
              <w:rFonts w:hint="eastAsia" w:eastAsia="宋体"/>
              <w:color w:val="auto"/>
              <w:sz w:val="21"/>
              <w:szCs w:val="21"/>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"_Toc19481" </w:instrText>
          </w:r>
          <w:r>
            <w:rPr>
              <w:color w:val="auto"/>
              <w:highlight w:val="none"/>
            </w:rPr>
            <w:fldChar w:fldCharType="separate"/>
          </w:r>
          <w:r>
            <w:rPr>
              <w:rFonts w:hint="eastAsia" w:ascii="宋体" w:hAnsi="宋体" w:eastAsia="宋体" w:cs="宋体"/>
              <w:bCs/>
              <w:color w:val="auto"/>
              <w:highlight w:val="none"/>
            </w:rPr>
            <w:t>1 招标条件</w:t>
          </w:r>
          <w:r>
            <w:rPr>
              <w:color w:val="auto"/>
              <w:highlight w:val="none"/>
            </w:rPr>
            <w:tab/>
          </w:r>
          <w:r>
            <w:rPr>
              <w:color w:val="auto"/>
              <w:highlight w:val="none"/>
            </w:rPr>
            <w:fldChar w:fldCharType="begin"/>
          </w:r>
          <w:r>
            <w:rPr>
              <w:color w:val="auto"/>
              <w:highlight w:val="none"/>
            </w:rPr>
            <w:instrText xml:space="preserve"> PAGEREF _Toc19481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"_Toc19197" </w:instrText>
          </w:r>
          <w:r>
            <w:rPr>
              <w:color w:val="auto"/>
              <w:highlight w:val="none"/>
            </w:rPr>
            <w:fldChar w:fldCharType="separate"/>
          </w:r>
          <w:r>
            <w:rPr>
              <w:rFonts w:hint="eastAsia" w:ascii="宋体" w:hAnsi="宋体" w:eastAsia="宋体" w:cs="宋体"/>
              <w:bCs/>
              <w:color w:val="auto"/>
              <w:highlight w:val="none"/>
            </w:rPr>
            <w:t>2 项目概况与招标范围</w:t>
          </w:r>
          <w:r>
            <w:rPr>
              <w:color w:val="auto"/>
              <w:highlight w:val="none"/>
            </w:rPr>
            <w:tab/>
          </w:r>
          <w:r>
            <w:rPr>
              <w:color w:val="auto"/>
              <w:highlight w:val="none"/>
            </w:rPr>
            <w:fldChar w:fldCharType="begin"/>
          </w:r>
          <w:r>
            <w:rPr>
              <w:color w:val="auto"/>
              <w:highlight w:val="none"/>
            </w:rPr>
            <w:instrText xml:space="preserve"> PAGEREF _Toc19197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"_Toc18413" </w:instrText>
          </w:r>
          <w:r>
            <w:rPr>
              <w:color w:val="auto"/>
              <w:highlight w:val="none"/>
            </w:rPr>
            <w:fldChar w:fldCharType="separate"/>
          </w:r>
          <w:r>
            <w:rPr>
              <w:rFonts w:hint="eastAsia" w:ascii="宋体" w:hAnsi="宋体" w:eastAsia="宋体" w:cs="宋体"/>
              <w:bCs/>
              <w:color w:val="auto"/>
              <w:highlight w:val="none"/>
            </w:rPr>
            <w:t>3 投标人资格要求</w:t>
          </w:r>
          <w:r>
            <w:rPr>
              <w:color w:val="auto"/>
              <w:highlight w:val="none"/>
            </w:rPr>
            <w:tab/>
          </w:r>
          <w:r>
            <w:rPr>
              <w:color w:val="auto"/>
              <w:highlight w:val="none"/>
            </w:rPr>
            <w:fldChar w:fldCharType="begin"/>
          </w:r>
          <w:r>
            <w:rPr>
              <w:color w:val="auto"/>
              <w:highlight w:val="none"/>
            </w:rPr>
            <w:instrText xml:space="preserve"> PAGEREF _Toc18413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"_Toc12217" </w:instrText>
          </w:r>
          <w:r>
            <w:rPr>
              <w:color w:val="auto"/>
              <w:highlight w:val="none"/>
            </w:rPr>
            <w:fldChar w:fldCharType="separate"/>
          </w:r>
          <w:r>
            <w:rPr>
              <w:rFonts w:hint="eastAsia" w:ascii="宋体" w:hAnsi="宋体" w:eastAsia="宋体" w:cs="宋体"/>
              <w:bCs/>
              <w:color w:val="auto"/>
              <w:highlight w:val="none"/>
            </w:rPr>
            <w:t>4 招标文件的获取</w:t>
          </w:r>
          <w:r>
            <w:rPr>
              <w:color w:val="auto"/>
              <w:highlight w:val="none"/>
            </w:rPr>
            <w:tab/>
          </w:r>
          <w:r>
            <w:rPr>
              <w:color w:val="auto"/>
              <w:highlight w:val="none"/>
            </w:rPr>
            <w:fldChar w:fldCharType="begin"/>
          </w:r>
          <w:r>
            <w:rPr>
              <w:color w:val="auto"/>
              <w:highlight w:val="none"/>
            </w:rPr>
            <w:instrText xml:space="preserve"> PAGEREF _Toc12217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HYPERLINK \l "_Toc14897"</w:instrText>
          </w:r>
          <w:r>
            <w:rPr>
              <w:color w:val="auto"/>
              <w:highlight w:val="none"/>
            </w:rPr>
            <w:fldChar w:fldCharType="separate"/>
          </w:r>
          <w:r>
            <w:rPr>
              <w:rFonts w:hint="eastAsia" w:ascii="宋体" w:hAnsi="宋体" w:eastAsia="宋体" w:cs="宋体"/>
              <w:bCs/>
              <w:color w:val="auto"/>
              <w:highlight w:val="none"/>
            </w:rPr>
            <w:t xml:space="preserve">5 </w:t>
          </w:r>
          <w:r>
            <w:rPr>
              <w:rFonts w:hint="eastAsia" w:ascii="宋体" w:hAnsi="宋体" w:eastAsia="宋体" w:cs="宋体"/>
              <w:bCs/>
              <w:color w:val="auto"/>
              <w:highlight w:val="none"/>
              <w:lang w:val="en-US" w:eastAsia="zh-CN"/>
            </w:rPr>
            <w:t>投标文件</w:t>
          </w:r>
          <w:r>
            <w:rPr>
              <w:rFonts w:hint="eastAsia" w:ascii="宋体" w:hAnsi="宋体" w:eastAsia="宋体" w:cs="宋体"/>
              <w:bCs/>
              <w:color w:val="auto"/>
              <w:highlight w:val="none"/>
            </w:rPr>
            <w:t>的递交</w:t>
          </w:r>
          <w:r>
            <w:rPr>
              <w:color w:val="auto"/>
              <w:highlight w:val="none"/>
            </w:rPr>
            <w:tab/>
          </w:r>
          <w:r>
            <w:rPr>
              <w:rFonts w:hint="eastAsia" w:eastAsia="宋体"/>
              <w:color w:val="auto"/>
              <w:highlight w:val="none"/>
            </w:rPr>
            <w:t>6</w:t>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"_Toc31779" </w:instrText>
          </w:r>
          <w:r>
            <w:rPr>
              <w:color w:val="auto"/>
              <w:highlight w:val="none"/>
            </w:rPr>
            <w:fldChar w:fldCharType="separate"/>
          </w:r>
          <w:r>
            <w:rPr>
              <w:rFonts w:hint="eastAsia" w:ascii="宋体" w:hAnsi="宋体" w:eastAsia="宋体" w:cs="宋体"/>
              <w:bCs/>
              <w:color w:val="auto"/>
              <w:highlight w:val="none"/>
            </w:rPr>
            <w:t>6 发布公告的媒介</w:t>
          </w:r>
          <w:r>
            <w:rPr>
              <w:color w:val="auto"/>
              <w:highlight w:val="none"/>
            </w:rPr>
            <w:tab/>
          </w:r>
          <w:r>
            <w:rPr>
              <w:color w:val="auto"/>
              <w:highlight w:val="none"/>
            </w:rPr>
            <w:fldChar w:fldCharType="begin"/>
          </w:r>
          <w:r>
            <w:rPr>
              <w:color w:val="auto"/>
              <w:highlight w:val="none"/>
            </w:rPr>
            <w:instrText xml:space="preserve"> PAGEREF _Toc31779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"_Toc23921" </w:instrText>
          </w:r>
          <w:r>
            <w:rPr>
              <w:color w:val="auto"/>
              <w:highlight w:val="none"/>
            </w:rPr>
            <w:fldChar w:fldCharType="separate"/>
          </w:r>
          <w:r>
            <w:rPr>
              <w:rFonts w:hint="eastAsia" w:ascii="宋体" w:hAnsi="宋体" w:eastAsia="宋体" w:cs="宋体"/>
              <w:bCs/>
              <w:color w:val="auto"/>
              <w:highlight w:val="none"/>
            </w:rPr>
            <w:t>7 联系方式</w:t>
          </w:r>
          <w:r>
            <w:rPr>
              <w:color w:val="auto"/>
              <w:highlight w:val="none"/>
            </w:rPr>
            <w:tab/>
          </w:r>
          <w:r>
            <w:rPr>
              <w:color w:val="auto"/>
              <w:highlight w:val="none"/>
            </w:rPr>
            <w:fldChar w:fldCharType="begin"/>
          </w:r>
          <w:r>
            <w:rPr>
              <w:color w:val="auto"/>
              <w:highlight w:val="none"/>
            </w:rPr>
            <w:instrText xml:space="preserve"> PAGEREF _Toc23921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pPr>
            <w:pStyle w:val="18"/>
            <w:tabs>
              <w:tab w:val="right" w:leader="dot" w:pos="9071"/>
            </w:tabs>
            <w:spacing w:before="0" w:after="0" w:line="320" w:lineRule="exact"/>
            <w:rPr>
              <w:color w:val="auto"/>
              <w:sz w:val="21"/>
              <w:szCs w:val="21"/>
              <w:highlight w:val="none"/>
            </w:rPr>
          </w:pPr>
          <w:r>
            <w:rPr>
              <w:color w:val="auto"/>
              <w:highlight w:val="none"/>
            </w:rPr>
            <w:fldChar w:fldCharType="begin"/>
          </w:r>
          <w:r>
            <w:rPr>
              <w:color w:val="auto"/>
              <w:highlight w:val="none"/>
            </w:rPr>
            <w:instrText xml:space="preserve"> HYPERLINK \l "_Toc8841" </w:instrText>
          </w:r>
          <w:r>
            <w:rPr>
              <w:color w:val="auto"/>
              <w:highlight w:val="none"/>
            </w:rPr>
            <w:fldChar w:fldCharType="separate"/>
          </w:r>
          <w:r>
            <w:rPr>
              <w:rFonts w:ascii="黑体" w:hAnsi="黑体" w:eastAsia="黑体" w:cs="黑体"/>
              <w:color w:val="auto"/>
              <w:sz w:val="21"/>
              <w:szCs w:val="21"/>
              <w:highlight w:val="none"/>
            </w:rPr>
            <w:t>投标人资格条件要求附表</w:t>
          </w:r>
          <w:r>
            <w:rPr>
              <w:color w:val="auto"/>
              <w:sz w:val="21"/>
              <w:szCs w:val="21"/>
              <w:highlight w:val="none"/>
            </w:rPr>
            <w:tab/>
          </w:r>
          <w:r>
            <w:rPr>
              <w:rFonts w:hint="eastAsia" w:eastAsia="宋体"/>
              <w:color w:val="auto"/>
              <w:sz w:val="21"/>
              <w:szCs w:val="21"/>
              <w:highlight w:val="none"/>
              <w:lang w:val="en-US" w:eastAsia="zh-CN"/>
            </w:rPr>
            <w:t>4</w:t>
          </w:r>
          <w:r>
            <w:rPr>
              <w:rFonts w:hint="eastAsia" w:eastAsia="宋体"/>
              <w:color w:val="auto"/>
              <w:sz w:val="21"/>
              <w:szCs w:val="21"/>
              <w:highlight w:val="none"/>
            </w:rPr>
            <w:fldChar w:fldCharType="end"/>
          </w:r>
        </w:p>
        <w:p>
          <w:pPr>
            <w:pStyle w:val="18"/>
            <w:tabs>
              <w:tab w:val="right" w:leader="dot" w:pos="9071"/>
            </w:tabs>
            <w:spacing w:before="0" w:after="0" w:line="320" w:lineRule="exact"/>
            <w:rPr>
              <w:color w:val="auto"/>
              <w:sz w:val="21"/>
              <w:szCs w:val="21"/>
              <w:highlight w:val="none"/>
            </w:rPr>
          </w:pPr>
          <w:r>
            <w:rPr>
              <w:color w:val="auto"/>
              <w:highlight w:val="none"/>
            </w:rPr>
            <w:fldChar w:fldCharType="begin"/>
          </w:r>
          <w:r>
            <w:rPr>
              <w:color w:val="auto"/>
              <w:highlight w:val="none"/>
            </w:rPr>
            <w:instrText xml:space="preserve"> HYPERLINK \l "_Toc15595" </w:instrText>
          </w:r>
          <w:r>
            <w:rPr>
              <w:color w:val="auto"/>
              <w:highlight w:val="none"/>
            </w:rPr>
            <w:fldChar w:fldCharType="separate"/>
          </w:r>
          <w:r>
            <w:rPr>
              <w:rFonts w:ascii="黑体" w:hAnsi="黑体" w:eastAsia="黑体" w:cs="黑体"/>
              <w:color w:val="auto"/>
              <w:sz w:val="21"/>
              <w:szCs w:val="21"/>
              <w:highlight w:val="none"/>
            </w:rPr>
            <w:t>第二章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投标人须知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_Toc15595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"_Toc690" </w:instrText>
          </w:r>
          <w:r>
            <w:rPr>
              <w:color w:val="auto"/>
              <w:highlight w:val="none"/>
            </w:rPr>
            <w:fldChar w:fldCharType="separate"/>
          </w:r>
          <w:r>
            <w:rPr>
              <w:rFonts w:hint="eastAsia" w:ascii="宋体" w:hAnsi="宋体" w:eastAsia="宋体" w:cs="宋体"/>
              <w:bCs/>
              <w:color w:val="auto"/>
              <w:highlight w:val="none"/>
            </w:rPr>
            <w:t>1  总则</w:t>
          </w:r>
          <w:r>
            <w:rPr>
              <w:color w:val="auto"/>
              <w:highlight w:val="none"/>
            </w:rPr>
            <w:tab/>
          </w:r>
          <w:r>
            <w:rPr>
              <w:color w:val="auto"/>
              <w:highlight w:val="none"/>
            </w:rPr>
            <w:fldChar w:fldCharType="begin"/>
          </w:r>
          <w:r>
            <w:rPr>
              <w:color w:val="auto"/>
              <w:highlight w:val="none"/>
            </w:rPr>
            <w:instrText xml:space="preserve"> PAGEREF _Toc690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"_Toc15558" </w:instrText>
          </w:r>
          <w:r>
            <w:rPr>
              <w:color w:val="auto"/>
              <w:highlight w:val="none"/>
            </w:rPr>
            <w:fldChar w:fldCharType="separate"/>
          </w:r>
          <w:r>
            <w:rPr>
              <w:rFonts w:hint="eastAsia" w:ascii="宋体" w:hAnsi="宋体" w:eastAsia="宋体" w:cs="宋体"/>
              <w:bCs/>
              <w:color w:val="auto"/>
              <w:highlight w:val="none"/>
            </w:rPr>
            <w:t>1.1  项目概况</w:t>
          </w:r>
          <w:r>
            <w:rPr>
              <w:color w:val="auto"/>
              <w:highlight w:val="none"/>
            </w:rPr>
            <w:tab/>
          </w:r>
          <w:r>
            <w:rPr>
              <w:color w:val="auto"/>
              <w:highlight w:val="none"/>
            </w:rPr>
            <w:fldChar w:fldCharType="begin"/>
          </w:r>
          <w:r>
            <w:rPr>
              <w:color w:val="auto"/>
              <w:highlight w:val="none"/>
            </w:rPr>
            <w:instrText xml:space="preserve"> PAGEREF _Toc15558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"_Toc19901" </w:instrText>
          </w:r>
          <w:r>
            <w:rPr>
              <w:color w:val="auto"/>
              <w:highlight w:val="none"/>
            </w:rPr>
            <w:fldChar w:fldCharType="separate"/>
          </w:r>
          <w:r>
            <w:rPr>
              <w:rFonts w:hint="eastAsia" w:ascii="宋体" w:hAnsi="宋体" w:eastAsia="宋体" w:cs="宋体"/>
              <w:bCs/>
              <w:color w:val="auto"/>
              <w:highlight w:val="none"/>
            </w:rPr>
            <w:t>1.2  资金来源和落实情况</w:t>
          </w:r>
          <w:r>
            <w:rPr>
              <w:color w:val="auto"/>
              <w:highlight w:val="none"/>
            </w:rPr>
            <w:tab/>
          </w:r>
          <w:r>
            <w:rPr>
              <w:color w:val="auto"/>
              <w:highlight w:val="none"/>
            </w:rPr>
            <w:fldChar w:fldCharType="begin"/>
          </w:r>
          <w:r>
            <w:rPr>
              <w:color w:val="auto"/>
              <w:highlight w:val="none"/>
            </w:rPr>
            <w:instrText xml:space="preserve"> PAGEREF _Toc19901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"_Toc30958" </w:instrText>
          </w:r>
          <w:r>
            <w:rPr>
              <w:color w:val="auto"/>
              <w:highlight w:val="none"/>
            </w:rPr>
            <w:fldChar w:fldCharType="separate"/>
          </w:r>
          <w:r>
            <w:rPr>
              <w:rFonts w:hint="eastAsia" w:ascii="宋体" w:hAnsi="宋体" w:eastAsia="宋体" w:cs="宋体"/>
              <w:bCs/>
              <w:color w:val="auto"/>
              <w:highlight w:val="none"/>
            </w:rPr>
            <w:t>1.3  招标范围、计划工期和质量要求</w:t>
          </w:r>
          <w:r>
            <w:rPr>
              <w:color w:val="auto"/>
              <w:highlight w:val="none"/>
            </w:rPr>
            <w:tab/>
          </w:r>
          <w:r>
            <w:rPr>
              <w:color w:val="auto"/>
              <w:highlight w:val="none"/>
            </w:rPr>
            <w:fldChar w:fldCharType="begin"/>
          </w:r>
          <w:r>
            <w:rPr>
              <w:color w:val="auto"/>
              <w:highlight w:val="none"/>
            </w:rPr>
            <w:instrText xml:space="preserve"> PAGEREF _Toc30958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"_Toc18952" </w:instrText>
          </w:r>
          <w:r>
            <w:rPr>
              <w:color w:val="auto"/>
              <w:highlight w:val="none"/>
            </w:rPr>
            <w:fldChar w:fldCharType="separate"/>
          </w:r>
          <w:r>
            <w:rPr>
              <w:rFonts w:hint="eastAsia" w:ascii="宋体" w:hAnsi="宋体" w:eastAsia="宋体" w:cs="宋体"/>
              <w:bCs/>
              <w:color w:val="auto"/>
              <w:highlight w:val="none"/>
            </w:rPr>
            <w:t>1.4  投标人资格要求（适用于未进行资格预审的）</w:t>
          </w:r>
          <w:r>
            <w:rPr>
              <w:color w:val="auto"/>
              <w:highlight w:val="none"/>
            </w:rPr>
            <w:tab/>
          </w:r>
          <w:r>
            <w:rPr>
              <w:color w:val="auto"/>
              <w:highlight w:val="none"/>
            </w:rPr>
            <w:fldChar w:fldCharType="begin"/>
          </w:r>
          <w:r>
            <w:rPr>
              <w:color w:val="auto"/>
              <w:highlight w:val="none"/>
            </w:rPr>
            <w:instrText xml:space="preserve"> PAGEREF _Toc18952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"_Toc22500" </w:instrText>
          </w:r>
          <w:r>
            <w:rPr>
              <w:color w:val="auto"/>
              <w:highlight w:val="none"/>
            </w:rPr>
            <w:fldChar w:fldCharType="separate"/>
          </w:r>
          <w:r>
            <w:rPr>
              <w:rFonts w:hint="eastAsia" w:ascii="宋体" w:hAnsi="宋体" w:eastAsia="宋体" w:cs="宋体"/>
              <w:bCs/>
              <w:color w:val="auto"/>
              <w:highlight w:val="none"/>
            </w:rPr>
            <w:t>1.5  费用承担</w:t>
          </w:r>
          <w:r>
            <w:rPr>
              <w:color w:val="auto"/>
              <w:highlight w:val="none"/>
            </w:rPr>
            <w:tab/>
          </w:r>
          <w:r>
            <w:rPr>
              <w:color w:val="auto"/>
              <w:highlight w:val="none"/>
            </w:rPr>
            <w:fldChar w:fldCharType="begin"/>
          </w:r>
          <w:r>
            <w:rPr>
              <w:color w:val="auto"/>
              <w:highlight w:val="none"/>
            </w:rPr>
            <w:instrText xml:space="preserve"> PAGEREF _Toc22500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"_Toc32578" </w:instrText>
          </w:r>
          <w:r>
            <w:rPr>
              <w:color w:val="auto"/>
              <w:highlight w:val="none"/>
            </w:rPr>
            <w:fldChar w:fldCharType="separate"/>
          </w:r>
          <w:r>
            <w:rPr>
              <w:rFonts w:hint="eastAsia" w:ascii="宋体" w:hAnsi="宋体" w:eastAsia="宋体" w:cs="宋体"/>
              <w:bCs/>
              <w:color w:val="auto"/>
              <w:highlight w:val="none"/>
            </w:rPr>
            <w:t>1.6  保密</w:t>
          </w:r>
          <w:r>
            <w:rPr>
              <w:color w:val="auto"/>
              <w:highlight w:val="none"/>
            </w:rPr>
            <w:tab/>
          </w:r>
          <w:r>
            <w:rPr>
              <w:color w:val="auto"/>
              <w:highlight w:val="none"/>
            </w:rPr>
            <w:fldChar w:fldCharType="begin"/>
          </w:r>
          <w:r>
            <w:rPr>
              <w:color w:val="auto"/>
              <w:highlight w:val="none"/>
            </w:rPr>
            <w:instrText xml:space="preserve"> PAGEREF _Toc32578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"_Toc22791" </w:instrText>
          </w:r>
          <w:r>
            <w:rPr>
              <w:color w:val="auto"/>
              <w:highlight w:val="none"/>
            </w:rPr>
            <w:fldChar w:fldCharType="separate"/>
          </w:r>
          <w:r>
            <w:rPr>
              <w:rFonts w:hint="eastAsia" w:ascii="宋体" w:hAnsi="宋体" w:eastAsia="宋体" w:cs="宋体"/>
              <w:bCs/>
              <w:color w:val="auto"/>
              <w:highlight w:val="none"/>
            </w:rPr>
            <w:t>1.7  语言文字</w:t>
          </w:r>
          <w:r>
            <w:rPr>
              <w:color w:val="auto"/>
              <w:highlight w:val="none"/>
            </w:rPr>
            <w:tab/>
          </w:r>
          <w:r>
            <w:rPr>
              <w:color w:val="auto"/>
              <w:highlight w:val="none"/>
            </w:rPr>
            <w:fldChar w:fldCharType="begin"/>
          </w:r>
          <w:r>
            <w:rPr>
              <w:color w:val="auto"/>
              <w:highlight w:val="none"/>
            </w:rPr>
            <w:instrText xml:space="preserve"> PAGEREF _Toc22791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"_Toc21521" </w:instrText>
          </w:r>
          <w:r>
            <w:rPr>
              <w:color w:val="auto"/>
              <w:highlight w:val="none"/>
            </w:rPr>
            <w:fldChar w:fldCharType="separate"/>
          </w:r>
          <w:r>
            <w:rPr>
              <w:rFonts w:hint="eastAsia" w:ascii="宋体" w:hAnsi="宋体" w:eastAsia="宋体" w:cs="宋体"/>
              <w:bCs/>
              <w:color w:val="auto"/>
              <w:highlight w:val="none"/>
            </w:rPr>
            <w:t>1.8  计量单位</w:t>
          </w:r>
          <w:r>
            <w:rPr>
              <w:color w:val="auto"/>
              <w:highlight w:val="none"/>
            </w:rPr>
            <w:tab/>
          </w:r>
          <w:r>
            <w:rPr>
              <w:color w:val="auto"/>
              <w:highlight w:val="none"/>
            </w:rPr>
            <w:fldChar w:fldCharType="begin"/>
          </w:r>
          <w:r>
            <w:rPr>
              <w:color w:val="auto"/>
              <w:highlight w:val="none"/>
            </w:rPr>
            <w:instrText xml:space="preserve"> PAGEREF _Toc21521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"_Toc8730" </w:instrText>
          </w:r>
          <w:r>
            <w:rPr>
              <w:color w:val="auto"/>
              <w:highlight w:val="none"/>
            </w:rPr>
            <w:fldChar w:fldCharType="separate"/>
          </w:r>
          <w:r>
            <w:rPr>
              <w:rFonts w:hint="eastAsia" w:ascii="宋体" w:hAnsi="宋体" w:eastAsia="宋体" w:cs="宋体"/>
              <w:bCs/>
              <w:color w:val="auto"/>
              <w:highlight w:val="none"/>
            </w:rPr>
            <w:t>1.9  踏勘现场</w:t>
          </w:r>
          <w:r>
            <w:rPr>
              <w:color w:val="auto"/>
              <w:highlight w:val="none"/>
            </w:rPr>
            <w:tab/>
          </w:r>
          <w:r>
            <w:rPr>
              <w:color w:val="auto"/>
              <w:highlight w:val="none"/>
            </w:rPr>
            <w:fldChar w:fldCharType="begin"/>
          </w:r>
          <w:r>
            <w:rPr>
              <w:color w:val="auto"/>
              <w:highlight w:val="none"/>
            </w:rPr>
            <w:instrText xml:space="preserve"> PAGEREF _Toc8730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"_Toc12793" </w:instrText>
          </w:r>
          <w:r>
            <w:rPr>
              <w:color w:val="auto"/>
              <w:highlight w:val="none"/>
            </w:rPr>
            <w:fldChar w:fldCharType="separate"/>
          </w:r>
          <w:r>
            <w:rPr>
              <w:rFonts w:hint="eastAsia" w:ascii="宋体" w:hAnsi="宋体" w:eastAsia="宋体" w:cs="宋体"/>
              <w:bCs/>
              <w:color w:val="auto"/>
              <w:highlight w:val="none"/>
            </w:rPr>
            <w:t>1.10 投标预备会</w:t>
          </w:r>
          <w:r>
            <w:rPr>
              <w:color w:val="auto"/>
              <w:highlight w:val="none"/>
            </w:rPr>
            <w:tab/>
          </w:r>
          <w:r>
            <w:rPr>
              <w:color w:val="auto"/>
              <w:highlight w:val="none"/>
            </w:rPr>
            <w:fldChar w:fldCharType="begin"/>
          </w:r>
          <w:r>
            <w:rPr>
              <w:color w:val="auto"/>
              <w:highlight w:val="none"/>
            </w:rPr>
            <w:instrText xml:space="preserve"> PAGEREF _Toc12793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"_Toc11802" </w:instrText>
          </w:r>
          <w:r>
            <w:rPr>
              <w:color w:val="auto"/>
              <w:highlight w:val="none"/>
            </w:rPr>
            <w:fldChar w:fldCharType="separate"/>
          </w:r>
          <w:r>
            <w:rPr>
              <w:rFonts w:hint="eastAsia" w:ascii="宋体" w:hAnsi="宋体" w:eastAsia="宋体" w:cs="宋体"/>
              <w:bCs/>
              <w:color w:val="auto"/>
              <w:highlight w:val="none"/>
            </w:rPr>
            <w:t>1.11 分包</w:t>
          </w:r>
          <w:r>
            <w:rPr>
              <w:color w:val="auto"/>
              <w:highlight w:val="none"/>
            </w:rPr>
            <w:tab/>
          </w:r>
          <w:r>
            <w:rPr>
              <w:color w:val="auto"/>
              <w:highlight w:val="none"/>
            </w:rPr>
            <w:fldChar w:fldCharType="begin"/>
          </w:r>
          <w:r>
            <w:rPr>
              <w:color w:val="auto"/>
              <w:highlight w:val="none"/>
            </w:rPr>
            <w:instrText xml:space="preserve"> PAGEREF _Toc11802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"_Toc10599" </w:instrText>
          </w:r>
          <w:r>
            <w:rPr>
              <w:color w:val="auto"/>
              <w:highlight w:val="none"/>
            </w:rPr>
            <w:fldChar w:fldCharType="separate"/>
          </w:r>
          <w:r>
            <w:rPr>
              <w:rFonts w:hint="eastAsia" w:ascii="宋体" w:hAnsi="宋体" w:eastAsia="宋体" w:cs="宋体"/>
              <w:bCs/>
              <w:color w:val="auto"/>
              <w:highlight w:val="none"/>
            </w:rPr>
            <w:t>1.12 偏离</w:t>
          </w:r>
          <w:r>
            <w:rPr>
              <w:color w:val="auto"/>
              <w:highlight w:val="none"/>
            </w:rPr>
            <w:tab/>
          </w:r>
          <w:r>
            <w:rPr>
              <w:color w:val="auto"/>
              <w:highlight w:val="none"/>
            </w:rPr>
            <w:fldChar w:fldCharType="begin"/>
          </w:r>
          <w:r>
            <w:rPr>
              <w:color w:val="auto"/>
              <w:highlight w:val="none"/>
            </w:rPr>
            <w:instrText xml:space="preserve"> PAGEREF _Toc10599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"_Toc20385" </w:instrText>
          </w:r>
          <w:r>
            <w:rPr>
              <w:color w:val="auto"/>
              <w:highlight w:val="none"/>
            </w:rPr>
            <w:fldChar w:fldCharType="separate"/>
          </w:r>
          <w:r>
            <w:rPr>
              <w:rFonts w:hint="eastAsia" w:ascii="宋体" w:hAnsi="宋体" w:eastAsia="宋体" w:cs="宋体"/>
              <w:bCs/>
              <w:color w:val="auto"/>
              <w:highlight w:val="none"/>
            </w:rPr>
            <w:t>2  招标文件</w:t>
          </w:r>
          <w:r>
            <w:rPr>
              <w:color w:val="auto"/>
              <w:highlight w:val="none"/>
            </w:rPr>
            <w:tab/>
          </w:r>
          <w:r>
            <w:rPr>
              <w:color w:val="auto"/>
              <w:highlight w:val="none"/>
            </w:rPr>
            <w:fldChar w:fldCharType="begin"/>
          </w:r>
          <w:r>
            <w:rPr>
              <w:color w:val="auto"/>
              <w:highlight w:val="none"/>
            </w:rPr>
            <w:instrText xml:space="preserve"> PAGEREF _Toc20385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"_Toc7938" </w:instrText>
          </w:r>
          <w:r>
            <w:rPr>
              <w:color w:val="auto"/>
              <w:highlight w:val="none"/>
            </w:rPr>
            <w:fldChar w:fldCharType="separate"/>
          </w:r>
          <w:r>
            <w:rPr>
              <w:rFonts w:hint="eastAsia" w:ascii="宋体" w:hAnsi="宋体" w:eastAsia="宋体" w:cs="宋体"/>
              <w:bCs/>
              <w:color w:val="auto"/>
              <w:highlight w:val="none"/>
            </w:rPr>
            <w:t>2.1  招标文件的组成</w:t>
          </w:r>
          <w:r>
            <w:rPr>
              <w:color w:val="auto"/>
              <w:highlight w:val="none"/>
            </w:rPr>
            <w:tab/>
          </w:r>
          <w:r>
            <w:rPr>
              <w:color w:val="auto"/>
              <w:highlight w:val="none"/>
            </w:rPr>
            <w:fldChar w:fldCharType="begin"/>
          </w:r>
          <w:r>
            <w:rPr>
              <w:color w:val="auto"/>
              <w:highlight w:val="none"/>
            </w:rPr>
            <w:instrText xml:space="preserve"> PAGEREF _Toc7938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"_Toc2911" </w:instrText>
          </w:r>
          <w:r>
            <w:rPr>
              <w:color w:val="auto"/>
              <w:highlight w:val="none"/>
            </w:rPr>
            <w:fldChar w:fldCharType="separate"/>
          </w:r>
          <w:r>
            <w:rPr>
              <w:rFonts w:hint="eastAsia" w:ascii="宋体" w:hAnsi="宋体" w:eastAsia="宋体" w:cs="宋体"/>
              <w:bCs/>
              <w:color w:val="auto"/>
              <w:highlight w:val="none"/>
            </w:rPr>
            <w:t>2.2  招标文件的澄清</w:t>
          </w:r>
          <w:r>
            <w:rPr>
              <w:color w:val="auto"/>
              <w:highlight w:val="none"/>
            </w:rPr>
            <w:tab/>
          </w:r>
          <w:r>
            <w:rPr>
              <w:color w:val="auto"/>
              <w:highlight w:val="none"/>
            </w:rPr>
            <w:fldChar w:fldCharType="begin"/>
          </w:r>
          <w:r>
            <w:rPr>
              <w:color w:val="auto"/>
              <w:highlight w:val="none"/>
            </w:rPr>
            <w:instrText xml:space="preserve"> PAGEREF _Toc2911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"_Toc5309" </w:instrText>
          </w:r>
          <w:r>
            <w:rPr>
              <w:color w:val="auto"/>
              <w:highlight w:val="none"/>
            </w:rPr>
            <w:fldChar w:fldCharType="separate"/>
          </w:r>
          <w:r>
            <w:rPr>
              <w:rFonts w:hint="eastAsia" w:ascii="宋体" w:hAnsi="宋体" w:eastAsia="宋体" w:cs="宋体"/>
              <w:bCs/>
              <w:color w:val="auto"/>
              <w:highlight w:val="none"/>
            </w:rPr>
            <w:t>2.3  招标文件的修改</w:t>
          </w:r>
          <w:r>
            <w:rPr>
              <w:color w:val="auto"/>
              <w:highlight w:val="none"/>
            </w:rPr>
            <w:tab/>
          </w:r>
          <w:r>
            <w:rPr>
              <w:color w:val="auto"/>
              <w:highlight w:val="none"/>
            </w:rPr>
            <w:fldChar w:fldCharType="begin"/>
          </w:r>
          <w:r>
            <w:rPr>
              <w:color w:val="auto"/>
              <w:highlight w:val="none"/>
            </w:rPr>
            <w:instrText xml:space="preserve"> PAGEREF _Toc5309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"_Toc13175" </w:instrText>
          </w:r>
          <w:r>
            <w:rPr>
              <w:color w:val="auto"/>
              <w:highlight w:val="none"/>
            </w:rPr>
            <w:fldChar w:fldCharType="separate"/>
          </w:r>
          <w:r>
            <w:rPr>
              <w:rFonts w:hint="eastAsia" w:ascii="宋体" w:hAnsi="宋体" w:eastAsia="宋体" w:cs="宋体"/>
              <w:bCs/>
              <w:color w:val="auto"/>
              <w:highlight w:val="none"/>
            </w:rPr>
            <w:t>3  投标文件</w:t>
          </w:r>
          <w:r>
            <w:rPr>
              <w:color w:val="auto"/>
              <w:highlight w:val="none"/>
            </w:rPr>
            <w:tab/>
          </w:r>
          <w:r>
            <w:rPr>
              <w:color w:val="auto"/>
              <w:highlight w:val="none"/>
            </w:rPr>
            <w:fldChar w:fldCharType="begin"/>
          </w:r>
          <w:r>
            <w:rPr>
              <w:color w:val="auto"/>
              <w:highlight w:val="none"/>
            </w:rPr>
            <w:instrText xml:space="preserve"> PAGEREF _Toc13175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"_Toc29754" </w:instrText>
          </w:r>
          <w:r>
            <w:rPr>
              <w:color w:val="auto"/>
              <w:highlight w:val="none"/>
            </w:rPr>
            <w:fldChar w:fldCharType="separate"/>
          </w:r>
          <w:r>
            <w:rPr>
              <w:rFonts w:hint="eastAsia" w:ascii="宋体" w:hAnsi="宋体" w:eastAsia="宋体" w:cs="宋体"/>
              <w:bCs/>
              <w:color w:val="auto"/>
              <w:highlight w:val="none"/>
              <w:lang w:val="zh-CN"/>
            </w:rPr>
            <w:t>3.1</w:t>
          </w:r>
          <w:r>
            <w:rPr>
              <w:rFonts w:hint="eastAsia" w:ascii="宋体" w:hAnsi="宋体" w:eastAsia="宋体" w:cs="宋体"/>
              <w:bCs/>
              <w:color w:val="auto"/>
              <w:highlight w:val="none"/>
            </w:rPr>
            <w:t xml:space="preserve">  投标文件的组成</w:t>
          </w:r>
          <w:r>
            <w:rPr>
              <w:color w:val="auto"/>
              <w:highlight w:val="none"/>
            </w:rPr>
            <w:tab/>
          </w:r>
          <w:r>
            <w:rPr>
              <w:color w:val="auto"/>
              <w:highlight w:val="none"/>
            </w:rPr>
            <w:fldChar w:fldCharType="begin"/>
          </w:r>
          <w:r>
            <w:rPr>
              <w:color w:val="auto"/>
              <w:highlight w:val="none"/>
            </w:rPr>
            <w:instrText xml:space="preserve"> PAGEREF _Toc29754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"_Toc13002" </w:instrText>
          </w:r>
          <w:r>
            <w:rPr>
              <w:color w:val="auto"/>
              <w:highlight w:val="none"/>
            </w:rPr>
            <w:fldChar w:fldCharType="separate"/>
          </w:r>
          <w:r>
            <w:rPr>
              <w:rFonts w:hint="eastAsia" w:ascii="宋体" w:hAnsi="宋体" w:eastAsia="宋体" w:cs="宋体"/>
              <w:bCs/>
              <w:color w:val="auto"/>
              <w:highlight w:val="none"/>
            </w:rPr>
            <w:t xml:space="preserve">3.2  </w:t>
          </w:r>
          <w:r>
            <w:rPr>
              <w:rFonts w:hint="eastAsia" w:ascii="宋体" w:hAnsi="宋体" w:eastAsia="宋体" w:cs="宋体"/>
              <w:bCs/>
              <w:color w:val="auto"/>
              <w:highlight w:val="none"/>
              <w:lang w:val="zh-CN"/>
            </w:rPr>
            <w:t>投标报价</w:t>
          </w:r>
          <w:r>
            <w:rPr>
              <w:color w:val="auto"/>
              <w:highlight w:val="none"/>
            </w:rPr>
            <w:tab/>
          </w:r>
          <w:r>
            <w:rPr>
              <w:color w:val="auto"/>
              <w:highlight w:val="none"/>
            </w:rPr>
            <w:fldChar w:fldCharType="begin"/>
          </w:r>
          <w:r>
            <w:rPr>
              <w:color w:val="auto"/>
              <w:highlight w:val="none"/>
            </w:rPr>
            <w:instrText xml:space="preserve"> PAGEREF _Toc13002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"_Toc11645" </w:instrText>
          </w:r>
          <w:r>
            <w:rPr>
              <w:color w:val="auto"/>
              <w:highlight w:val="none"/>
            </w:rPr>
            <w:fldChar w:fldCharType="separate"/>
          </w:r>
          <w:r>
            <w:rPr>
              <w:rFonts w:hint="eastAsia" w:ascii="宋体" w:hAnsi="宋体" w:eastAsia="宋体" w:cs="宋体"/>
              <w:bCs/>
              <w:color w:val="auto"/>
              <w:highlight w:val="none"/>
            </w:rPr>
            <w:t>3.3  投标有效期</w:t>
          </w:r>
          <w:r>
            <w:rPr>
              <w:color w:val="auto"/>
              <w:highlight w:val="none"/>
            </w:rPr>
            <w:tab/>
          </w:r>
          <w:r>
            <w:rPr>
              <w:color w:val="auto"/>
              <w:highlight w:val="none"/>
            </w:rPr>
            <w:fldChar w:fldCharType="begin"/>
          </w:r>
          <w:r>
            <w:rPr>
              <w:color w:val="auto"/>
              <w:highlight w:val="none"/>
            </w:rPr>
            <w:instrText xml:space="preserve"> PAGEREF _Toc11645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"_Toc12138" </w:instrText>
          </w:r>
          <w:r>
            <w:rPr>
              <w:color w:val="auto"/>
              <w:highlight w:val="none"/>
            </w:rPr>
            <w:fldChar w:fldCharType="separate"/>
          </w:r>
          <w:r>
            <w:rPr>
              <w:rFonts w:hint="eastAsia" w:ascii="宋体" w:hAnsi="宋体" w:eastAsia="宋体" w:cs="宋体"/>
              <w:bCs/>
              <w:color w:val="auto"/>
              <w:highlight w:val="none"/>
            </w:rPr>
            <w:t>3.4  投标保证金</w:t>
          </w:r>
          <w:r>
            <w:rPr>
              <w:color w:val="auto"/>
              <w:highlight w:val="none"/>
            </w:rPr>
            <w:tab/>
          </w:r>
          <w:r>
            <w:rPr>
              <w:color w:val="auto"/>
              <w:highlight w:val="none"/>
            </w:rPr>
            <w:fldChar w:fldCharType="begin"/>
          </w:r>
          <w:r>
            <w:rPr>
              <w:color w:val="auto"/>
              <w:highlight w:val="none"/>
            </w:rPr>
            <w:instrText xml:space="preserve"> PAGEREF _Toc12138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"_Toc21506" </w:instrText>
          </w:r>
          <w:r>
            <w:rPr>
              <w:color w:val="auto"/>
              <w:highlight w:val="none"/>
            </w:rPr>
            <w:fldChar w:fldCharType="separate"/>
          </w:r>
          <w:r>
            <w:rPr>
              <w:rFonts w:hint="eastAsia" w:ascii="宋体" w:hAnsi="宋体" w:eastAsia="宋体" w:cs="宋体"/>
              <w:bCs/>
              <w:color w:val="auto"/>
              <w:highlight w:val="none"/>
            </w:rPr>
            <w:t>3.5  资格审查资料（适用于未进行资格预审的）</w:t>
          </w:r>
          <w:r>
            <w:rPr>
              <w:color w:val="auto"/>
              <w:highlight w:val="none"/>
            </w:rPr>
            <w:tab/>
          </w:r>
          <w:r>
            <w:rPr>
              <w:color w:val="auto"/>
              <w:highlight w:val="none"/>
            </w:rPr>
            <w:fldChar w:fldCharType="begin"/>
          </w:r>
          <w:r>
            <w:rPr>
              <w:color w:val="auto"/>
              <w:highlight w:val="none"/>
            </w:rPr>
            <w:instrText xml:space="preserve"> PAGEREF _Toc21506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"_Toc9675" </w:instrText>
          </w:r>
          <w:r>
            <w:rPr>
              <w:color w:val="auto"/>
              <w:highlight w:val="none"/>
            </w:rPr>
            <w:fldChar w:fldCharType="separate"/>
          </w:r>
          <w:r>
            <w:rPr>
              <w:rFonts w:hint="eastAsia" w:ascii="宋体" w:hAnsi="宋体" w:eastAsia="宋体" w:cs="宋体"/>
              <w:bCs/>
              <w:color w:val="auto"/>
              <w:highlight w:val="none"/>
            </w:rPr>
            <w:t>3.6  备选投标方案</w:t>
          </w:r>
          <w:r>
            <w:rPr>
              <w:color w:val="auto"/>
              <w:highlight w:val="none"/>
            </w:rPr>
            <w:tab/>
          </w:r>
          <w:r>
            <w:rPr>
              <w:color w:val="auto"/>
              <w:highlight w:val="none"/>
            </w:rPr>
            <w:fldChar w:fldCharType="begin"/>
          </w:r>
          <w:r>
            <w:rPr>
              <w:color w:val="auto"/>
              <w:highlight w:val="none"/>
            </w:rPr>
            <w:instrText xml:space="preserve"> PAGEREF _Toc9675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"_Toc30128" </w:instrText>
          </w:r>
          <w:r>
            <w:rPr>
              <w:color w:val="auto"/>
              <w:highlight w:val="none"/>
            </w:rPr>
            <w:fldChar w:fldCharType="separate"/>
          </w:r>
          <w:r>
            <w:rPr>
              <w:rFonts w:hint="eastAsia" w:ascii="宋体" w:hAnsi="宋体" w:eastAsia="宋体" w:cs="宋体"/>
              <w:bCs/>
              <w:color w:val="auto"/>
              <w:highlight w:val="none"/>
            </w:rPr>
            <w:t>3.7  投标文件的编制</w:t>
          </w:r>
          <w:r>
            <w:rPr>
              <w:color w:val="auto"/>
              <w:highlight w:val="none"/>
            </w:rPr>
            <w:tab/>
          </w:r>
          <w:r>
            <w:rPr>
              <w:color w:val="auto"/>
              <w:highlight w:val="none"/>
            </w:rPr>
            <w:fldChar w:fldCharType="begin"/>
          </w:r>
          <w:r>
            <w:rPr>
              <w:color w:val="auto"/>
              <w:highlight w:val="none"/>
            </w:rPr>
            <w:instrText xml:space="preserve"> PAGEREF _Toc30128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"_Toc27251" </w:instrText>
          </w:r>
          <w:r>
            <w:rPr>
              <w:color w:val="auto"/>
              <w:highlight w:val="none"/>
            </w:rPr>
            <w:fldChar w:fldCharType="separate"/>
          </w:r>
          <w:r>
            <w:rPr>
              <w:rFonts w:hint="eastAsia" w:ascii="宋体" w:hAnsi="宋体" w:eastAsia="宋体" w:cs="宋体"/>
              <w:bCs/>
              <w:color w:val="auto"/>
              <w:highlight w:val="none"/>
            </w:rPr>
            <w:t>4  投标</w:t>
          </w:r>
          <w:r>
            <w:rPr>
              <w:color w:val="auto"/>
              <w:highlight w:val="none"/>
            </w:rPr>
            <w:tab/>
          </w:r>
          <w:r>
            <w:rPr>
              <w:color w:val="auto"/>
              <w:highlight w:val="none"/>
            </w:rPr>
            <w:fldChar w:fldCharType="begin"/>
          </w:r>
          <w:r>
            <w:rPr>
              <w:color w:val="auto"/>
              <w:highlight w:val="none"/>
            </w:rPr>
            <w:instrText xml:space="preserve"> PAGEREF _Toc27251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"_Toc579" </w:instrText>
          </w:r>
          <w:r>
            <w:rPr>
              <w:color w:val="auto"/>
              <w:highlight w:val="none"/>
            </w:rPr>
            <w:fldChar w:fldCharType="separate"/>
          </w:r>
          <w:r>
            <w:rPr>
              <w:rFonts w:hint="eastAsia" w:ascii="宋体" w:hAnsi="宋体" w:eastAsia="宋体" w:cs="宋体"/>
              <w:bCs/>
              <w:color w:val="auto"/>
              <w:highlight w:val="none"/>
            </w:rPr>
            <w:t>4.1  投标文件的密封和标识</w:t>
          </w:r>
          <w:r>
            <w:rPr>
              <w:color w:val="auto"/>
              <w:highlight w:val="none"/>
            </w:rPr>
            <w:tab/>
          </w:r>
          <w:r>
            <w:rPr>
              <w:color w:val="auto"/>
              <w:highlight w:val="none"/>
            </w:rPr>
            <w:fldChar w:fldCharType="begin"/>
          </w:r>
          <w:r>
            <w:rPr>
              <w:color w:val="auto"/>
              <w:highlight w:val="none"/>
            </w:rPr>
            <w:instrText xml:space="preserve"> PAGEREF _Toc579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"_Toc11832" </w:instrText>
          </w:r>
          <w:r>
            <w:rPr>
              <w:color w:val="auto"/>
              <w:highlight w:val="none"/>
            </w:rPr>
            <w:fldChar w:fldCharType="separate"/>
          </w:r>
          <w:r>
            <w:rPr>
              <w:rFonts w:hint="eastAsia" w:ascii="宋体" w:hAnsi="宋体" w:eastAsia="宋体" w:cs="宋体"/>
              <w:bCs/>
              <w:color w:val="auto"/>
              <w:highlight w:val="none"/>
            </w:rPr>
            <w:t>4.2  投标文件的递交</w:t>
          </w:r>
          <w:r>
            <w:rPr>
              <w:color w:val="auto"/>
              <w:highlight w:val="none"/>
            </w:rPr>
            <w:tab/>
          </w:r>
          <w:r>
            <w:rPr>
              <w:color w:val="auto"/>
              <w:highlight w:val="none"/>
            </w:rPr>
            <w:fldChar w:fldCharType="begin"/>
          </w:r>
          <w:r>
            <w:rPr>
              <w:color w:val="auto"/>
              <w:highlight w:val="none"/>
            </w:rPr>
            <w:instrText xml:space="preserve"> PAGEREF _Toc11832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"_Toc3871" </w:instrText>
          </w:r>
          <w:r>
            <w:rPr>
              <w:color w:val="auto"/>
              <w:highlight w:val="none"/>
            </w:rPr>
            <w:fldChar w:fldCharType="separate"/>
          </w:r>
          <w:r>
            <w:rPr>
              <w:rFonts w:hint="eastAsia" w:ascii="宋体" w:hAnsi="宋体" w:eastAsia="宋体" w:cs="宋体"/>
              <w:bCs/>
              <w:color w:val="auto"/>
              <w:highlight w:val="none"/>
            </w:rPr>
            <w:t>4.3  投标文件的修改与撤回</w:t>
          </w:r>
          <w:r>
            <w:rPr>
              <w:color w:val="auto"/>
              <w:highlight w:val="none"/>
            </w:rPr>
            <w:tab/>
          </w:r>
          <w:r>
            <w:rPr>
              <w:color w:val="auto"/>
              <w:highlight w:val="none"/>
            </w:rPr>
            <w:fldChar w:fldCharType="begin"/>
          </w:r>
          <w:r>
            <w:rPr>
              <w:color w:val="auto"/>
              <w:highlight w:val="none"/>
            </w:rPr>
            <w:instrText xml:space="preserve"> PAGEREF _Toc3871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"_Toc16710" </w:instrText>
          </w:r>
          <w:r>
            <w:rPr>
              <w:color w:val="auto"/>
              <w:highlight w:val="none"/>
            </w:rPr>
            <w:fldChar w:fldCharType="separate"/>
          </w:r>
          <w:r>
            <w:rPr>
              <w:rFonts w:hint="eastAsia" w:ascii="宋体" w:hAnsi="宋体" w:eastAsia="宋体" w:cs="宋体"/>
              <w:bCs/>
              <w:color w:val="auto"/>
              <w:highlight w:val="none"/>
            </w:rPr>
            <w:t>5  开标</w:t>
          </w:r>
          <w:r>
            <w:rPr>
              <w:color w:val="auto"/>
              <w:highlight w:val="none"/>
            </w:rPr>
            <w:tab/>
          </w:r>
          <w:r>
            <w:rPr>
              <w:color w:val="auto"/>
              <w:highlight w:val="none"/>
            </w:rPr>
            <w:fldChar w:fldCharType="begin"/>
          </w:r>
          <w:r>
            <w:rPr>
              <w:color w:val="auto"/>
              <w:highlight w:val="none"/>
            </w:rPr>
            <w:instrText xml:space="preserve"> PAGEREF _Toc16710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sectPr>
              <w:footerReference r:id="rId5" w:type="default"/>
              <w:pgSz w:w="11905" w:h="16838"/>
              <w:pgMar w:top="1247" w:right="1417" w:bottom="1247" w:left="1417" w:header="0" w:footer="850" w:gutter="0"/>
              <w:pgNumType w:start="1"/>
              <w:cols w:space="0" w:num="1"/>
            </w:sectPr>
          </w:pP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"_Toc25263" </w:instrText>
          </w:r>
          <w:r>
            <w:rPr>
              <w:color w:val="auto"/>
              <w:highlight w:val="none"/>
            </w:rPr>
            <w:fldChar w:fldCharType="separate"/>
          </w:r>
          <w:r>
            <w:rPr>
              <w:rFonts w:hint="eastAsia" w:ascii="宋体" w:hAnsi="宋体" w:eastAsia="宋体" w:cs="宋体"/>
              <w:bCs/>
              <w:color w:val="auto"/>
              <w:highlight w:val="none"/>
            </w:rPr>
            <w:t>5.1  开标时间和地点</w:t>
          </w:r>
          <w:r>
            <w:rPr>
              <w:color w:val="auto"/>
              <w:highlight w:val="none"/>
            </w:rPr>
            <w:tab/>
          </w:r>
          <w:r>
            <w:rPr>
              <w:color w:val="auto"/>
              <w:highlight w:val="none"/>
            </w:rPr>
            <w:fldChar w:fldCharType="begin"/>
          </w:r>
          <w:r>
            <w:rPr>
              <w:color w:val="auto"/>
              <w:highlight w:val="none"/>
            </w:rPr>
            <w:instrText xml:space="preserve"> PAGEREF _Toc25263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"_Toc29576" </w:instrText>
          </w:r>
          <w:r>
            <w:rPr>
              <w:color w:val="auto"/>
              <w:highlight w:val="none"/>
            </w:rPr>
            <w:fldChar w:fldCharType="separate"/>
          </w:r>
          <w:r>
            <w:rPr>
              <w:rFonts w:hint="eastAsia" w:ascii="宋体" w:hAnsi="宋体" w:eastAsia="宋体" w:cs="宋体"/>
              <w:bCs/>
              <w:color w:val="auto"/>
              <w:highlight w:val="none"/>
            </w:rPr>
            <w:t>5.2  开标程序</w:t>
          </w:r>
          <w:r>
            <w:rPr>
              <w:color w:val="auto"/>
              <w:highlight w:val="none"/>
            </w:rPr>
            <w:tab/>
          </w:r>
          <w:r>
            <w:rPr>
              <w:color w:val="auto"/>
              <w:highlight w:val="none"/>
            </w:rPr>
            <w:fldChar w:fldCharType="begin"/>
          </w:r>
          <w:r>
            <w:rPr>
              <w:color w:val="auto"/>
              <w:highlight w:val="none"/>
            </w:rPr>
            <w:instrText xml:space="preserve"> PAGEREF _Toc29576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"_Toc19383" </w:instrText>
          </w:r>
          <w:r>
            <w:rPr>
              <w:color w:val="auto"/>
              <w:highlight w:val="none"/>
            </w:rPr>
            <w:fldChar w:fldCharType="separate"/>
          </w:r>
          <w:r>
            <w:rPr>
              <w:rFonts w:hint="eastAsia" w:ascii="宋体" w:hAnsi="宋体" w:eastAsia="宋体" w:cs="宋体"/>
              <w:bCs/>
              <w:color w:val="auto"/>
              <w:highlight w:val="none"/>
            </w:rPr>
            <w:t>5.3  特殊情况处置</w:t>
          </w:r>
          <w:r>
            <w:rPr>
              <w:color w:val="auto"/>
              <w:highlight w:val="none"/>
            </w:rPr>
            <w:tab/>
          </w:r>
          <w:r>
            <w:rPr>
              <w:color w:val="auto"/>
              <w:highlight w:val="none"/>
            </w:rPr>
            <w:fldChar w:fldCharType="begin"/>
          </w:r>
          <w:r>
            <w:rPr>
              <w:color w:val="auto"/>
              <w:highlight w:val="none"/>
            </w:rPr>
            <w:instrText xml:space="preserve"> PAGEREF _Toc19383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"_Toc9511" </w:instrText>
          </w:r>
          <w:r>
            <w:rPr>
              <w:color w:val="auto"/>
              <w:highlight w:val="none"/>
            </w:rPr>
            <w:fldChar w:fldCharType="separate"/>
          </w:r>
          <w:r>
            <w:rPr>
              <w:rFonts w:hint="eastAsia" w:ascii="宋体" w:hAnsi="宋体" w:eastAsia="宋体" w:cs="宋体"/>
              <w:bCs/>
              <w:color w:val="auto"/>
              <w:highlight w:val="none"/>
            </w:rPr>
            <w:t>5.4  开标异议</w:t>
          </w:r>
          <w:r>
            <w:rPr>
              <w:color w:val="auto"/>
              <w:highlight w:val="none"/>
            </w:rPr>
            <w:tab/>
          </w:r>
          <w:r>
            <w:rPr>
              <w:color w:val="auto"/>
              <w:highlight w:val="none"/>
            </w:rPr>
            <w:fldChar w:fldCharType="begin"/>
          </w:r>
          <w:r>
            <w:rPr>
              <w:color w:val="auto"/>
              <w:highlight w:val="none"/>
            </w:rPr>
            <w:instrText xml:space="preserve"> PAGEREF _Toc9511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"_Toc11337" </w:instrText>
          </w:r>
          <w:r>
            <w:rPr>
              <w:color w:val="auto"/>
              <w:highlight w:val="none"/>
            </w:rPr>
            <w:fldChar w:fldCharType="separate"/>
          </w:r>
          <w:r>
            <w:rPr>
              <w:rFonts w:hint="eastAsia" w:ascii="宋体" w:hAnsi="宋体" w:eastAsia="宋体" w:cs="宋体"/>
              <w:bCs/>
              <w:color w:val="auto"/>
              <w:highlight w:val="none"/>
            </w:rPr>
            <w:t>6  评标</w:t>
          </w:r>
          <w:r>
            <w:rPr>
              <w:color w:val="auto"/>
              <w:highlight w:val="none"/>
            </w:rPr>
            <w:tab/>
          </w:r>
          <w:r>
            <w:rPr>
              <w:color w:val="auto"/>
              <w:highlight w:val="none"/>
            </w:rPr>
            <w:fldChar w:fldCharType="begin"/>
          </w:r>
          <w:r>
            <w:rPr>
              <w:color w:val="auto"/>
              <w:highlight w:val="none"/>
            </w:rPr>
            <w:instrText xml:space="preserve"> PAGEREF _Toc11337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"_Toc28737" </w:instrText>
          </w:r>
          <w:r>
            <w:rPr>
              <w:color w:val="auto"/>
              <w:highlight w:val="none"/>
            </w:rPr>
            <w:fldChar w:fldCharType="separate"/>
          </w:r>
          <w:r>
            <w:rPr>
              <w:rFonts w:hint="eastAsia" w:ascii="宋体" w:hAnsi="宋体" w:eastAsia="宋体" w:cs="宋体"/>
              <w:bCs/>
              <w:color w:val="auto"/>
              <w:highlight w:val="none"/>
            </w:rPr>
            <w:t>6.1  评标委员会</w:t>
          </w:r>
          <w:r>
            <w:rPr>
              <w:color w:val="auto"/>
              <w:highlight w:val="none"/>
            </w:rPr>
            <w:tab/>
          </w:r>
          <w:r>
            <w:rPr>
              <w:color w:val="auto"/>
              <w:highlight w:val="none"/>
            </w:rPr>
            <w:fldChar w:fldCharType="begin"/>
          </w:r>
          <w:r>
            <w:rPr>
              <w:color w:val="auto"/>
              <w:highlight w:val="none"/>
            </w:rPr>
            <w:instrText xml:space="preserve"> PAGEREF _Toc28737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"_Toc7474" </w:instrText>
          </w:r>
          <w:r>
            <w:rPr>
              <w:color w:val="auto"/>
              <w:highlight w:val="none"/>
            </w:rPr>
            <w:fldChar w:fldCharType="separate"/>
          </w:r>
          <w:r>
            <w:rPr>
              <w:rFonts w:hint="eastAsia" w:ascii="宋体" w:hAnsi="宋体" w:eastAsia="宋体" w:cs="宋体"/>
              <w:bCs/>
              <w:color w:val="auto"/>
              <w:highlight w:val="none"/>
            </w:rPr>
            <w:t>6.2  评标原则</w:t>
          </w:r>
          <w:r>
            <w:rPr>
              <w:color w:val="auto"/>
              <w:highlight w:val="none"/>
            </w:rPr>
            <w:tab/>
          </w:r>
          <w:r>
            <w:rPr>
              <w:color w:val="auto"/>
              <w:highlight w:val="none"/>
            </w:rPr>
            <w:fldChar w:fldCharType="begin"/>
          </w:r>
          <w:r>
            <w:rPr>
              <w:color w:val="auto"/>
              <w:highlight w:val="none"/>
            </w:rPr>
            <w:instrText xml:space="preserve"> PAGEREF _Toc7474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"_Toc23807" </w:instrText>
          </w:r>
          <w:r>
            <w:rPr>
              <w:color w:val="auto"/>
              <w:highlight w:val="none"/>
            </w:rPr>
            <w:fldChar w:fldCharType="separate"/>
          </w:r>
          <w:r>
            <w:rPr>
              <w:rFonts w:hint="eastAsia" w:ascii="宋体" w:hAnsi="宋体" w:eastAsia="宋体" w:cs="宋体"/>
              <w:bCs/>
              <w:color w:val="auto"/>
              <w:highlight w:val="none"/>
            </w:rPr>
            <w:t>6.3  评标办法与中标候选人推荐</w:t>
          </w:r>
          <w:r>
            <w:rPr>
              <w:color w:val="auto"/>
              <w:highlight w:val="none"/>
            </w:rPr>
            <w:tab/>
          </w:r>
          <w:r>
            <w:rPr>
              <w:color w:val="auto"/>
              <w:highlight w:val="none"/>
            </w:rPr>
            <w:fldChar w:fldCharType="begin"/>
          </w:r>
          <w:r>
            <w:rPr>
              <w:color w:val="auto"/>
              <w:highlight w:val="none"/>
            </w:rPr>
            <w:instrText xml:space="preserve"> PAGEREF _Toc23807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"_Toc30247" </w:instrText>
          </w:r>
          <w:r>
            <w:rPr>
              <w:color w:val="auto"/>
              <w:highlight w:val="none"/>
            </w:rPr>
            <w:fldChar w:fldCharType="separate"/>
          </w:r>
          <w:r>
            <w:rPr>
              <w:rFonts w:hint="eastAsia" w:ascii="宋体" w:hAnsi="宋体" w:eastAsia="宋体" w:cs="宋体"/>
              <w:bCs/>
              <w:color w:val="auto"/>
              <w:highlight w:val="none"/>
            </w:rPr>
            <w:t>6.4  中标候选人公示及媒介</w:t>
          </w:r>
          <w:r>
            <w:rPr>
              <w:color w:val="auto"/>
              <w:highlight w:val="none"/>
            </w:rPr>
            <w:tab/>
          </w:r>
          <w:r>
            <w:rPr>
              <w:color w:val="auto"/>
              <w:highlight w:val="none"/>
            </w:rPr>
            <w:fldChar w:fldCharType="begin"/>
          </w:r>
          <w:r>
            <w:rPr>
              <w:color w:val="auto"/>
              <w:highlight w:val="none"/>
            </w:rPr>
            <w:instrText xml:space="preserve"> PAGEREF _Toc30247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"_Toc23475" </w:instrText>
          </w:r>
          <w:r>
            <w:rPr>
              <w:color w:val="auto"/>
              <w:highlight w:val="none"/>
            </w:rPr>
            <w:fldChar w:fldCharType="separate"/>
          </w:r>
          <w:r>
            <w:rPr>
              <w:rFonts w:hint="eastAsia" w:ascii="宋体" w:hAnsi="宋体" w:eastAsia="宋体" w:cs="宋体"/>
              <w:bCs/>
              <w:color w:val="auto"/>
              <w:highlight w:val="none"/>
            </w:rPr>
            <w:t>7  合同授予</w:t>
          </w:r>
          <w:r>
            <w:rPr>
              <w:color w:val="auto"/>
              <w:highlight w:val="none"/>
            </w:rPr>
            <w:tab/>
          </w:r>
          <w:r>
            <w:rPr>
              <w:color w:val="auto"/>
              <w:highlight w:val="none"/>
            </w:rPr>
            <w:fldChar w:fldCharType="begin"/>
          </w:r>
          <w:r>
            <w:rPr>
              <w:color w:val="auto"/>
              <w:highlight w:val="none"/>
            </w:rPr>
            <w:instrText xml:space="preserve"> PAGEREF _Toc23475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"_Toc10228" </w:instrText>
          </w:r>
          <w:r>
            <w:rPr>
              <w:color w:val="auto"/>
              <w:highlight w:val="none"/>
            </w:rPr>
            <w:fldChar w:fldCharType="separate"/>
          </w:r>
          <w:r>
            <w:rPr>
              <w:rFonts w:hint="eastAsia" w:ascii="宋体" w:hAnsi="宋体" w:eastAsia="宋体" w:cs="宋体"/>
              <w:bCs/>
              <w:color w:val="auto"/>
              <w:highlight w:val="none"/>
            </w:rPr>
            <w:t>7.1  定标方式</w:t>
          </w:r>
          <w:r>
            <w:rPr>
              <w:color w:val="auto"/>
              <w:highlight w:val="none"/>
            </w:rPr>
            <w:tab/>
          </w:r>
          <w:r>
            <w:rPr>
              <w:color w:val="auto"/>
              <w:highlight w:val="none"/>
            </w:rPr>
            <w:fldChar w:fldCharType="begin"/>
          </w:r>
          <w:r>
            <w:rPr>
              <w:color w:val="auto"/>
              <w:highlight w:val="none"/>
            </w:rPr>
            <w:instrText xml:space="preserve"> PAGEREF _Toc10228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"_Toc23727" </w:instrText>
          </w:r>
          <w:r>
            <w:rPr>
              <w:color w:val="auto"/>
              <w:highlight w:val="none"/>
            </w:rPr>
            <w:fldChar w:fldCharType="separate"/>
          </w:r>
          <w:r>
            <w:rPr>
              <w:rFonts w:hint="eastAsia" w:ascii="宋体" w:hAnsi="宋体" w:eastAsia="宋体" w:cs="宋体"/>
              <w:bCs/>
              <w:color w:val="auto"/>
              <w:highlight w:val="none"/>
            </w:rPr>
            <w:t>7.2  中标通知</w:t>
          </w:r>
          <w:r>
            <w:rPr>
              <w:color w:val="auto"/>
              <w:highlight w:val="none"/>
            </w:rPr>
            <w:tab/>
          </w:r>
          <w:r>
            <w:rPr>
              <w:color w:val="auto"/>
              <w:highlight w:val="none"/>
            </w:rPr>
            <w:fldChar w:fldCharType="begin"/>
          </w:r>
          <w:r>
            <w:rPr>
              <w:color w:val="auto"/>
              <w:highlight w:val="none"/>
            </w:rPr>
            <w:instrText xml:space="preserve"> PAGEREF _Toc23727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"_Toc374" </w:instrText>
          </w:r>
          <w:r>
            <w:rPr>
              <w:color w:val="auto"/>
              <w:highlight w:val="none"/>
            </w:rPr>
            <w:fldChar w:fldCharType="separate"/>
          </w:r>
          <w:r>
            <w:rPr>
              <w:rFonts w:hint="eastAsia" w:ascii="宋体" w:hAnsi="宋体" w:eastAsia="宋体" w:cs="宋体"/>
              <w:bCs/>
              <w:color w:val="auto"/>
              <w:highlight w:val="none"/>
            </w:rPr>
            <w:t>7.3  履约担保</w:t>
          </w:r>
          <w:r>
            <w:rPr>
              <w:color w:val="auto"/>
              <w:highlight w:val="none"/>
            </w:rPr>
            <w:tab/>
          </w:r>
          <w:r>
            <w:rPr>
              <w:color w:val="auto"/>
              <w:highlight w:val="none"/>
            </w:rPr>
            <w:fldChar w:fldCharType="begin"/>
          </w:r>
          <w:r>
            <w:rPr>
              <w:color w:val="auto"/>
              <w:highlight w:val="none"/>
            </w:rPr>
            <w:instrText xml:space="preserve"> PAGEREF _Toc374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"_Toc23527" </w:instrText>
          </w:r>
          <w:r>
            <w:rPr>
              <w:color w:val="auto"/>
              <w:highlight w:val="none"/>
            </w:rPr>
            <w:fldChar w:fldCharType="separate"/>
          </w:r>
          <w:r>
            <w:rPr>
              <w:rFonts w:hint="eastAsia" w:ascii="宋体" w:hAnsi="宋体" w:eastAsia="宋体" w:cs="宋体"/>
              <w:bCs/>
              <w:color w:val="auto"/>
              <w:highlight w:val="none"/>
            </w:rPr>
            <w:t>7.4  签订合同</w:t>
          </w:r>
          <w:r>
            <w:rPr>
              <w:color w:val="auto"/>
              <w:highlight w:val="none"/>
            </w:rPr>
            <w:tab/>
          </w:r>
          <w:r>
            <w:rPr>
              <w:color w:val="auto"/>
              <w:highlight w:val="none"/>
            </w:rPr>
            <w:fldChar w:fldCharType="begin"/>
          </w:r>
          <w:r>
            <w:rPr>
              <w:color w:val="auto"/>
              <w:highlight w:val="none"/>
            </w:rPr>
            <w:instrText xml:space="preserve"> PAGEREF _Toc23527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"_Toc32051" </w:instrText>
          </w:r>
          <w:r>
            <w:rPr>
              <w:color w:val="auto"/>
              <w:highlight w:val="none"/>
            </w:rPr>
            <w:fldChar w:fldCharType="separate"/>
          </w:r>
          <w:r>
            <w:rPr>
              <w:rFonts w:hint="eastAsia" w:ascii="宋体" w:hAnsi="宋体" w:eastAsia="宋体" w:cs="宋体"/>
              <w:bCs/>
              <w:color w:val="auto"/>
              <w:highlight w:val="none"/>
            </w:rPr>
            <w:t>8  重新招标和不再招标</w:t>
          </w:r>
          <w:r>
            <w:rPr>
              <w:color w:val="auto"/>
              <w:highlight w:val="none"/>
            </w:rPr>
            <w:tab/>
          </w:r>
          <w:r>
            <w:rPr>
              <w:color w:val="auto"/>
              <w:highlight w:val="none"/>
            </w:rPr>
            <w:fldChar w:fldCharType="begin"/>
          </w:r>
          <w:r>
            <w:rPr>
              <w:color w:val="auto"/>
              <w:highlight w:val="none"/>
            </w:rPr>
            <w:instrText xml:space="preserve"> PAGEREF _Toc32051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"_Toc9892" </w:instrText>
          </w:r>
          <w:r>
            <w:rPr>
              <w:color w:val="auto"/>
              <w:highlight w:val="none"/>
            </w:rPr>
            <w:fldChar w:fldCharType="separate"/>
          </w:r>
          <w:r>
            <w:rPr>
              <w:rFonts w:hint="eastAsia" w:ascii="宋体" w:hAnsi="宋体" w:eastAsia="宋体" w:cs="宋体"/>
              <w:bCs/>
              <w:color w:val="auto"/>
              <w:highlight w:val="none"/>
            </w:rPr>
            <w:t>8.1  重新招标</w:t>
          </w:r>
          <w:r>
            <w:rPr>
              <w:color w:val="auto"/>
              <w:highlight w:val="none"/>
            </w:rPr>
            <w:tab/>
          </w:r>
          <w:r>
            <w:rPr>
              <w:color w:val="auto"/>
              <w:highlight w:val="none"/>
            </w:rPr>
            <w:fldChar w:fldCharType="begin"/>
          </w:r>
          <w:r>
            <w:rPr>
              <w:color w:val="auto"/>
              <w:highlight w:val="none"/>
            </w:rPr>
            <w:instrText xml:space="preserve"> PAGEREF _Toc9892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"_Toc25792" </w:instrText>
          </w:r>
          <w:r>
            <w:rPr>
              <w:color w:val="auto"/>
              <w:highlight w:val="none"/>
            </w:rPr>
            <w:fldChar w:fldCharType="separate"/>
          </w:r>
          <w:r>
            <w:rPr>
              <w:rFonts w:hint="eastAsia" w:ascii="宋体" w:hAnsi="宋体" w:eastAsia="宋体" w:cs="宋体"/>
              <w:bCs/>
              <w:color w:val="auto"/>
              <w:highlight w:val="none"/>
            </w:rPr>
            <w:t>8.2  不再招标</w:t>
          </w:r>
          <w:r>
            <w:rPr>
              <w:color w:val="auto"/>
              <w:highlight w:val="none"/>
            </w:rPr>
            <w:tab/>
          </w:r>
          <w:r>
            <w:rPr>
              <w:color w:val="auto"/>
              <w:highlight w:val="none"/>
            </w:rPr>
            <w:fldChar w:fldCharType="begin"/>
          </w:r>
          <w:r>
            <w:rPr>
              <w:color w:val="auto"/>
              <w:highlight w:val="none"/>
            </w:rPr>
            <w:instrText xml:space="preserve"> PAGEREF _Toc25792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"_Toc5075" </w:instrText>
          </w:r>
          <w:r>
            <w:rPr>
              <w:color w:val="auto"/>
              <w:highlight w:val="none"/>
            </w:rPr>
            <w:fldChar w:fldCharType="separate"/>
          </w:r>
          <w:r>
            <w:rPr>
              <w:rFonts w:hint="eastAsia" w:ascii="宋体" w:hAnsi="宋体" w:eastAsia="宋体" w:cs="宋体"/>
              <w:bCs/>
              <w:color w:val="auto"/>
              <w:highlight w:val="none"/>
            </w:rPr>
            <w:t>9  纪律和监督</w:t>
          </w:r>
          <w:r>
            <w:rPr>
              <w:color w:val="auto"/>
              <w:highlight w:val="none"/>
            </w:rPr>
            <w:tab/>
          </w:r>
          <w:r>
            <w:rPr>
              <w:color w:val="auto"/>
              <w:highlight w:val="none"/>
            </w:rPr>
            <w:fldChar w:fldCharType="begin"/>
          </w:r>
          <w:r>
            <w:rPr>
              <w:color w:val="auto"/>
              <w:highlight w:val="none"/>
            </w:rPr>
            <w:instrText xml:space="preserve"> PAGEREF _Toc5075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"_Toc16475" </w:instrText>
          </w:r>
          <w:r>
            <w:rPr>
              <w:color w:val="auto"/>
              <w:highlight w:val="none"/>
            </w:rPr>
            <w:fldChar w:fldCharType="separate"/>
          </w:r>
          <w:r>
            <w:rPr>
              <w:rFonts w:hint="eastAsia" w:ascii="宋体" w:hAnsi="宋体" w:eastAsia="宋体" w:cs="宋体"/>
              <w:bCs/>
              <w:color w:val="auto"/>
              <w:highlight w:val="none"/>
            </w:rPr>
            <w:t>9.1  对招标人的纪律要求</w:t>
          </w:r>
          <w:r>
            <w:rPr>
              <w:color w:val="auto"/>
              <w:highlight w:val="none"/>
            </w:rPr>
            <w:tab/>
          </w:r>
          <w:r>
            <w:rPr>
              <w:color w:val="auto"/>
              <w:highlight w:val="none"/>
            </w:rPr>
            <w:fldChar w:fldCharType="begin"/>
          </w:r>
          <w:r>
            <w:rPr>
              <w:color w:val="auto"/>
              <w:highlight w:val="none"/>
            </w:rPr>
            <w:instrText xml:space="preserve"> PAGEREF _Toc16475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"_Toc27564" </w:instrText>
          </w:r>
          <w:r>
            <w:rPr>
              <w:color w:val="auto"/>
              <w:highlight w:val="none"/>
            </w:rPr>
            <w:fldChar w:fldCharType="separate"/>
          </w:r>
          <w:r>
            <w:rPr>
              <w:rFonts w:hint="eastAsia" w:ascii="宋体" w:hAnsi="宋体" w:eastAsia="宋体" w:cs="宋体"/>
              <w:bCs/>
              <w:color w:val="auto"/>
              <w:highlight w:val="none"/>
            </w:rPr>
            <w:t>9.2  对投标人的纪律要求</w:t>
          </w:r>
          <w:r>
            <w:rPr>
              <w:color w:val="auto"/>
              <w:highlight w:val="none"/>
            </w:rPr>
            <w:tab/>
          </w:r>
          <w:r>
            <w:rPr>
              <w:color w:val="auto"/>
              <w:highlight w:val="none"/>
            </w:rPr>
            <w:fldChar w:fldCharType="begin"/>
          </w:r>
          <w:r>
            <w:rPr>
              <w:color w:val="auto"/>
              <w:highlight w:val="none"/>
            </w:rPr>
            <w:instrText xml:space="preserve"> PAGEREF _Toc27564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"_Toc31850" </w:instrText>
          </w:r>
          <w:r>
            <w:rPr>
              <w:color w:val="auto"/>
              <w:highlight w:val="none"/>
            </w:rPr>
            <w:fldChar w:fldCharType="separate"/>
          </w:r>
          <w:r>
            <w:rPr>
              <w:rFonts w:hint="eastAsia" w:ascii="宋体" w:hAnsi="宋体" w:eastAsia="宋体" w:cs="宋体"/>
              <w:bCs/>
              <w:color w:val="auto"/>
              <w:highlight w:val="none"/>
            </w:rPr>
            <w:t>9.3  对评标委员会成员的纪律要求</w:t>
          </w:r>
          <w:r>
            <w:rPr>
              <w:color w:val="auto"/>
              <w:highlight w:val="none"/>
            </w:rPr>
            <w:tab/>
          </w:r>
          <w:r>
            <w:rPr>
              <w:color w:val="auto"/>
              <w:highlight w:val="none"/>
            </w:rPr>
            <w:fldChar w:fldCharType="begin"/>
          </w:r>
          <w:r>
            <w:rPr>
              <w:color w:val="auto"/>
              <w:highlight w:val="none"/>
            </w:rPr>
            <w:instrText xml:space="preserve"> PAGEREF _Toc31850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"_Toc25039" </w:instrText>
          </w:r>
          <w:r>
            <w:rPr>
              <w:color w:val="auto"/>
              <w:highlight w:val="none"/>
            </w:rPr>
            <w:fldChar w:fldCharType="separate"/>
          </w:r>
          <w:r>
            <w:rPr>
              <w:rFonts w:hint="eastAsia" w:ascii="宋体" w:hAnsi="宋体" w:eastAsia="宋体" w:cs="宋体"/>
              <w:bCs/>
              <w:color w:val="auto"/>
              <w:highlight w:val="none"/>
            </w:rPr>
            <w:t>9.4  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_Toc25039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"_Toc15281" </w:instrText>
          </w:r>
          <w:r>
            <w:rPr>
              <w:color w:val="auto"/>
              <w:highlight w:val="none"/>
            </w:rPr>
            <w:fldChar w:fldCharType="separate"/>
          </w:r>
          <w:r>
            <w:rPr>
              <w:rFonts w:hint="eastAsia" w:ascii="宋体" w:hAnsi="宋体" w:eastAsia="宋体" w:cs="宋体"/>
              <w:bCs/>
              <w:color w:val="auto"/>
              <w:highlight w:val="none"/>
            </w:rPr>
            <w:t>9.5  异议与投诉</w:t>
          </w:r>
          <w:r>
            <w:rPr>
              <w:color w:val="auto"/>
              <w:highlight w:val="none"/>
            </w:rPr>
            <w:tab/>
          </w:r>
          <w:r>
            <w:rPr>
              <w:color w:val="auto"/>
              <w:highlight w:val="none"/>
            </w:rPr>
            <w:fldChar w:fldCharType="begin"/>
          </w:r>
          <w:r>
            <w:rPr>
              <w:color w:val="auto"/>
              <w:highlight w:val="none"/>
            </w:rPr>
            <w:instrText xml:space="preserve"> PAGEREF _Toc15281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"_Toc23816" </w:instrText>
          </w:r>
          <w:r>
            <w:rPr>
              <w:color w:val="auto"/>
              <w:highlight w:val="none"/>
            </w:rPr>
            <w:fldChar w:fldCharType="separate"/>
          </w:r>
          <w:r>
            <w:rPr>
              <w:rFonts w:hint="eastAsia" w:ascii="宋体" w:hAnsi="宋体" w:eastAsia="宋体" w:cs="宋体"/>
              <w:bCs/>
              <w:color w:val="auto"/>
              <w:highlight w:val="none"/>
            </w:rPr>
            <w:t>10  其他内容</w:t>
          </w:r>
          <w:r>
            <w:rPr>
              <w:color w:val="auto"/>
              <w:highlight w:val="none"/>
            </w:rPr>
            <w:tab/>
          </w:r>
          <w:r>
            <w:rPr>
              <w:color w:val="auto"/>
              <w:highlight w:val="none"/>
            </w:rPr>
            <w:fldChar w:fldCharType="begin"/>
          </w:r>
          <w:r>
            <w:rPr>
              <w:color w:val="auto"/>
              <w:highlight w:val="none"/>
            </w:rPr>
            <w:instrText xml:space="preserve"> PAGEREF _Toc23816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"_Toc17537" </w:instrText>
          </w:r>
          <w:r>
            <w:rPr>
              <w:color w:val="auto"/>
              <w:highlight w:val="none"/>
            </w:rPr>
            <w:fldChar w:fldCharType="separate"/>
          </w:r>
          <w:r>
            <w:rPr>
              <w:rFonts w:hint="eastAsia" w:ascii="宋体" w:hAnsi="宋体" w:eastAsia="宋体" w:cs="宋体"/>
              <w:bCs/>
              <w:color w:val="auto"/>
              <w:highlight w:val="none"/>
            </w:rPr>
            <w:t>10.1  类似项目</w:t>
          </w:r>
          <w:r>
            <w:rPr>
              <w:color w:val="auto"/>
              <w:highlight w:val="none"/>
            </w:rPr>
            <w:tab/>
          </w:r>
          <w:r>
            <w:rPr>
              <w:color w:val="auto"/>
              <w:highlight w:val="none"/>
            </w:rPr>
            <w:fldChar w:fldCharType="begin"/>
          </w:r>
          <w:r>
            <w:rPr>
              <w:color w:val="auto"/>
              <w:highlight w:val="none"/>
            </w:rPr>
            <w:instrText xml:space="preserve"> PAGEREF _Toc17537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"_Toc25165" </w:instrText>
          </w:r>
          <w:r>
            <w:rPr>
              <w:color w:val="auto"/>
              <w:highlight w:val="none"/>
            </w:rPr>
            <w:fldChar w:fldCharType="separate"/>
          </w:r>
          <w:r>
            <w:rPr>
              <w:rFonts w:hint="eastAsia" w:ascii="宋体" w:hAnsi="宋体" w:eastAsia="宋体" w:cs="宋体"/>
              <w:bCs/>
              <w:color w:val="auto"/>
              <w:highlight w:val="none"/>
            </w:rPr>
            <w:t>10.2  投标文件的澄清、质询</w:t>
          </w:r>
          <w:r>
            <w:rPr>
              <w:color w:val="auto"/>
              <w:highlight w:val="none"/>
            </w:rPr>
            <w:tab/>
          </w:r>
          <w:r>
            <w:rPr>
              <w:color w:val="auto"/>
              <w:highlight w:val="none"/>
            </w:rPr>
            <w:fldChar w:fldCharType="begin"/>
          </w:r>
          <w:r>
            <w:rPr>
              <w:color w:val="auto"/>
              <w:highlight w:val="none"/>
            </w:rPr>
            <w:instrText xml:space="preserve"> PAGEREF _Toc25165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"_Toc10294" </w:instrText>
          </w:r>
          <w:r>
            <w:rPr>
              <w:color w:val="auto"/>
              <w:highlight w:val="none"/>
            </w:rPr>
            <w:fldChar w:fldCharType="separate"/>
          </w:r>
          <w:r>
            <w:rPr>
              <w:rFonts w:hint="eastAsia" w:ascii="宋体" w:hAnsi="宋体" w:eastAsia="宋体" w:cs="宋体"/>
              <w:bCs/>
              <w:color w:val="auto"/>
              <w:highlight w:val="none"/>
            </w:rPr>
            <w:t>10.3  实质性响应招标文件资料及评审打分资料</w:t>
          </w:r>
          <w:r>
            <w:rPr>
              <w:color w:val="auto"/>
              <w:highlight w:val="none"/>
            </w:rPr>
            <w:tab/>
          </w:r>
          <w:r>
            <w:rPr>
              <w:color w:val="auto"/>
              <w:highlight w:val="none"/>
            </w:rPr>
            <w:fldChar w:fldCharType="begin"/>
          </w:r>
          <w:r>
            <w:rPr>
              <w:color w:val="auto"/>
              <w:highlight w:val="none"/>
            </w:rPr>
            <w:instrText xml:space="preserve"> PAGEREF _Toc10294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"_Toc25794" </w:instrText>
          </w:r>
          <w:r>
            <w:rPr>
              <w:color w:val="auto"/>
              <w:highlight w:val="none"/>
            </w:rPr>
            <w:fldChar w:fldCharType="separate"/>
          </w:r>
          <w:r>
            <w:rPr>
              <w:rFonts w:hint="eastAsia" w:ascii="宋体" w:hAnsi="宋体" w:eastAsia="宋体" w:cs="宋体"/>
              <w:bCs/>
              <w:color w:val="auto"/>
              <w:highlight w:val="none"/>
            </w:rPr>
            <w:t>10.4  中标人的投标文件</w:t>
          </w:r>
          <w:r>
            <w:rPr>
              <w:color w:val="auto"/>
              <w:highlight w:val="none"/>
            </w:rPr>
            <w:tab/>
          </w:r>
          <w:r>
            <w:rPr>
              <w:color w:val="auto"/>
              <w:highlight w:val="none"/>
            </w:rPr>
            <w:fldChar w:fldCharType="begin"/>
          </w:r>
          <w:r>
            <w:rPr>
              <w:color w:val="auto"/>
              <w:highlight w:val="none"/>
            </w:rPr>
            <w:instrText xml:space="preserve"> PAGEREF _Toc25794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"_Toc32694" </w:instrText>
          </w:r>
          <w:r>
            <w:rPr>
              <w:color w:val="auto"/>
              <w:highlight w:val="none"/>
            </w:rPr>
            <w:fldChar w:fldCharType="separate"/>
          </w:r>
          <w:r>
            <w:rPr>
              <w:rFonts w:hint="eastAsia" w:ascii="宋体" w:hAnsi="宋体" w:eastAsia="宋体" w:cs="宋体"/>
              <w:bCs/>
              <w:color w:val="auto"/>
              <w:highlight w:val="none"/>
            </w:rPr>
            <w:t>10.5  招标人最高投标限价或其计算方法</w:t>
          </w:r>
          <w:r>
            <w:rPr>
              <w:color w:val="auto"/>
              <w:highlight w:val="none"/>
            </w:rPr>
            <w:tab/>
          </w:r>
          <w:r>
            <w:rPr>
              <w:color w:val="auto"/>
              <w:highlight w:val="none"/>
            </w:rPr>
            <w:fldChar w:fldCharType="begin"/>
          </w:r>
          <w:r>
            <w:rPr>
              <w:color w:val="auto"/>
              <w:highlight w:val="none"/>
            </w:rPr>
            <w:instrText xml:space="preserve"> PAGEREF _Toc32694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"_Toc2756" </w:instrText>
          </w:r>
          <w:r>
            <w:rPr>
              <w:color w:val="auto"/>
              <w:highlight w:val="none"/>
            </w:rPr>
            <w:fldChar w:fldCharType="separate"/>
          </w:r>
          <w:r>
            <w:rPr>
              <w:rFonts w:hint="eastAsia" w:ascii="宋体" w:hAnsi="宋体" w:eastAsia="宋体" w:cs="宋体"/>
              <w:bCs/>
              <w:color w:val="auto"/>
              <w:highlight w:val="none"/>
            </w:rPr>
            <w:t>10.6  在建合同工程的认定及变更证明</w:t>
          </w:r>
          <w:r>
            <w:rPr>
              <w:color w:val="auto"/>
              <w:highlight w:val="none"/>
            </w:rPr>
            <w:tab/>
          </w:r>
          <w:r>
            <w:rPr>
              <w:color w:val="auto"/>
              <w:highlight w:val="none"/>
            </w:rPr>
            <w:fldChar w:fldCharType="begin"/>
          </w:r>
          <w:r>
            <w:rPr>
              <w:color w:val="auto"/>
              <w:highlight w:val="none"/>
            </w:rPr>
            <w:instrText xml:space="preserve"> PAGEREF _Toc2756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2"/>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"_Toc11470" </w:instrText>
          </w:r>
          <w:r>
            <w:rPr>
              <w:color w:val="auto"/>
              <w:highlight w:val="none"/>
            </w:rPr>
            <w:fldChar w:fldCharType="separate"/>
          </w:r>
          <w:r>
            <w:rPr>
              <w:rFonts w:hint="eastAsia" w:ascii="宋体" w:hAnsi="宋体" w:eastAsia="宋体" w:cs="宋体"/>
              <w:bCs/>
              <w:color w:val="auto"/>
              <w:highlight w:val="none"/>
            </w:rPr>
            <w:t>10.7  特别说明</w:t>
          </w:r>
          <w:r>
            <w:rPr>
              <w:color w:val="auto"/>
              <w:highlight w:val="none"/>
            </w:rPr>
            <w:tab/>
          </w:r>
          <w:r>
            <w:rPr>
              <w:color w:val="auto"/>
              <w:highlight w:val="none"/>
            </w:rPr>
            <w:fldChar w:fldCharType="begin"/>
          </w:r>
          <w:r>
            <w:rPr>
              <w:color w:val="auto"/>
              <w:highlight w:val="none"/>
            </w:rPr>
            <w:instrText xml:space="preserve"> PAGEREF _Toc11470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9"/>
            <w:tabs>
              <w:tab w:val="right" w:leader="dot" w:pos="9071"/>
            </w:tabs>
            <w:spacing w:line="320" w:lineRule="exact"/>
            <w:rPr>
              <w:color w:val="auto"/>
              <w:highlight w:val="none"/>
            </w:rPr>
          </w:pPr>
          <w:r>
            <w:rPr>
              <w:color w:val="auto"/>
              <w:highlight w:val="none"/>
            </w:rPr>
            <w:fldChar w:fldCharType="begin"/>
          </w:r>
          <w:r>
            <w:rPr>
              <w:color w:val="auto"/>
              <w:highlight w:val="none"/>
            </w:rPr>
            <w:instrText xml:space="preserve"> HYPERLINK \l "_Toc14401" </w:instrText>
          </w:r>
          <w:r>
            <w:rPr>
              <w:color w:val="auto"/>
              <w:highlight w:val="none"/>
            </w:rPr>
            <w:fldChar w:fldCharType="separate"/>
          </w:r>
          <w:r>
            <w:rPr>
              <w:rFonts w:hint="eastAsia" w:ascii="宋体" w:hAnsi="宋体" w:eastAsia="宋体" w:cs="宋体"/>
              <w:bCs/>
              <w:color w:val="auto"/>
              <w:highlight w:val="none"/>
            </w:rPr>
            <w:t>11  需要补充的内容</w:t>
          </w:r>
          <w:r>
            <w:rPr>
              <w:color w:val="auto"/>
              <w:highlight w:val="none"/>
            </w:rPr>
            <w:tab/>
          </w:r>
          <w:r>
            <w:rPr>
              <w:color w:val="auto"/>
              <w:highlight w:val="none"/>
            </w:rPr>
            <w:fldChar w:fldCharType="begin"/>
          </w:r>
          <w:r>
            <w:rPr>
              <w:color w:val="auto"/>
              <w:highlight w:val="none"/>
            </w:rPr>
            <w:instrText xml:space="preserve"> PAGEREF _Toc14401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pPr>
            <w:pStyle w:val="18"/>
            <w:tabs>
              <w:tab w:val="right" w:leader="dot" w:pos="9071"/>
            </w:tabs>
            <w:spacing w:before="0" w:after="0" w:line="320" w:lineRule="exact"/>
            <w:rPr>
              <w:color w:val="auto"/>
              <w:sz w:val="21"/>
              <w:szCs w:val="21"/>
              <w:highlight w:val="none"/>
            </w:rPr>
          </w:pPr>
          <w:r>
            <w:rPr>
              <w:color w:val="auto"/>
              <w:highlight w:val="none"/>
            </w:rPr>
            <w:fldChar w:fldCharType="begin"/>
          </w:r>
          <w:r>
            <w:rPr>
              <w:color w:val="auto"/>
              <w:highlight w:val="none"/>
            </w:rPr>
            <w:instrText xml:space="preserve"> HYPERLINK \l "_Toc28385" </w:instrText>
          </w:r>
          <w:r>
            <w:rPr>
              <w:color w:val="auto"/>
              <w:highlight w:val="none"/>
            </w:rPr>
            <w:fldChar w:fldCharType="separate"/>
          </w:r>
          <w:r>
            <w:rPr>
              <w:rFonts w:ascii="黑体" w:hAnsi="黑体" w:eastAsia="黑体" w:cs="黑体"/>
              <w:color w:val="auto"/>
              <w:sz w:val="21"/>
              <w:szCs w:val="21"/>
              <w:highlight w:val="none"/>
            </w:rPr>
            <w:t>第三章</w:t>
          </w:r>
          <w:r>
            <w:rPr>
              <w:rFonts w:hint="eastAsia" w:ascii="黑体" w:hAnsi="黑体" w:eastAsia="黑体" w:cs="黑体"/>
              <w:color w:val="auto"/>
              <w:sz w:val="21"/>
              <w:szCs w:val="21"/>
              <w:highlight w:val="none"/>
            </w:rPr>
            <w:t xml:space="preserve"> 评标办法（有限数量制的综合评估法）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_Toc28385 \h </w:instrText>
          </w:r>
          <w:r>
            <w:rPr>
              <w:color w:val="auto"/>
              <w:sz w:val="21"/>
              <w:szCs w:val="21"/>
              <w:highlight w:val="none"/>
            </w:rPr>
            <w:fldChar w:fldCharType="separate"/>
          </w:r>
          <w:r>
            <w:rPr>
              <w:color w:val="auto"/>
              <w:sz w:val="21"/>
              <w:szCs w:val="21"/>
              <w:highlight w:val="none"/>
            </w:rPr>
            <w:t>30</w:t>
          </w:r>
          <w:r>
            <w:rPr>
              <w:color w:val="auto"/>
              <w:sz w:val="21"/>
              <w:szCs w:val="21"/>
              <w:highlight w:val="none"/>
            </w:rPr>
            <w:fldChar w:fldCharType="end"/>
          </w:r>
          <w:r>
            <w:rPr>
              <w:color w:val="auto"/>
              <w:sz w:val="21"/>
              <w:szCs w:val="21"/>
              <w:highlight w:val="none"/>
            </w:rPr>
            <w:fldChar w:fldCharType="end"/>
          </w:r>
        </w:p>
        <w:p>
          <w:pPr>
            <w:pStyle w:val="18"/>
            <w:tabs>
              <w:tab w:val="right" w:leader="dot" w:pos="9071"/>
            </w:tabs>
            <w:spacing w:before="0" w:after="0" w:line="320" w:lineRule="exact"/>
            <w:rPr>
              <w:color w:val="auto"/>
              <w:sz w:val="21"/>
              <w:szCs w:val="21"/>
              <w:highlight w:val="none"/>
            </w:rPr>
          </w:pPr>
          <w:r>
            <w:rPr>
              <w:color w:val="auto"/>
              <w:highlight w:val="none"/>
            </w:rPr>
            <w:fldChar w:fldCharType="begin"/>
          </w:r>
          <w:r>
            <w:rPr>
              <w:color w:val="auto"/>
              <w:highlight w:val="none"/>
            </w:rPr>
            <w:instrText xml:space="preserve"> HYPERLINK \l "_Toc13926" </w:instrText>
          </w:r>
          <w:r>
            <w:rPr>
              <w:color w:val="auto"/>
              <w:highlight w:val="none"/>
            </w:rPr>
            <w:fldChar w:fldCharType="separate"/>
          </w:r>
          <w:r>
            <w:rPr>
              <w:rFonts w:hint="eastAsia" w:ascii="黑体" w:hAnsi="黑体" w:eastAsia="黑体" w:cs="黑体"/>
              <w:color w:val="auto"/>
              <w:sz w:val="21"/>
              <w:szCs w:val="21"/>
              <w:highlight w:val="none"/>
            </w:rPr>
            <w:t>第四章 合同价款及格式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_Toc13926 \h </w:instrText>
          </w:r>
          <w:r>
            <w:rPr>
              <w:color w:val="auto"/>
              <w:sz w:val="21"/>
              <w:szCs w:val="21"/>
              <w:highlight w:val="none"/>
            </w:rPr>
            <w:fldChar w:fldCharType="separate"/>
          </w:r>
          <w:r>
            <w:rPr>
              <w:color w:val="auto"/>
              <w:sz w:val="21"/>
              <w:szCs w:val="21"/>
              <w:highlight w:val="none"/>
            </w:rPr>
            <w:t>38</w:t>
          </w:r>
          <w:r>
            <w:rPr>
              <w:color w:val="auto"/>
              <w:sz w:val="21"/>
              <w:szCs w:val="21"/>
              <w:highlight w:val="none"/>
            </w:rPr>
            <w:fldChar w:fldCharType="end"/>
          </w:r>
          <w:r>
            <w:rPr>
              <w:color w:val="auto"/>
              <w:sz w:val="21"/>
              <w:szCs w:val="21"/>
              <w:highlight w:val="none"/>
            </w:rPr>
            <w:fldChar w:fldCharType="end"/>
          </w:r>
        </w:p>
        <w:p>
          <w:pPr>
            <w:pStyle w:val="18"/>
            <w:tabs>
              <w:tab w:val="right" w:leader="dot" w:pos="9071"/>
            </w:tabs>
            <w:spacing w:before="0" w:after="0" w:line="320" w:lineRule="exact"/>
            <w:rPr>
              <w:color w:val="auto"/>
              <w:sz w:val="21"/>
              <w:szCs w:val="21"/>
              <w:highlight w:val="none"/>
            </w:rPr>
          </w:pPr>
          <w:r>
            <w:rPr>
              <w:color w:val="auto"/>
              <w:highlight w:val="none"/>
            </w:rPr>
            <w:fldChar w:fldCharType="begin"/>
          </w:r>
          <w:r>
            <w:rPr>
              <w:color w:val="auto"/>
              <w:highlight w:val="none"/>
            </w:rPr>
            <w:instrText xml:space="preserve"> HYPERLINK \l "_Toc18958" </w:instrText>
          </w:r>
          <w:r>
            <w:rPr>
              <w:color w:val="auto"/>
              <w:highlight w:val="none"/>
            </w:rPr>
            <w:fldChar w:fldCharType="separate"/>
          </w:r>
          <w:r>
            <w:rPr>
              <w:rFonts w:hint="eastAsia" w:ascii="黑体" w:hAnsi="黑体" w:eastAsia="黑体" w:cs="黑体"/>
              <w:color w:val="auto"/>
              <w:sz w:val="21"/>
              <w:szCs w:val="21"/>
              <w:highlight w:val="none"/>
            </w:rPr>
            <w:t>第五章 工程量清单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_Toc18958 \h </w:instrText>
          </w:r>
          <w:r>
            <w:rPr>
              <w:color w:val="auto"/>
              <w:sz w:val="21"/>
              <w:szCs w:val="21"/>
              <w:highlight w:val="none"/>
            </w:rPr>
            <w:fldChar w:fldCharType="separate"/>
          </w:r>
          <w:r>
            <w:rPr>
              <w:color w:val="auto"/>
              <w:sz w:val="21"/>
              <w:szCs w:val="21"/>
              <w:highlight w:val="none"/>
            </w:rPr>
            <w:t>54</w:t>
          </w:r>
          <w:r>
            <w:rPr>
              <w:color w:val="auto"/>
              <w:sz w:val="21"/>
              <w:szCs w:val="21"/>
              <w:highlight w:val="none"/>
            </w:rPr>
            <w:fldChar w:fldCharType="end"/>
          </w:r>
          <w:r>
            <w:rPr>
              <w:color w:val="auto"/>
              <w:sz w:val="21"/>
              <w:szCs w:val="21"/>
              <w:highlight w:val="none"/>
            </w:rPr>
            <w:fldChar w:fldCharType="end"/>
          </w:r>
        </w:p>
        <w:p>
          <w:pPr>
            <w:pStyle w:val="18"/>
            <w:tabs>
              <w:tab w:val="right" w:leader="dot" w:pos="9071"/>
            </w:tabs>
            <w:spacing w:before="0" w:after="0" w:line="320" w:lineRule="exact"/>
            <w:rPr>
              <w:color w:val="auto"/>
              <w:sz w:val="21"/>
              <w:szCs w:val="21"/>
              <w:highlight w:val="none"/>
            </w:rPr>
          </w:pPr>
          <w:r>
            <w:rPr>
              <w:color w:val="auto"/>
              <w:highlight w:val="none"/>
            </w:rPr>
            <w:fldChar w:fldCharType="begin"/>
          </w:r>
          <w:r>
            <w:rPr>
              <w:color w:val="auto"/>
              <w:highlight w:val="none"/>
            </w:rPr>
            <w:instrText xml:space="preserve"> HYPERLINK \l "_Toc11860" </w:instrText>
          </w:r>
          <w:r>
            <w:rPr>
              <w:color w:val="auto"/>
              <w:highlight w:val="none"/>
            </w:rPr>
            <w:fldChar w:fldCharType="separate"/>
          </w:r>
          <w:r>
            <w:rPr>
              <w:rFonts w:hint="eastAsia" w:ascii="黑体" w:hAnsi="黑体" w:eastAsia="黑体" w:cs="黑体"/>
              <w:color w:val="auto"/>
              <w:sz w:val="21"/>
              <w:szCs w:val="21"/>
              <w:highlight w:val="none"/>
            </w:rPr>
            <w:t>第六章 图纸（招标图纸）及其他资料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_Toc11860 \h </w:instrText>
          </w:r>
          <w:r>
            <w:rPr>
              <w:color w:val="auto"/>
              <w:sz w:val="21"/>
              <w:szCs w:val="21"/>
              <w:highlight w:val="none"/>
            </w:rPr>
            <w:fldChar w:fldCharType="separate"/>
          </w:r>
          <w:r>
            <w:rPr>
              <w:color w:val="auto"/>
              <w:sz w:val="21"/>
              <w:szCs w:val="21"/>
              <w:highlight w:val="none"/>
            </w:rPr>
            <w:t>56</w:t>
          </w:r>
          <w:r>
            <w:rPr>
              <w:color w:val="auto"/>
              <w:sz w:val="21"/>
              <w:szCs w:val="21"/>
              <w:highlight w:val="none"/>
            </w:rPr>
            <w:fldChar w:fldCharType="end"/>
          </w:r>
          <w:r>
            <w:rPr>
              <w:color w:val="auto"/>
              <w:sz w:val="21"/>
              <w:szCs w:val="21"/>
              <w:highlight w:val="none"/>
            </w:rPr>
            <w:fldChar w:fldCharType="end"/>
          </w:r>
        </w:p>
        <w:p>
          <w:pPr>
            <w:pStyle w:val="18"/>
            <w:tabs>
              <w:tab w:val="right" w:leader="dot" w:pos="9071"/>
            </w:tabs>
            <w:spacing w:before="0" w:after="0" w:line="320" w:lineRule="exact"/>
            <w:rPr>
              <w:rFonts w:hint="default" w:eastAsia="宋体"/>
              <w:color w:val="auto"/>
              <w:sz w:val="21"/>
              <w:szCs w:val="21"/>
              <w:highlight w:val="none"/>
              <w:lang w:val="en-US" w:eastAsia="zh-CN"/>
            </w:rPr>
          </w:pPr>
          <w:r>
            <w:rPr>
              <w:color w:val="auto"/>
              <w:highlight w:val="none"/>
            </w:rPr>
            <w:fldChar w:fldCharType="begin"/>
          </w:r>
          <w:r>
            <w:rPr>
              <w:color w:val="auto"/>
              <w:highlight w:val="none"/>
            </w:rPr>
            <w:instrText xml:space="preserve"> HYPERLINK \l "_Toc19784" </w:instrText>
          </w:r>
          <w:r>
            <w:rPr>
              <w:color w:val="auto"/>
              <w:highlight w:val="none"/>
            </w:rPr>
            <w:fldChar w:fldCharType="separate"/>
          </w:r>
          <w:r>
            <w:rPr>
              <w:rFonts w:hint="eastAsia" w:ascii="黑体" w:hAnsi="黑体" w:eastAsia="黑体" w:cs="黑体"/>
              <w:color w:val="auto"/>
              <w:sz w:val="21"/>
              <w:szCs w:val="21"/>
              <w:highlight w:val="none"/>
            </w:rPr>
            <w:t>第七章 技术标准和要求（合同技术条款）</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58</w:t>
          </w:r>
        </w:p>
        <w:p>
          <w:pPr>
            <w:pStyle w:val="18"/>
            <w:tabs>
              <w:tab w:val="right" w:leader="dot" w:pos="9071"/>
            </w:tabs>
            <w:spacing w:before="0" w:after="0" w:line="320" w:lineRule="exact"/>
            <w:rPr>
              <w:rFonts w:hint="default" w:eastAsia="宋体"/>
              <w:color w:val="auto"/>
              <w:sz w:val="21"/>
              <w:szCs w:val="21"/>
              <w:highlight w:val="none"/>
              <w:lang w:val="en-US" w:eastAsia="zh-CN"/>
            </w:rPr>
          </w:pPr>
          <w:r>
            <w:rPr>
              <w:color w:val="auto"/>
              <w:highlight w:val="none"/>
            </w:rPr>
            <w:fldChar w:fldCharType="begin"/>
          </w:r>
          <w:r>
            <w:rPr>
              <w:color w:val="auto"/>
              <w:highlight w:val="none"/>
            </w:rPr>
            <w:instrText xml:space="preserve"> HYPERLINK \l "_Toc12987" </w:instrText>
          </w:r>
          <w:r>
            <w:rPr>
              <w:color w:val="auto"/>
              <w:highlight w:val="none"/>
            </w:rPr>
            <w:fldChar w:fldCharType="separate"/>
          </w:r>
          <w:r>
            <w:rPr>
              <w:rFonts w:ascii="黑体" w:hAnsi="黑体" w:eastAsia="黑体" w:cs="黑体"/>
              <w:color w:val="auto"/>
              <w:sz w:val="21"/>
              <w:szCs w:val="21"/>
              <w:highlight w:val="none"/>
            </w:rPr>
            <w:t>第八章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投标文件格式</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60</w:t>
          </w:r>
        </w:p>
        <w:p>
          <w:pPr>
            <w:kinsoku/>
            <w:autoSpaceDE/>
            <w:autoSpaceDN/>
            <w:adjustRightInd/>
            <w:snapToGrid/>
            <w:spacing w:line="320" w:lineRule="exact"/>
            <w:textAlignment w:val="auto"/>
            <w:rPr>
              <w:color w:val="auto"/>
              <w:highlight w:val="none"/>
            </w:rPr>
          </w:pPr>
          <w:r>
            <w:rPr>
              <w:color w:val="auto"/>
              <w:highlight w:val="none"/>
            </w:rPr>
            <w:fldChar w:fldCharType="end"/>
          </w:r>
        </w:p>
      </w:sdtContent>
    </w:sdt>
    <w:p>
      <w:pPr>
        <w:spacing w:before="351" w:line="213" w:lineRule="auto"/>
        <w:jc w:val="center"/>
        <w:rPr>
          <w:rFonts w:ascii="黑体" w:hAnsi="黑体" w:eastAsia="黑体" w:cs="黑体"/>
          <w:color w:val="auto"/>
          <w:sz w:val="108"/>
          <w:szCs w:val="108"/>
          <w:highlight w:val="none"/>
        </w:rPr>
        <w:sectPr>
          <w:footerReference r:id="rId6" w:type="default"/>
          <w:pgSz w:w="11905" w:h="16838"/>
          <w:pgMar w:top="1247" w:right="1417" w:bottom="1247" w:left="1417" w:header="0" w:footer="850" w:gutter="0"/>
          <w:pgNumType w:start="1"/>
          <w:cols w:space="0" w:num="1"/>
        </w:sectPr>
      </w:pPr>
      <w:bookmarkStart w:id="589" w:name="_GoBack"/>
      <w:bookmarkEnd w:id="589"/>
    </w:p>
    <w:p>
      <w:pPr>
        <w:spacing w:before="351" w:line="213" w:lineRule="auto"/>
        <w:jc w:val="center"/>
        <w:rPr>
          <w:rFonts w:ascii="黑体" w:hAnsi="黑体" w:eastAsia="黑体" w:cs="黑体"/>
          <w:color w:val="auto"/>
          <w:sz w:val="108"/>
          <w:szCs w:val="108"/>
          <w:highlight w:val="none"/>
        </w:r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outlineLvl w:val="0"/>
        <w:rPr>
          <w:rFonts w:ascii="黑体" w:hAnsi="黑体" w:eastAsia="黑体" w:cs="黑体"/>
          <w:color w:val="auto"/>
          <w:sz w:val="60"/>
          <w:szCs w:val="60"/>
          <w:highlight w:val="none"/>
        </w:rPr>
      </w:pPr>
      <w:bookmarkStart w:id="6" w:name="_Toc9936"/>
      <w:bookmarkStart w:id="7" w:name="_Toc13896"/>
      <w:r>
        <w:rPr>
          <w:rFonts w:ascii="黑体" w:hAnsi="黑体" w:eastAsia="黑体" w:cs="黑体"/>
          <w:color w:val="auto"/>
          <w:sz w:val="60"/>
          <w:szCs w:val="60"/>
          <w:highlight w:val="none"/>
        </w:rPr>
        <w:t>第一卷</w:t>
      </w:r>
      <w:bookmarkEnd w:id="6"/>
      <w:bookmarkEnd w:id="7"/>
    </w:p>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color w:val="auto"/>
          <w:sz w:val="36"/>
          <w:szCs w:val="36"/>
          <w:highlight w:val="none"/>
        </w:rPr>
      </w:pPr>
      <w:bookmarkStart w:id="8" w:name="_Toc1108"/>
      <w:r>
        <w:rPr>
          <w:rFonts w:ascii="黑体" w:hAnsi="黑体" w:eastAsia="黑体" w:cs="黑体"/>
          <w:b/>
          <w:bCs/>
          <w:color w:val="auto"/>
          <w:sz w:val="36"/>
          <w:szCs w:val="36"/>
          <w:highlight w:val="none"/>
        </w:rPr>
        <w:t>第一章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招标公告</w:t>
      </w:r>
      <w:bookmarkEnd w:id="8"/>
    </w:p>
    <w:p>
      <w:pPr>
        <w:tabs>
          <w:tab w:val="left" w:pos="3958"/>
        </w:tabs>
        <w:spacing w:line="480" w:lineRule="exact"/>
        <w:jc w:val="center"/>
        <w:rPr>
          <w:rFonts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嵊州市生态共富小流域水土流失综合治理项目（花桥、后村小流域）招标公告</w:t>
      </w:r>
    </w:p>
    <w:p>
      <w:pPr>
        <w:spacing w:line="500" w:lineRule="exact"/>
        <w:outlineLvl w:val="1"/>
        <w:rPr>
          <w:rFonts w:cs="宋体" w:asciiTheme="minorEastAsia" w:hAnsiTheme="minorEastAsia" w:eastAsiaTheme="minorEastAsia"/>
          <w:color w:val="auto"/>
          <w:highlight w:val="none"/>
        </w:rPr>
      </w:pPr>
      <w:bookmarkStart w:id="9" w:name="_Toc19481"/>
      <w:r>
        <w:rPr>
          <w:rFonts w:hint="eastAsia" w:cs="宋体" w:asciiTheme="minorEastAsia" w:hAnsiTheme="minorEastAsia" w:eastAsiaTheme="minorEastAsia"/>
          <w:b/>
          <w:bCs/>
          <w:color w:val="auto"/>
          <w:highlight w:val="none"/>
        </w:rPr>
        <w:t>1 招标条件</w:t>
      </w:r>
      <w:bookmarkEnd w:id="9"/>
    </w:p>
    <w:p>
      <w:pPr>
        <w:spacing w:line="500" w:lineRule="exact"/>
        <w:ind w:firstLine="411" w:firstLineChars="196"/>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本招标项目</w:t>
      </w:r>
      <w:r>
        <w:rPr>
          <w:rFonts w:hint="eastAsia" w:asciiTheme="minorEastAsia" w:hAnsiTheme="minorEastAsia" w:eastAsiaTheme="minorEastAsia"/>
          <w:color w:val="auto"/>
          <w:highlight w:val="none"/>
          <w:u w:val="single"/>
        </w:rPr>
        <w:t>嵊州市生态共富小流域水土流失综合治理项目（花桥、后村小流域）</w:t>
      </w:r>
      <w:r>
        <w:rPr>
          <w:rFonts w:hint="eastAsia" w:cs="宋体" w:asciiTheme="minorEastAsia" w:hAnsiTheme="minorEastAsia" w:eastAsiaTheme="minorEastAsia"/>
          <w:color w:val="auto"/>
          <w:highlight w:val="none"/>
        </w:rPr>
        <w:t>（项目名称），已由</w:t>
      </w:r>
      <w:r>
        <w:rPr>
          <w:rFonts w:hint="eastAsia" w:cs="宋体" w:asciiTheme="minorEastAsia" w:hAnsiTheme="minorEastAsia" w:eastAsiaTheme="minorEastAsia"/>
          <w:color w:val="auto"/>
          <w:highlight w:val="none"/>
          <w:u w:val="single"/>
        </w:rPr>
        <w:t>嵊州市发展和改革局</w:t>
      </w:r>
      <w:r>
        <w:rPr>
          <w:rFonts w:hint="eastAsia" w:cs="宋体" w:asciiTheme="minorEastAsia" w:hAnsiTheme="minorEastAsia" w:eastAsiaTheme="minorEastAsia"/>
          <w:color w:val="auto"/>
          <w:highlight w:val="none"/>
        </w:rPr>
        <w:t>（项目审批、核准或备案机关名称）以</w:t>
      </w:r>
      <w:r>
        <w:rPr>
          <w:rFonts w:hint="eastAsia" w:asciiTheme="minorEastAsia" w:hAnsiTheme="minorEastAsia" w:eastAsiaTheme="minorEastAsia"/>
          <w:color w:val="auto"/>
          <w:highlight w:val="none"/>
          <w:u w:val="single"/>
        </w:rPr>
        <w:t>嵊发改中投[2023]</w:t>
      </w:r>
      <w:r>
        <w:rPr>
          <w:rFonts w:hint="eastAsia" w:asciiTheme="minorEastAsia" w:hAnsiTheme="minorEastAsia" w:eastAsiaTheme="minorEastAsia"/>
          <w:color w:val="auto"/>
          <w:highlight w:val="none"/>
          <w:u w:val="single"/>
          <w:lang w:val="en-US" w:eastAsia="zh-CN"/>
        </w:rPr>
        <w:t>134</w:t>
      </w:r>
      <w:r>
        <w:rPr>
          <w:rFonts w:hint="eastAsia" w:asciiTheme="minorEastAsia" w:hAnsiTheme="minorEastAsia" w:eastAsiaTheme="minorEastAsia"/>
          <w:color w:val="auto"/>
          <w:highlight w:val="none"/>
          <w:u w:val="single"/>
        </w:rPr>
        <w:t>号</w:t>
      </w:r>
      <w:r>
        <w:rPr>
          <w:rFonts w:hint="eastAsia" w:asciiTheme="minorEastAsia" w:hAnsiTheme="minorEastAsia" w:eastAsiaTheme="minorEastAsia"/>
          <w:color w:val="auto"/>
          <w:highlight w:val="none"/>
        </w:rPr>
        <w:t>文件</w:t>
      </w:r>
      <w:r>
        <w:rPr>
          <w:rFonts w:hint="eastAsia" w:cs="宋体" w:asciiTheme="minorEastAsia" w:hAnsiTheme="minorEastAsia" w:eastAsiaTheme="minorEastAsia"/>
          <w:color w:val="auto"/>
          <w:highlight w:val="none"/>
        </w:rPr>
        <w:t>（批文名称及编号）批准建设，建设资金来自</w:t>
      </w:r>
      <w:r>
        <w:rPr>
          <w:rFonts w:hint="eastAsia" w:cs="宋体" w:asciiTheme="minorEastAsia" w:hAnsiTheme="minorEastAsia" w:eastAsiaTheme="minorEastAsia"/>
          <w:color w:val="auto"/>
          <w:highlight w:val="none"/>
          <w:u w:val="single"/>
        </w:rPr>
        <w:t>财政</w:t>
      </w:r>
      <w:r>
        <w:rPr>
          <w:rFonts w:hint="eastAsia" w:cs="宋体" w:asciiTheme="minorEastAsia" w:hAnsiTheme="minorEastAsia" w:eastAsiaTheme="minorEastAsia"/>
          <w:color w:val="auto"/>
          <w:highlight w:val="none"/>
          <w:u w:val="single"/>
          <w:lang w:val="en-US" w:eastAsia="zh-CN"/>
        </w:rPr>
        <w:t>资金及项目单位自有资金</w:t>
      </w:r>
      <w:r>
        <w:rPr>
          <w:rFonts w:hint="eastAsia" w:cs="宋体" w:asciiTheme="minorEastAsia" w:hAnsiTheme="minorEastAsia" w:eastAsiaTheme="minorEastAsia"/>
          <w:color w:val="auto"/>
          <w:highlight w:val="none"/>
        </w:rPr>
        <w:t>（资金来源），项目</w:t>
      </w:r>
      <w:r>
        <w:rPr>
          <w:rFonts w:hint="eastAsia" w:asciiTheme="minorEastAsia" w:hAnsiTheme="minorEastAsia" w:eastAsiaTheme="minorEastAsia"/>
          <w:color w:val="auto"/>
          <w:highlight w:val="none"/>
        </w:rPr>
        <w:t>法人为</w:t>
      </w:r>
      <w:r>
        <w:rPr>
          <w:rFonts w:hint="eastAsia" w:asciiTheme="minorEastAsia" w:hAnsiTheme="minorEastAsia" w:eastAsiaTheme="minorEastAsia"/>
          <w:color w:val="auto"/>
          <w:highlight w:val="none"/>
          <w:u w:val="single"/>
        </w:rPr>
        <w:t xml:space="preserve"> 嵊州市甘霖镇人民政府</w:t>
      </w:r>
      <w:r>
        <w:rPr>
          <w:rFonts w:hint="eastAsia" w:asciiTheme="minorEastAsia" w:hAnsiTheme="minorEastAsia" w:eastAsiaTheme="minorEastAsia"/>
          <w:color w:val="auto"/>
          <w:highlight w:val="none"/>
        </w:rPr>
        <w:t>，招标人为</w:t>
      </w:r>
      <w:r>
        <w:rPr>
          <w:rFonts w:hint="eastAsia" w:asciiTheme="minorEastAsia" w:hAnsiTheme="minorEastAsia" w:eastAsiaTheme="minorEastAsia"/>
          <w:color w:val="auto"/>
          <w:highlight w:val="none"/>
          <w:u w:val="single"/>
        </w:rPr>
        <w:t>嵊州市甘霖镇人民政府</w:t>
      </w:r>
      <w:r>
        <w:rPr>
          <w:rFonts w:hint="eastAsia" w:asciiTheme="minorEastAsia" w:hAnsiTheme="minorEastAsia" w:eastAsiaTheme="minorEastAsia"/>
          <w:color w:val="auto"/>
          <w:highlight w:val="none"/>
        </w:rPr>
        <w:t>，招标代理机构为</w:t>
      </w:r>
      <w:r>
        <w:rPr>
          <w:rFonts w:hint="eastAsia" w:cs="宋体" w:asciiTheme="minorEastAsia" w:hAnsiTheme="minorEastAsia" w:eastAsiaTheme="minorEastAsia"/>
          <w:color w:val="auto"/>
          <w:highlight w:val="none"/>
          <w:u w:val="single"/>
        </w:rPr>
        <w:t>浙江卓宏建设项目管理有限公司</w:t>
      </w:r>
      <w:r>
        <w:rPr>
          <w:rFonts w:hint="eastAsia" w:asciiTheme="minorEastAsia" w:hAnsiTheme="minorEastAsia" w:eastAsiaTheme="minorEastAsia"/>
          <w:color w:val="auto"/>
          <w:highlight w:val="none"/>
        </w:rPr>
        <w:t>。项目已具备招标条件，现对该项目的施工进行公开招标。</w:t>
      </w:r>
    </w:p>
    <w:p>
      <w:pPr>
        <w:spacing w:line="500" w:lineRule="exact"/>
        <w:outlineLvl w:val="1"/>
        <w:rPr>
          <w:rFonts w:cs="宋体" w:asciiTheme="minorEastAsia" w:hAnsiTheme="minorEastAsia" w:eastAsiaTheme="minorEastAsia"/>
          <w:b/>
          <w:bCs/>
          <w:color w:val="auto"/>
          <w:highlight w:val="none"/>
        </w:rPr>
      </w:pPr>
      <w:bookmarkStart w:id="10" w:name="_Toc19197"/>
      <w:r>
        <w:rPr>
          <w:rFonts w:hint="eastAsia" w:cs="宋体" w:asciiTheme="minorEastAsia" w:hAnsiTheme="minorEastAsia" w:eastAsiaTheme="minorEastAsia"/>
          <w:b/>
          <w:bCs/>
          <w:color w:val="auto"/>
          <w:highlight w:val="none"/>
        </w:rPr>
        <w:t>2 项目概况与招标范围</w:t>
      </w:r>
      <w:bookmarkEnd w:id="10"/>
    </w:p>
    <w:p>
      <w:pPr>
        <w:spacing w:line="500" w:lineRule="exact"/>
        <w:ind w:firstLine="420" w:firstLineChars="200"/>
        <w:rPr>
          <w:rFonts w:hint="default" w:asciiTheme="minorEastAsia" w:hAnsiTheme="minorEastAsia" w:eastAsiaTheme="minorEastAsia"/>
          <w:color w:val="auto"/>
          <w:highlight w:val="none"/>
          <w:lang w:val="en-US" w:eastAsia="zh-CN"/>
        </w:rPr>
      </w:pPr>
      <w:bookmarkStart w:id="11" w:name="_Toc18413"/>
      <w:r>
        <w:rPr>
          <w:rFonts w:hint="eastAsia" w:cs="宋体" w:asciiTheme="minorEastAsia" w:hAnsiTheme="minorEastAsia" w:eastAsiaTheme="minorEastAsia"/>
          <w:color w:val="auto"/>
          <w:highlight w:val="none"/>
        </w:rPr>
        <w:t>2.1 项目概况：建设规模和内容育治理 431 公顷</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包括封育标识牌 5 块，流域宣传碑 1 块</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，农田治理 1 项</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渠道 396 米，生产道路 402 米，沉沙池 1 座</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，溪沟治理 1 项</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护岸 1820 米</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 xml:space="preserve"> 护脚 1167 米</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，人居环境治理 1 处。</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420" w:firstLineChars="200"/>
        <w:textAlignment w:val="baseline"/>
        <w:rPr>
          <w:rFonts w:cs="宋体" w:asciiTheme="minorEastAsia" w:hAnsiTheme="minorEastAsia" w:eastAsiaTheme="minorEastAsia"/>
          <w:color w:val="auto"/>
          <w:highlight w:val="none"/>
          <w:u w:val="single"/>
        </w:rPr>
      </w:pPr>
      <w:r>
        <w:rPr>
          <w:rFonts w:hint="eastAsia" w:asciiTheme="minorEastAsia" w:hAnsiTheme="minorEastAsia" w:eastAsiaTheme="minorEastAsia"/>
          <w:color w:val="auto"/>
          <w:highlight w:val="none"/>
        </w:rPr>
        <w:t>本工程概算总投资：</w:t>
      </w:r>
      <w:r>
        <w:rPr>
          <w:rFonts w:hint="eastAsia" w:asciiTheme="minorEastAsia" w:hAnsiTheme="minorEastAsia" w:eastAsiaTheme="minorEastAsia"/>
          <w:color w:val="auto"/>
          <w:highlight w:val="none"/>
          <w:u w:val="single"/>
          <w:lang w:val="en-US" w:eastAsia="zh-CN"/>
        </w:rPr>
        <w:t>5810000</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元，其中建安工程费：</w:t>
      </w:r>
      <w:r>
        <w:rPr>
          <w:rFonts w:hint="eastAsia" w:asciiTheme="minorEastAsia" w:hAnsiTheme="minorEastAsia" w:eastAsiaTheme="minorEastAsia"/>
          <w:color w:val="auto"/>
          <w:highlight w:val="none"/>
          <w:u w:val="single"/>
          <w:lang w:val="en-US" w:eastAsia="zh-CN"/>
        </w:rPr>
        <w:t>4986000</w:t>
      </w:r>
      <w:r>
        <w:rPr>
          <w:rFonts w:hint="eastAsia" w:asciiTheme="minorEastAsia" w:hAnsiTheme="minorEastAsia" w:eastAsiaTheme="minorEastAsia"/>
          <w:color w:val="auto"/>
          <w:highlight w:val="none"/>
        </w:rPr>
        <w:t>元，</w:t>
      </w:r>
      <w:r>
        <w:rPr>
          <w:rFonts w:hint="eastAsia" w:asciiTheme="minorEastAsia" w:hAnsiTheme="minorEastAsia" w:eastAsiaTheme="minorEastAsia" w:cstheme="minorEastAsia"/>
          <w:color w:val="auto"/>
          <w:highlight w:val="none"/>
        </w:rPr>
        <w:t>招标预算价：</w:t>
      </w:r>
      <w:r>
        <w:rPr>
          <w:rFonts w:hint="eastAsia" w:asciiTheme="minorEastAsia" w:hAnsiTheme="minorEastAsia" w:eastAsiaTheme="minorEastAsia" w:cstheme="minorEastAsia"/>
          <w:color w:val="auto"/>
          <w:highlight w:val="none"/>
          <w:u w:val="single"/>
          <w:lang w:val="en-US" w:eastAsia="zh-CN"/>
        </w:rPr>
        <w:t>4957129</w:t>
      </w:r>
      <w:r>
        <w:rPr>
          <w:rFonts w:hint="eastAsia" w:asciiTheme="minorEastAsia" w:hAnsiTheme="minorEastAsia" w:eastAsiaTheme="minorEastAsia"/>
          <w:color w:val="auto"/>
          <w:highlight w:val="none"/>
        </w:rPr>
        <w:t>元</w:t>
      </w:r>
      <w:r>
        <w:rPr>
          <w:rFonts w:hint="eastAsia" w:asciiTheme="minorEastAsia" w:hAnsiTheme="minorEastAsia" w:eastAsiaTheme="minorEastAsia" w:cstheme="minorEastAsia"/>
          <w:color w:val="auto"/>
          <w:highlight w:val="none"/>
        </w:rPr>
        <w:t>， 预留金：</w:t>
      </w:r>
      <w:r>
        <w:rPr>
          <w:rFonts w:hint="eastAsia" w:asciiTheme="minorEastAsia" w:hAnsiTheme="minorEastAsia" w:eastAsiaTheme="minorEastAsia" w:cstheme="minorEastAsia"/>
          <w:color w:val="auto"/>
          <w:highlight w:val="none"/>
          <w:u w:val="single"/>
          <w:lang w:val="en-US" w:eastAsia="zh-CN"/>
        </w:rPr>
        <w:t>100000元</w:t>
      </w:r>
      <w:r>
        <w:rPr>
          <w:rFonts w:hint="eastAsia" w:asciiTheme="minorEastAsia" w:hAnsiTheme="minorEastAsia" w:eastAsiaTheme="minorEastAsia" w:cstheme="minorEastAsia"/>
          <w:color w:val="auto"/>
          <w:highlight w:val="none"/>
        </w:rPr>
        <w:t>，暂估价：</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olor w:val="auto"/>
          <w:highlight w:val="none"/>
          <w:u w:val="single"/>
          <w:lang w:val="en-US" w:eastAsia="zh-CN"/>
        </w:rPr>
        <w:t>/</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最高限价：</w:t>
      </w:r>
      <w:r>
        <w:rPr>
          <w:rFonts w:hint="eastAsia" w:asciiTheme="minorEastAsia" w:hAnsiTheme="minorEastAsia" w:eastAsiaTheme="minorEastAsia" w:cstheme="minorEastAsia"/>
          <w:color w:val="auto"/>
          <w:highlight w:val="none"/>
          <w:u w:val="single"/>
          <w:lang w:val="en-US" w:eastAsia="zh-CN"/>
        </w:rPr>
        <w:t>4568558</w:t>
      </w:r>
      <w:r>
        <w:rPr>
          <w:rFonts w:hint="eastAsia" w:eastAsia="宋体"/>
          <w:snapToGrid w:val="0"/>
          <w:color w:val="auto"/>
          <w:szCs w:val="21"/>
          <w:highlight w:val="none"/>
          <w:u w:val="none"/>
          <w:lang w:val="en-US" w:eastAsia="zh-CN"/>
        </w:rPr>
        <w:t>元（招标预算价下浮8%，预留金、暂估价不下浮。）</w:t>
      </w:r>
    </w:p>
    <w:p>
      <w:pPr>
        <w:spacing w:line="500" w:lineRule="exact"/>
        <w:ind w:firstLine="420" w:firstLineChars="200"/>
        <w:rPr>
          <w:rFonts w:cs="宋体" w:asciiTheme="minorEastAsia" w:hAnsiTheme="minorEastAsia" w:eastAsiaTheme="minorEastAsia"/>
          <w:color w:val="auto"/>
          <w:highlight w:val="none"/>
          <w:u w:val="single"/>
        </w:rPr>
      </w:pPr>
      <w:r>
        <w:rPr>
          <w:rFonts w:hint="eastAsia" w:cs="宋体" w:asciiTheme="minorEastAsia" w:hAnsiTheme="minorEastAsia" w:eastAsiaTheme="minorEastAsia"/>
          <w:color w:val="auto"/>
          <w:highlight w:val="none"/>
        </w:rPr>
        <w:t>招标范围：</w:t>
      </w:r>
      <w:r>
        <w:rPr>
          <w:rFonts w:hint="eastAsia" w:cs="宋体" w:asciiTheme="minorEastAsia" w:hAnsiTheme="minorEastAsia" w:eastAsiaTheme="minorEastAsia"/>
          <w:color w:val="auto"/>
          <w:highlight w:val="none"/>
          <w:u w:val="single"/>
        </w:rPr>
        <w:t>嵊州市生态共富小流域水土流失综合治理项目（花桥、后村小流域）施工图中的全部内容（详见工程量清单）。</w:t>
      </w:r>
    </w:p>
    <w:p>
      <w:pPr>
        <w:spacing w:line="500" w:lineRule="exact"/>
        <w:ind w:firstLine="420" w:firstLineChars="200"/>
        <w:rPr>
          <w:rFonts w:cs="宋体" w:asciiTheme="minorEastAsia" w:hAnsiTheme="minorEastAsia" w:eastAsiaTheme="minorEastAsia"/>
          <w:color w:val="auto"/>
          <w:highlight w:val="none"/>
          <w:u w:val="single"/>
        </w:rPr>
      </w:pPr>
      <w:r>
        <w:rPr>
          <w:rFonts w:hint="eastAsia" w:cs="宋体" w:asciiTheme="minorEastAsia" w:hAnsiTheme="minorEastAsia" w:eastAsiaTheme="minorEastAsia"/>
          <w:color w:val="auto"/>
          <w:highlight w:val="none"/>
          <w:u w:val="single"/>
        </w:rPr>
        <w:t>计划工期： 300日历天。</w:t>
      </w:r>
    </w:p>
    <w:p>
      <w:pPr>
        <w:spacing w:line="500" w:lineRule="exact"/>
        <w:outlineLvl w:val="1"/>
        <w:rPr>
          <w:rFonts w:cs="宋体" w:asciiTheme="minorEastAsia" w:hAnsiTheme="minorEastAsia" w:eastAsiaTheme="minorEastAsia"/>
          <w:b/>
          <w:bCs/>
          <w:color w:val="auto"/>
          <w:highlight w:val="none"/>
        </w:rPr>
      </w:pPr>
      <w:r>
        <w:rPr>
          <w:rFonts w:hint="eastAsia" w:cs="宋体" w:asciiTheme="minorEastAsia" w:hAnsiTheme="minorEastAsia" w:eastAsiaTheme="minorEastAsia"/>
          <w:b/>
          <w:bCs/>
          <w:color w:val="auto"/>
          <w:highlight w:val="none"/>
        </w:rPr>
        <w:t>3 投标人资格要求</w:t>
      </w:r>
      <w:bookmarkEnd w:id="11"/>
    </w:p>
    <w:p>
      <w:pPr>
        <w:spacing w:line="50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3.1 本次招标要求投标人</w:t>
      </w:r>
      <w:r>
        <w:rPr>
          <w:rFonts w:hint="eastAsia" w:cs="宋体" w:asciiTheme="minorEastAsia" w:hAnsiTheme="minorEastAsia" w:eastAsiaTheme="minorEastAsia"/>
          <w:color w:val="auto"/>
          <w:highlight w:val="none"/>
          <w:u w:val="single"/>
        </w:rPr>
        <w:t>具备水利水电工程施工总承包三级及以上资质</w:t>
      </w:r>
      <w:r>
        <w:rPr>
          <w:rFonts w:hint="eastAsia" w:cs="宋体" w:asciiTheme="minorEastAsia" w:hAnsiTheme="minorEastAsia" w:eastAsiaTheme="minorEastAsia"/>
          <w:color w:val="auto"/>
          <w:highlight w:val="none"/>
          <w:u w:val="single"/>
          <w:lang w:eastAsia="zh-CN"/>
        </w:rPr>
        <w:t>（对应资质应在“浙江省建筑市场监管公共服务系统”上资质动态核查结果处于“合格”状态）</w:t>
      </w:r>
      <w:r>
        <w:rPr>
          <w:rFonts w:hint="eastAsia" w:cs="宋体" w:asciiTheme="minorEastAsia" w:hAnsiTheme="minorEastAsia" w:eastAsiaTheme="minorEastAsia"/>
          <w:color w:val="auto"/>
          <w:highlight w:val="none"/>
          <w:u w:val="single"/>
        </w:rPr>
        <w:t>，其他条件详见附表。</w:t>
      </w:r>
    </w:p>
    <w:p>
      <w:pPr>
        <w:spacing w:line="50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3.2 本次招标</w:t>
      </w:r>
      <w:r>
        <w:rPr>
          <w:rFonts w:hint="eastAsia" w:cs="宋体" w:asciiTheme="minorEastAsia" w:hAnsiTheme="minorEastAsia" w:eastAsiaTheme="minorEastAsia"/>
          <w:color w:val="auto"/>
          <w:highlight w:val="none"/>
          <w:u w:val="single"/>
        </w:rPr>
        <w:t xml:space="preserve"> 不接受 </w:t>
      </w:r>
      <w:r>
        <w:rPr>
          <w:rFonts w:hint="eastAsia" w:cs="宋体" w:asciiTheme="minorEastAsia" w:hAnsiTheme="minorEastAsia" w:eastAsiaTheme="minorEastAsia"/>
          <w:color w:val="auto"/>
          <w:highlight w:val="none"/>
        </w:rPr>
        <w:t>（接受或不接受）联合体投标。</w:t>
      </w:r>
    </w:p>
    <w:p>
      <w:pPr>
        <w:spacing w:line="500" w:lineRule="exact"/>
        <w:outlineLvl w:val="1"/>
        <w:rPr>
          <w:rFonts w:cs="宋体" w:asciiTheme="minorEastAsia" w:hAnsiTheme="minorEastAsia" w:eastAsiaTheme="minorEastAsia"/>
          <w:b/>
          <w:bCs/>
          <w:color w:val="auto"/>
          <w:highlight w:val="none"/>
        </w:rPr>
      </w:pPr>
      <w:bookmarkStart w:id="12" w:name="_Toc12217"/>
      <w:r>
        <w:rPr>
          <w:rFonts w:hint="eastAsia" w:cs="宋体" w:asciiTheme="minorEastAsia" w:hAnsiTheme="minorEastAsia" w:eastAsiaTheme="minorEastAsia"/>
          <w:b/>
          <w:bCs/>
          <w:color w:val="auto"/>
          <w:highlight w:val="none"/>
        </w:rPr>
        <w:t>4 招标文件的获取</w:t>
      </w:r>
      <w:bookmarkEnd w:id="12"/>
    </w:p>
    <w:p>
      <w:pPr>
        <w:spacing w:line="500" w:lineRule="exact"/>
        <w:ind w:firstLine="477"/>
        <w:jc w:val="both"/>
        <w:rPr>
          <w:rFonts w:cs="宋体" w:asciiTheme="minorEastAsia" w:hAnsiTheme="minorEastAsia" w:eastAsiaTheme="minorEastAsia"/>
          <w:color w:val="auto"/>
          <w:highlight w:val="none"/>
        </w:rPr>
      </w:pPr>
      <w:bookmarkStart w:id="13" w:name="_Toc14897"/>
      <w:r>
        <w:rPr>
          <w:rFonts w:hint="eastAsia" w:cs="宋体" w:asciiTheme="minorEastAsia" w:hAnsiTheme="minorEastAsia" w:eastAsiaTheme="minorEastAsia"/>
          <w:color w:val="auto"/>
          <w:highlight w:val="none"/>
        </w:rPr>
        <w:t>4.1 本项目招标文件和补充（答疑、澄清）、修改文件在“嵊州市公共资源电子交易系统”发布，由投标人自行下载获取。</w:t>
      </w:r>
    </w:p>
    <w:p>
      <w:pPr>
        <w:spacing w:line="500" w:lineRule="exact"/>
        <w:ind w:firstLine="477"/>
        <w:jc w:val="both"/>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4.2 招标文件领取时间从公告公布之日起至</w:t>
      </w:r>
      <w:r>
        <w:rPr>
          <w:rFonts w:hint="eastAsia" w:cs="宋体" w:asciiTheme="minorEastAsia" w:hAnsiTheme="minorEastAsia" w:eastAsiaTheme="minorEastAsia"/>
          <w:color w:val="auto"/>
          <w:highlight w:val="none"/>
          <w:u w:val="single"/>
        </w:rPr>
        <w:t>202</w:t>
      </w:r>
      <w:r>
        <w:rPr>
          <w:rFonts w:hint="eastAsia" w:cs="宋体" w:asciiTheme="minorEastAsia" w:hAnsiTheme="minorEastAsia" w:eastAsiaTheme="minorEastAsia"/>
          <w:color w:val="auto"/>
          <w:highlight w:val="none"/>
          <w:u w:val="single"/>
          <w:lang w:val="en-US" w:eastAsia="zh-CN"/>
        </w:rPr>
        <w:t>4</w:t>
      </w:r>
      <w:r>
        <w:rPr>
          <w:rFonts w:hint="eastAsia" w:cs="宋体" w:asciiTheme="minorEastAsia" w:hAnsiTheme="minorEastAsia" w:eastAsiaTheme="minorEastAsia"/>
          <w:color w:val="auto"/>
          <w:highlight w:val="none"/>
          <w:u w:val="none"/>
        </w:rPr>
        <w:t>年</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highlight w:val="none"/>
          <w:u w:val="single"/>
          <w:lang w:val="en-US" w:eastAsia="zh-CN"/>
        </w:rPr>
        <w:t>02</w:t>
      </w:r>
      <w:r>
        <w:rPr>
          <w:rFonts w:hint="eastAsia" w:cs="宋体" w:asciiTheme="minorEastAsia" w:hAnsiTheme="minorEastAsia" w:eastAsiaTheme="minorEastAsia"/>
          <w:color w:val="auto"/>
          <w:highlight w:val="none"/>
          <w:u w:val="none"/>
          <w:lang w:val="en-US" w:eastAsia="zh-CN"/>
        </w:rPr>
        <w:t xml:space="preserve"> </w:t>
      </w:r>
      <w:r>
        <w:rPr>
          <w:rFonts w:hint="eastAsia" w:cs="宋体" w:asciiTheme="minorEastAsia" w:hAnsiTheme="minorEastAsia" w:eastAsiaTheme="minorEastAsia"/>
          <w:color w:val="auto"/>
          <w:highlight w:val="none"/>
          <w:u w:val="none"/>
        </w:rPr>
        <w:t xml:space="preserve">月 </w:t>
      </w:r>
      <w:r>
        <w:rPr>
          <w:rFonts w:hint="eastAsia" w:cs="宋体" w:asciiTheme="minorEastAsia" w:hAnsiTheme="minorEastAsia" w:eastAsiaTheme="minorEastAsia"/>
          <w:color w:val="auto"/>
          <w:highlight w:val="none"/>
          <w:u w:val="single"/>
          <w:lang w:val="en-US" w:eastAsia="zh-CN"/>
        </w:rPr>
        <w:t>07</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highlight w:val="none"/>
          <w:u w:val="none"/>
        </w:rPr>
        <w:t>日</w:t>
      </w:r>
      <w:r>
        <w:rPr>
          <w:rFonts w:hint="eastAsia" w:cs="宋体" w:asciiTheme="minorEastAsia" w:hAnsiTheme="minorEastAsia" w:eastAsiaTheme="minorEastAsia"/>
          <w:color w:val="auto"/>
          <w:highlight w:val="none"/>
        </w:rPr>
        <w:t>止。潜在投标人应自行关注“嵊州市公共资源电子交易系统”，招标人不再一一通知。投标人因自身贻误行为导致投标失败的，一律视为不响应招标文件，投标文件不予接受。</w:t>
      </w:r>
    </w:p>
    <w:p>
      <w:pPr>
        <w:spacing w:line="500" w:lineRule="exact"/>
        <w:ind w:firstLine="477"/>
        <w:jc w:val="both"/>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4.3 潜在投标人须凭本企业适用于嵊州市公共资源交易中心的 CA 数字证书登录“嵊州市公共资源电子交易系统”，在对应的公告下方自行下载招标文件，投标文件须填写相关信息，未填写相关信息的，投标文件不予接受。未取得嵊州市公共资源交易中心 CA 数字证书的潜在投标人，应先办理交易主体注册手续，取得嵊州市公共资源交易中心 CA 数字证书。</w:t>
      </w:r>
    </w:p>
    <w:p>
      <w:pPr>
        <w:spacing w:line="500" w:lineRule="exact"/>
        <w:outlineLvl w:val="1"/>
        <w:rPr>
          <w:rFonts w:cs="宋体" w:asciiTheme="minorEastAsia" w:hAnsiTheme="minorEastAsia" w:eastAsiaTheme="minorEastAsia"/>
          <w:b/>
          <w:bCs/>
          <w:color w:val="auto"/>
          <w:highlight w:val="none"/>
        </w:rPr>
      </w:pPr>
      <w:r>
        <w:rPr>
          <w:rFonts w:hint="eastAsia" w:cs="宋体" w:asciiTheme="minorEastAsia" w:hAnsiTheme="minorEastAsia" w:eastAsiaTheme="minorEastAsia"/>
          <w:b/>
          <w:bCs/>
          <w:color w:val="auto"/>
          <w:highlight w:val="none"/>
        </w:rPr>
        <w:t>5 投标文件的递交</w:t>
      </w:r>
      <w:bookmarkEnd w:id="13"/>
    </w:p>
    <w:p>
      <w:pPr>
        <w:spacing w:line="500" w:lineRule="exact"/>
        <w:ind w:firstLine="477"/>
        <w:jc w:val="both"/>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投标文件递交的截止时间（投标截止时间，下同）为</w:t>
      </w:r>
      <w:r>
        <w:rPr>
          <w:rFonts w:hint="eastAsia" w:cs="宋体" w:asciiTheme="minorEastAsia" w:hAnsiTheme="minorEastAsia" w:eastAsiaTheme="minorEastAsia"/>
          <w:color w:val="auto"/>
          <w:highlight w:val="none"/>
          <w:u w:val="single"/>
        </w:rPr>
        <w:t>202</w:t>
      </w:r>
      <w:r>
        <w:rPr>
          <w:rFonts w:hint="eastAsia" w:cs="宋体" w:asciiTheme="minorEastAsia" w:hAnsiTheme="minorEastAsia" w:eastAsiaTheme="minorEastAsia"/>
          <w:color w:val="auto"/>
          <w:highlight w:val="none"/>
          <w:u w:val="single"/>
          <w:lang w:val="en-US" w:eastAsia="zh-CN"/>
        </w:rPr>
        <w:t>4</w:t>
      </w:r>
      <w:r>
        <w:rPr>
          <w:rFonts w:hint="eastAsia" w:cs="宋体" w:asciiTheme="minorEastAsia" w:hAnsiTheme="minorEastAsia" w:eastAsiaTheme="minorEastAsia"/>
          <w:color w:val="auto"/>
          <w:highlight w:val="none"/>
        </w:rPr>
        <w:t>年</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highlight w:val="none"/>
          <w:u w:val="single"/>
          <w:lang w:val="en-US" w:eastAsia="zh-CN"/>
        </w:rPr>
        <w:t>02</w:t>
      </w:r>
      <w:r>
        <w:rPr>
          <w:rFonts w:hint="eastAsia" w:cs="宋体" w:asciiTheme="minorEastAsia" w:hAnsiTheme="minorEastAsia" w:eastAsiaTheme="minorEastAsia"/>
          <w:color w:val="auto"/>
          <w:highlight w:val="none"/>
          <w:u w:val="none"/>
          <w:lang w:val="en-US" w:eastAsia="zh-CN"/>
        </w:rPr>
        <w:t xml:space="preserve"> </w:t>
      </w:r>
      <w:r>
        <w:rPr>
          <w:rFonts w:hint="eastAsia" w:cs="宋体" w:asciiTheme="minorEastAsia" w:hAnsiTheme="minorEastAsia" w:eastAsiaTheme="minorEastAsia"/>
          <w:color w:val="auto"/>
          <w:highlight w:val="none"/>
        </w:rPr>
        <w:t>月</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highlight w:val="none"/>
          <w:u w:val="single"/>
          <w:lang w:val="en-US" w:eastAsia="zh-CN"/>
        </w:rPr>
        <w:t>07</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highlight w:val="none"/>
        </w:rPr>
        <w:t>日</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highlight w:val="none"/>
          <w:u w:val="single"/>
          <w:lang w:val="en-US" w:eastAsia="zh-CN"/>
        </w:rPr>
        <w:t>09</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highlight w:val="none"/>
        </w:rPr>
        <w:t xml:space="preserve">时 </w:t>
      </w:r>
      <w:r>
        <w:rPr>
          <w:rFonts w:hint="eastAsia" w:cs="宋体" w:asciiTheme="minorEastAsia" w:hAnsiTheme="minorEastAsia" w:eastAsiaTheme="minorEastAsia"/>
          <w:color w:val="auto"/>
          <w:highlight w:val="none"/>
          <w:u w:val="single"/>
        </w:rPr>
        <w:t xml:space="preserve">00 </w:t>
      </w:r>
      <w:r>
        <w:rPr>
          <w:rFonts w:hint="eastAsia" w:cs="宋体" w:asciiTheme="minorEastAsia" w:hAnsiTheme="minorEastAsia" w:eastAsiaTheme="minorEastAsia"/>
          <w:color w:val="auto"/>
          <w:highlight w:val="none"/>
        </w:rPr>
        <w:t>分</w:t>
      </w:r>
      <w:r>
        <w:rPr>
          <w:rFonts w:hint="eastAsia" w:cs="宋体" w:asciiTheme="minorEastAsia" w:hAnsiTheme="minorEastAsia" w:eastAsiaTheme="minorEastAsia"/>
          <w:color w:val="auto"/>
          <w:highlight w:val="none"/>
        </w:rPr>
        <w:t>（北京时间，下同）。投标文件递交方式：投标人可采用现场递交的方式，由招标人及招标代理机构安排专人于</w:t>
      </w:r>
      <w:r>
        <w:rPr>
          <w:rFonts w:hint="eastAsia" w:cs="宋体" w:asciiTheme="minorEastAsia" w:hAnsiTheme="minorEastAsia" w:eastAsiaTheme="minorEastAsia"/>
          <w:color w:val="auto"/>
          <w:highlight w:val="none"/>
          <w:u w:val="single"/>
        </w:rPr>
        <w:t>202</w:t>
      </w:r>
      <w:r>
        <w:rPr>
          <w:rFonts w:hint="eastAsia" w:cs="宋体" w:asciiTheme="minorEastAsia" w:hAnsiTheme="minorEastAsia" w:eastAsiaTheme="minorEastAsia"/>
          <w:color w:val="auto"/>
          <w:highlight w:val="none"/>
          <w:u w:val="single"/>
          <w:lang w:val="en-US" w:eastAsia="zh-CN"/>
        </w:rPr>
        <w:t>4</w:t>
      </w:r>
      <w:r>
        <w:rPr>
          <w:rFonts w:hint="eastAsia" w:cs="宋体" w:asciiTheme="minorEastAsia" w:hAnsiTheme="minorEastAsia" w:eastAsiaTheme="minorEastAsia"/>
          <w:color w:val="auto"/>
          <w:highlight w:val="none"/>
          <w:u w:val="none"/>
        </w:rPr>
        <w:t>年</w:t>
      </w:r>
      <w:r>
        <w:rPr>
          <w:rFonts w:hint="eastAsia" w:cs="宋体"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highlight w:val="none"/>
          <w:u w:val="single"/>
          <w:lang w:val="en-US" w:eastAsia="zh-CN"/>
        </w:rPr>
        <w:t xml:space="preserve">02 </w:t>
      </w:r>
      <w:r>
        <w:rPr>
          <w:rFonts w:hint="eastAsia" w:cs="宋体" w:asciiTheme="minorEastAsia" w:hAnsiTheme="minorEastAsia" w:eastAsiaTheme="minorEastAsia"/>
          <w:color w:val="auto"/>
          <w:highlight w:val="none"/>
          <w:u w:val="none"/>
        </w:rPr>
        <w:t>月</w:t>
      </w:r>
      <w:r>
        <w:rPr>
          <w:rFonts w:hint="eastAsia" w:cs="宋体" w:asciiTheme="minorEastAsia" w:hAnsiTheme="minorEastAsia" w:eastAsiaTheme="minorEastAsia"/>
          <w:color w:val="auto"/>
          <w:highlight w:val="none"/>
          <w:u w:val="single"/>
          <w:lang w:val="en-US" w:eastAsia="zh-CN"/>
        </w:rPr>
        <w:t xml:space="preserve"> 07 </w:t>
      </w:r>
      <w:r>
        <w:rPr>
          <w:rFonts w:hint="eastAsia" w:cs="宋体" w:asciiTheme="minorEastAsia" w:hAnsiTheme="minorEastAsia" w:eastAsiaTheme="minorEastAsia"/>
          <w:color w:val="auto"/>
          <w:highlight w:val="none"/>
          <w:u w:val="none"/>
        </w:rPr>
        <w:t>日</w:t>
      </w:r>
      <w:r>
        <w:rPr>
          <w:rFonts w:hint="eastAsia" w:cs="宋体" w:asciiTheme="minorEastAsia" w:hAnsiTheme="minorEastAsia" w:eastAsiaTheme="minorEastAsia"/>
          <w:color w:val="auto"/>
          <w:highlight w:val="none"/>
          <w:u w:val="single"/>
          <w:lang w:val="en-US" w:eastAsia="zh-CN"/>
        </w:rPr>
        <w:t>08</w:t>
      </w:r>
      <w:r>
        <w:rPr>
          <w:rFonts w:hint="eastAsia" w:cs="宋体" w:asciiTheme="minorEastAsia" w:hAnsiTheme="minorEastAsia" w:eastAsiaTheme="minorEastAsia"/>
          <w:color w:val="auto"/>
          <w:highlight w:val="none"/>
          <w:u w:val="single"/>
        </w:rPr>
        <w:t>时</w:t>
      </w:r>
      <w:r>
        <w:rPr>
          <w:rFonts w:hint="eastAsia" w:cs="宋体" w:asciiTheme="minorEastAsia" w:hAnsiTheme="minorEastAsia" w:eastAsiaTheme="minorEastAsia"/>
          <w:color w:val="auto"/>
          <w:highlight w:val="none"/>
          <w:u w:val="single"/>
          <w:lang w:val="en-US" w:eastAsia="zh-CN"/>
        </w:rPr>
        <w:t>0</w:t>
      </w:r>
      <w:r>
        <w:rPr>
          <w:rFonts w:hint="eastAsia" w:cs="宋体" w:asciiTheme="minorEastAsia" w:hAnsiTheme="minorEastAsia" w:eastAsiaTheme="minorEastAsia"/>
          <w:color w:val="auto"/>
          <w:highlight w:val="none"/>
          <w:u w:val="single"/>
        </w:rPr>
        <w:t>0分-</w:t>
      </w:r>
      <w:r>
        <w:rPr>
          <w:rFonts w:hint="eastAsia" w:cs="宋体" w:asciiTheme="minorEastAsia" w:hAnsiTheme="minorEastAsia" w:eastAsiaTheme="minorEastAsia"/>
          <w:color w:val="auto"/>
          <w:highlight w:val="none"/>
          <w:u w:val="single"/>
          <w:lang w:val="en-US" w:eastAsia="zh-CN"/>
        </w:rPr>
        <w:t>09</w:t>
      </w:r>
      <w:r>
        <w:rPr>
          <w:rFonts w:hint="eastAsia" w:cs="宋体" w:asciiTheme="minorEastAsia" w:hAnsiTheme="minorEastAsia" w:eastAsiaTheme="minorEastAsia"/>
          <w:color w:val="auto"/>
          <w:highlight w:val="none"/>
          <w:u w:val="single"/>
        </w:rPr>
        <w:t>时00分</w:t>
      </w:r>
      <w:r>
        <w:rPr>
          <w:rFonts w:hint="eastAsia" w:cs="宋体" w:asciiTheme="minorEastAsia" w:hAnsiTheme="minorEastAsia" w:eastAsiaTheme="minorEastAsia"/>
          <w:color w:val="auto"/>
          <w:highlight w:val="none"/>
        </w:rPr>
        <w:t>负责投标文件接收，地点：嵊州市官河南路699号（嵊州市国际会展中心）北楼三楼二号开标室（嵊州市公共资源交易中心），逾期送达的或者未送达指定地点的投标文件，招标人不予受理。</w:t>
      </w:r>
    </w:p>
    <w:p>
      <w:pPr>
        <w:spacing w:line="500" w:lineRule="exact"/>
        <w:outlineLvl w:val="1"/>
        <w:rPr>
          <w:rFonts w:cs="宋体" w:asciiTheme="minorEastAsia" w:hAnsiTheme="minorEastAsia" w:eastAsiaTheme="minorEastAsia"/>
          <w:b/>
          <w:bCs/>
          <w:color w:val="auto"/>
          <w:highlight w:val="none"/>
        </w:rPr>
      </w:pPr>
      <w:bookmarkStart w:id="14" w:name="_Toc31779"/>
      <w:r>
        <w:rPr>
          <w:rFonts w:hint="eastAsia" w:cs="宋体" w:asciiTheme="minorEastAsia" w:hAnsiTheme="minorEastAsia" w:eastAsiaTheme="minorEastAsia"/>
          <w:b/>
          <w:bCs/>
          <w:color w:val="auto"/>
          <w:highlight w:val="none"/>
        </w:rPr>
        <w:t>6 发布公告的媒介</w:t>
      </w:r>
      <w:bookmarkEnd w:id="14"/>
    </w:p>
    <w:p>
      <w:pPr>
        <w:spacing w:line="500" w:lineRule="exact"/>
        <w:ind w:firstLine="376" w:firstLineChars="200"/>
        <w:jc w:val="both"/>
        <w:rPr>
          <w:rFonts w:cs="宋体" w:asciiTheme="minorEastAsia" w:hAnsiTheme="minorEastAsia" w:eastAsiaTheme="minorEastAsia"/>
          <w:color w:val="auto"/>
          <w:spacing w:val="-11"/>
          <w:highlight w:val="none"/>
        </w:rPr>
      </w:pPr>
      <w:r>
        <w:rPr>
          <w:rFonts w:hint="eastAsia" w:cs="宋体" w:asciiTheme="minorEastAsia" w:hAnsiTheme="minorEastAsia" w:eastAsiaTheme="minorEastAsia"/>
          <w:color w:val="auto"/>
          <w:spacing w:val="-11"/>
          <w:highlight w:val="none"/>
        </w:rPr>
        <w:t>本次招标公告同时在</w:t>
      </w:r>
      <w:r>
        <w:rPr>
          <w:rFonts w:hint="eastAsia" w:cs="宋体" w:asciiTheme="minorEastAsia" w:hAnsiTheme="minorEastAsia" w:eastAsiaTheme="minorEastAsia"/>
          <w:color w:val="auto"/>
          <w:spacing w:val="-11"/>
          <w:highlight w:val="none"/>
          <w:u w:val="single"/>
        </w:rPr>
        <w:t>嵊州市人民政府门户网站公共资源交易平台</w:t>
      </w:r>
      <w:r>
        <w:rPr>
          <w:rFonts w:hint="eastAsia" w:cs="宋体" w:asciiTheme="minorEastAsia" w:hAnsiTheme="minorEastAsia" w:eastAsiaTheme="minorEastAsia"/>
          <w:color w:val="auto"/>
          <w:spacing w:val="-11"/>
          <w:highlight w:val="none"/>
        </w:rPr>
        <w:t>（发布公告的媒介名称）上发布。</w:t>
      </w:r>
    </w:p>
    <w:p>
      <w:pPr>
        <w:spacing w:line="500" w:lineRule="exact"/>
        <w:ind w:left="4006" w:hanging="4006" w:hangingChars="1900"/>
        <w:rPr>
          <w:rFonts w:cs="宋体" w:asciiTheme="minorEastAsia" w:hAnsiTheme="minorEastAsia" w:eastAsiaTheme="minorEastAsia"/>
          <w:b/>
          <w:bCs/>
          <w:color w:val="auto"/>
          <w:highlight w:val="none"/>
        </w:rPr>
      </w:pPr>
      <w:bookmarkStart w:id="15" w:name="_Toc23921"/>
      <w:r>
        <w:rPr>
          <w:rFonts w:hint="eastAsia" w:cs="宋体" w:asciiTheme="minorEastAsia" w:hAnsiTheme="minorEastAsia" w:eastAsiaTheme="minorEastAsia"/>
          <w:b/>
          <w:bCs/>
          <w:color w:val="auto"/>
          <w:highlight w:val="none"/>
        </w:rPr>
        <w:t>7 联系方式</w:t>
      </w:r>
      <w:bookmarkEnd w:id="15"/>
      <w:bookmarkStart w:id="16" w:name="_Toc8841"/>
    </w:p>
    <w:p>
      <w:pPr>
        <w:spacing w:line="500" w:lineRule="exact"/>
        <w:ind w:right="-210" w:rightChars="-100"/>
        <w:rPr>
          <w:rFonts w:asciiTheme="minorEastAsia" w:hAnsiTheme="minorEastAsia" w:eastAsiaTheme="minorEastAsia"/>
          <w:color w:val="auto"/>
          <w:highlight w:val="none"/>
          <w:u w:val="single"/>
        </w:rPr>
      </w:pPr>
      <w:r>
        <w:rPr>
          <w:rFonts w:hint="eastAsia" w:asciiTheme="minorEastAsia" w:hAnsiTheme="minorEastAsia" w:eastAsiaTheme="minorEastAsia"/>
          <w:color w:val="auto"/>
          <w:highlight w:val="none"/>
        </w:rPr>
        <w:t>招 标 人：</w:t>
      </w:r>
      <w:r>
        <w:rPr>
          <w:rFonts w:hint="eastAsia" w:asciiTheme="minorEastAsia" w:hAnsiTheme="minorEastAsia" w:eastAsiaTheme="minorEastAsia"/>
          <w:color w:val="auto"/>
          <w:highlight w:val="none"/>
          <w:u w:val="single"/>
        </w:rPr>
        <w:t xml:space="preserve"> 嵊州市甘霖镇人民政府  </w:t>
      </w:r>
      <w:r>
        <w:rPr>
          <w:rFonts w:hint="eastAsia" w:asciiTheme="minorEastAsia" w:hAnsiTheme="minorEastAsia" w:eastAsiaTheme="minorEastAsia"/>
          <w:color w:val="auto"/>
          <w:highlight w:val="none"/>
        </w:rPr>
        <w:t xml:space="preserve">      招标代理机构：</w:t>
      </w:r>
      <w:r>
        <w:rPr>
          <w:rFonts w:hint="eastAsia" w:cs="宋体" w:asciiTheme="minorEastAsia" w:hAnsiTheme="minorEastAsia" w:eastAsiaTheme="minorEastAsia"/>
          <w:color w:val="auto"/>
          <w:highlight w:val="none"/>
          <w:u w:val="single"/>
        </w:rPr>
        <w:t>浙江卓宏建设项目管理有限公司</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w:t>
      </w:r>
    </w:p>
    <w:p>
      <w:pPr>
        <w:spacing w:line="500" w:lineRule="exact"/>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地　　址：</w:t>
      </w:r>
      <w:r>
        <w:rPr>
          <w:rFonts w:hint="eastAsia" w:cs="宋体" w:asciiTheme="minorEastAsia" w:hAnsiTheme="minorEastAsia" w:eastAsiaTheme="minorEastAsia"/>
          <w:color w:val="auto"/>
          <w:highlight w:val="none"/>
          <w:u w:val="single"/>
        </w:rPr>
        <w:t>绍兴市嵊州市甘霖镇桃源路</w:t>
      </w:r>
      <w:r>
        <w:rPr>
          <w:rFonts w:hint="eastAsia" w:asciiTheme="minorEastAsia" w:hAnsiTheme="minorEastAsia" w:eastAsiaTheme="minorEastAsia"/>
          <w:color w:val="auto"/>
          <w:highlight w:val="none"/>
          <w:u w:val="single"/>
        </w:rPr>
        <w:t>1</w:t>
      </w:r>
      <w:r>
        <w:rPr>
          <w:rFonts w:hint="eastAsia" w:cs="宋体" w:asciiTheme="minorEastAsia" w:hAnsiTheme="minorEastAsia" w:eastAsiaTheme="minorEastAsia"/>
          <w:color w:val="auto"/>
          <w:highlight w:val="none"/>
          <w:u w:val="single"/>
        </w:rPr>
        <w:t>号</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地址：</w:t>
      </w:r>
      <w:r>
        <w:rPr>
          <w:rFonts w:hint="eastAsia" w:cs="宋体" w:asciiTheme="minorEastAsia" w:hAnsiTheme="minorEastAsia" w:eastAsiaTheme="minorEastAsia"/>
          <w:iCs/>
          <w:color w:val="auto"/>
          <w:spacing w:val="-8"/>
          <w:highlight w:val="none"/>
          <w:u w:val="single"/>
        </w:rPr>
        <w:t>嵊州市三江街道官河南路379号国商总部大楼5楼</w:t>
      </w:r>
      <w:r>
        <w:rPr>
          <w:rFonts w:hint="eastAsia" w:asciiTheme="minorEastAsia" w:hAnsiTheme="minorEastAsia" w:eastAsiaTheme="minorEastAsia"/>
          <w:color w:val="auto"/>
          <w:spacing w:val="-8"/>
          <w:highlight w:val="none"/>
        </w:rPr>
        <w:t xml:space="preserve"> </w:t>
      </w:r>
      <w:r>
        <w:rPr>
          <w:rFonts w:hint="eastAsia" w:asciiTheme="minorEastAsia" w:hAnsiTheme="minorEastAsia" w:eastAsiaTheme="minorEastAsia"/>
          <w:color w:val="auto"/>
          <w:highlight w:val="none"/>
        </w:rPr>
        <w:t xml:space="preserve">                                        </w:t>
      </w:r>
    </w:p>
    <w:p>
      <w:pPr>
        <w:spacing w:line="500" w:lineRule="exact"/>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邮    编：</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邮 编：</w:t>
      </w:r>
      <w:r>
        <w:rPr>
          <w:rFonts w:hint="eastAsia" w:asciiTheme="minorEastAsia" w:hAnsiTheme="minorEastAsia" w:eastAsiaTheme="minorEastAsia"/>
          <w:color w:val="auto"/>
          <w:highlight w:val="none"/>
          <w:u w:val="single"/>
        </w:rPr>
        <w:t xml:space="preserve">              312400                   </w:t>
      </w:r>
      <w:r>
        <w:rPr>
          <w:rFonts w:hint="eastAsia" w:asciiTheme="minorEastAsia" w:hAnsiTheme="minorEastAsia" w:eastAsiaTheme="minorEastAsia"/>
          <w:color w:val="auto"/>
          <w:highlight w:val="none"/>
        </w:rPr>
        <w:t xml:space="preserve">   </w:t>
      </w:r>
    </w:p>
    <w:p>
      <w:pPr>
        <w:spacing w:line="500" w:lineRule="exact"/>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联 系 人：</w:t>
      </w:r>
      <w:r>
        <w:rPr>
          <w:rFonts w:hint="eastAsia" w:asciiTheme="minorEastAsia" w:hAnsiTheme="minorEastAsia" w:eastAsiaTheme="minorEastAsia"/>
          <w:color w:val="auto"/>
          <w:highlight w:val="none"/>
          <w:u w:val="single"/>
        </w:rPr>
        <w:t xml:space="preserve">     竺炜丽      　  　      </w:t>
      </w:r>
      <w:r>
        <w:rPr>
          <w:rFonts w:hint="eastAsia" w:asciiTheme="minorEastAsia" w:hAnsiTheme="minorEastAsia" w:eastAsiaTheme="minorEastAsia"/>
          <w:color w:val="auto"/>
          <w:highlight w:val="none"/>
        </w:rPr>
        <w:t>联 系 人：</w:t>
      </w:r>
      <w:r>
        <w:rPr>
          <w:rFonts w:hint="eastAsia" w:asciiTheme="minorEastAsia" w:hAnsiTheme="minorEastAsia" w:eastAsiaTheme="minorEastAsia"/>
          <w:color w:val="auto"/>
          <w:highlight w:val="none"/>
          <w:u w:val="single"/>
        </w:rPr>
        <w:t xml:space="preserve">           </w:t>
      </w:r>
      <w:r>
        <w:rPr>
          <w:rFonts w:hint="eastAsia" w:cs="宋体" w:asciiTheme="minorEastAsia" w:hAnsiTheme="minorEastAsia" w:eastAsiaTheme="minorEastAsia"/>
          <w:color w:val="auto"/>
          <w:highlight w:val="none"/>
          <w:u w:val="single"/>
          <w:lang w:eastAsia="zh-CN"/>
        </w:rPr>
        <w:t>张赛琳</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lang w:val="en-US" w:eastAsia="zh-CN"/>
        </w:rPr>
        <w:t xml:space="preserve">  </w:t>
      </w:r>
      <w:r>
        <w:rPr>
          <w:rFonts w:hint="eastAsia" w:asciiTheme="minorEastAsia" w:hAnsiTheme="minorEastAsia" w:eastAsiaTheme="minorEastAsia"/>
          <w:color w:val="auto"/>
          <w:highlight w:val="none"/>
          <w:u w:val="single"/>
        </w:rPr>
        <w:t xml:space="preserve"> </w:t>
      </w:r>
    </w:p>
    <w:p>
      <w:pPr>
        <w:spacing w:line="500" w:lineRule="exact"/>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电    话：</w:t>
      </w:r>
      <w:r>
        <w:rPr>
          <w:rFonts w:hint="eastAsia" w:asciiTheme="minorEastAsia" w:hAnsiTheme="minorEastAsia" w:eastAsiaTheme="minorEastAsia"/>
          <w:color w:val="auto"/>
          <w:highlight w:val="none"/>
          <w:u w:val="single"/>
        </w:rPr>
        <w:t xml:space="preserve">    18268757365</w:t>
      </w:r>
      <w:r>
        <w:rPr>
          <w:rFonts w:hint="eastAsia" w:cs="Times New Roman"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电  话：</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lang w:val="en-US" w:eastAsia="zh-CN"/>
        </w:rPr>
        <w:t xml:space="preserve">          </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lang w:eastAsia="zh-CN"/>
        </w:rPr>
        <w:t>13588019043</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lang w:val="en-US" w:eastAsia="zh-CN"/>
        </w:rPr>
        <w:t xml:space="preserve"> </w:t>
      </w:r>
      <w:r>
        <w:rPr>
          <w:rFonts w:hint="eastAsia" w:asciiTheme="minorEastAsia" w:hAnsiTheme="minorEastAsia" w:eastAsiaTheme="minorEastAsia"/>
          <w:color w:val="auto"/>
          <w:highlight w:val="none"/>
          <w:u w:val="single"/>
        </w:rPr>
        <w:t xml:space="preserve">  </w:t>
      </w:r>
    </w:p>
    <w:p>
      <w:pPr>
        <w:spacing w:line="500" w:lineRule="exact"/>
        <w:rPr>
          <w:rFonts w:asciiTheme="minorEastAsia" w:hAnsiTheme="minorEastAsia" w:eastAsiaTheme="minorEastAsia"/>
          <w:color w:val="auto"/>
          <w:highlight w:val="none"/>
          <w:u w:val="single"/>
        </w:rPr>
      </w:pPr>
      <w:r>
        <w:rPr>
          <w:rFonts w:hint="eastAsia" w:asciiTheme="minorEastAsia" w:hAnsiTheme="minorEastAsia" w:eastAsiaTheme="minorEastAsia"/>
          <w:color w:val="auto"/>
          <w:highlight w:val="none"/>
        </w:rPr>
        <w:t>传    真：</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传  真：</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w:t>
      </w:r>
    </w:p>
    <w:p>
      <w:pPr>
        <w:spacing w:line="500" w:lineRule="exact"/>
        <w:jc w:val="both"/>
        <w:outlineLvl w:val="0"/>
        <w:rPr>
          <w:rFonts w:hint="default" w:cs="宋体" w:asciiTheme="minorEastAsia" w:hAnsiTheme="minorEastAsia" w:eastAsiaTheme="minorEastAsia"/>
          <w:color w:val="auto"/>
          <w:highlight w:val="none"/>
          <w:lang w:val="en-US" w:eastAsia="zh-CN"/>
        </w:rPr>
      </w:pPr>
      <w:r>
        <w:rPr>
          <w:rFonts w:hint="eastAsia" w:asciiTheme="minorEastAsia" w:hAnsiTheme="minorEastAsia" w:eastAsiaTheme="minorEastAsia"/>
          <w:color w:val="auto"/>
          <w:highlight w:val="none"/>
        </w:rPr>
        <w:t>电子信箱：</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电子信箱：</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lang w:val="en-US" w:eastAsia="zh-CN"/>
        </w:rPr>
        <w:t xml:space="preserve">       </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u w:val="single"/>
          <w:lang w:eastAsia="zh-CN"/>
        </w:rPr>
        <w:t>347546322</w:t>
      </w:r>
      <w:r>
        <w:rPr>
          <w:rFonts w:hint="eastAsia" w:asciiTheme="minorEastAsia" w:hAnsiTheme="minorEastAsia" w:eastAsiaTheme="minorEastAsia"/>
          <w:color w:val="auto"/>
          <w:highlight w:val="none"/>
          <w:u w:val="single"/>
        </w:rPr>
        <w:t xml:space="preserve">@qq.com        </w:t>
      </w:r>
      <w:r>
        <w:rPr>
          <w:rFonts w:hint="eastAsia" w:asciiTheme="minorEastAsia" w:hAnsiTheme="minorEastAsia" w:eastAsiaTheme="minorEastAsia"/>
          <w:color w:val="auto"/>
          <w:highlight w:val="none"/>
          <w:u w:val="single"/>
          <w:lang w:val="en-US" w:eastAsia="zh-CN"/>
        </w:rPr>
        <w:t xml:space="preserve">  </w:t>
      </w:r>
    </w:p>
    <w:p>
      <w:pPr>
        <w:spacing w:line="460" w:lineRule="exact"/>
        <w:jc w:val="center"/>
        <w:outlineLvl w:val="0"/>
        <w:rPr>
          <w:rFonts w:ascii="宋体" w:hAnsi="宋体" w:eastAsia="宋体" w:cs="宋体"/>
          <w:color w:val="auto"/>
          <w:highlight w:val="none"/>
        </w:rPr>
      </w:pPr>
    </w:p>
    <w:p>
      <w:pPr>
        <w:spacing w:line="460" w:lineRule="exact"/>
        <w:jc w:val="center"/>
        <w:outlineLvl w:val="0"/>
        <w:rPr>
          <w:rFonts w:ascii="宋体" w:hAnsi="宋体" w:eastAsia="宋体" w:cs="宋体"/>
          <w:color w:val="auto"/>
          <w:highlight w:val="none"/>
        </w:rPr>
      </w:pPr>
    </w:p>
    <w:p>
      <w:pPr>
        <w:spacing w:line="460" w:lineRule="exact"/>
        <w:jc w:val="center"/>
        <w:outlineLvl w:val="0"/>
        <w:rPr>
          <w:rFonts w:ascii="宋体" w:hAnsi="宋体" w:eastAsia="宋体" w:cs="宋体"/>
          <w:color w:val="auto"/>
          <w:highlight w:val="none"/>
        </w:rPr>
      </w:pPr>
    </w:p>
    <w:p>
      <w:pPr>
        <w:spacing w:line="460" w:lineRule="exact"/>
        <w:jc w:val="center"/>
        <w:outlineLvl w:val="0"/>
        <w:rPr>
          <w:rFonts w:ascii="宋体" w:hAnsi="宋体" w:eastAsia="宋体" w:cs="宋体"/>
          <w:color w:val="auto"/>
          <w:highlight w:val="none"/>
        </w:rPr>
      </w:pPr>
    </w:p>
    <w:p>
      <w:pPr>
        <w:spacing w:line="460" w:lineRule="exact"/>
        <w:jc w:val="center"/>
        <w:outlineLvl w:val="0"/>
        <w:rPr>
          <w:rFonts w:ascii="宋体" w:hAnsi="宋体" w:eastAsia="宋体" w:cs="宋体"/>
          <w:color w:val="auto"/>
          <w:highlight w:val="none"/>
        </w:rPr>
      </w:pPr>
    </w:p>
    <w:p>
      <w:pPr>
        <w:spacing w:line="460" w:lineRule="exact"/>
        <w:jc w:val="both"/>
        <w:outlineLvl w:val="0"/>
        <w:rPr>
          <w:rFonts w:ascii="宋体" w:hAnsi="宋体" w:eastAsia="宋体" w:cs="宋体"/>
          <w:color w:val="auto"/>
          <w:highlight w:val="none"/>
        </w:rPr>
      </w:pPr>
    </w:p>
    <w:p>
      <w:pPr>
        <w:spacing w:line="460" w:lineRule="exact"/>
        <w:jc w:val="center"/>
        <w:outlineLvl w:val="0"/>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t>投标人资格条件要求附表</w:t>
      </w:r>
      <w:bookmarkEnd w:id="16"/>
    </w:p>
    <w:tbl>
      <w:tblPr>
        <w:tblStyle w:val="22"/>
        <w:tblW w:w="9779"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8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8988"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资格条件内容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一</w:t>
            </w:r>
          </w:p>
        </w:tc>
        <w:tc>
          <w:tcPr>
            <w:tcW w:w="8988" w:type="dxa"/>
            <w:vAlign w:val="center"/>
          </w:tcPr>
          <w:p>
            <w:pPr>
              <w:spacing w:line="380" w:lineRule="exact"/>
              <w:jc w:val="both"/>
              <w:rPr>
                <w:rFonts w:ascii="宋体" w:hAnsi="宋体" w:eastAsia="宋体" w:cs="宋体"/>
                <w:color w:val="auto"/>
                <w:highlight w:val="none"/>
              </w:rPr>
            </w:pPr>
            <w:r>
              <w:rPr>
                <w:rFonts w:hint="eastAsia" w:ascii="宋体" w:hAnsi="宋体" w:eastAsia="宋体" w:cs="宋体"/>
                <w:color w:val="auto"/>
                <w:highlight w:val="none"/>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spacing w:line="380" w:lineRule="exact"/>
              <w:jc w:val="both"/>
              <w:rPr>
                <w:rFonts w:ascii="宋体" w:hAnsi="宋体" w:eastAsia="宋体" w:cs="宋体"/>
                <w:color w:val="auto"/>
                <w:highlight w:val="none"/>
              </w:rPr>
            </w:pPr>
            <w:r>
              <w:rPr>
                <w:rFonts w:hint="eastAsia" w:ascii="宋体" w:hAnsi="宋体" w:eastAsia="宋体" w:cs="宋体"/>
                <w:color w:val="auto"/>
                <w:highlight w:val="none"/>
              </w:rPr>
              <w:t>应</w:t>
            </w:r>
            <w:r>
              <w:rPr>
                <w:rFonts w:hint="eastAsia" w:ascii="宋体" w:hAnsi="宋体" w:eastAsia="宋体" w:cs="宋体"/>
                <w:color w:val="auto"/>
                <w:kern w:val="2"/>
                <w:highlight w:val="none"/>
              </w:rPr>
              <w:t>具备</w:t>
            </w:r>
            <w:r>
              <w:rPr>
                <w:rFonts w:hint="eastAsia" w:ascii="宋体" w:hAnsi="宋体" w:eastAsia="宋体" w:cs="宋体"/>
                <w:color w:val="auto"/>
                <w:kern w:val="2"/>
                <w:highlight w:val="none"/>
                <w:u w:val="single"/>
              </w:rPr>
              <w:t>水利水电工程施工总承包三级及以上</w:t>
            </w:r>
            <w:r>
              <w:rPr>
                <w:rFonts w:hint="eastAsia" w:ascii="宋体" w:hAnsi="宋体" w:eastAsia="宋体" w:cs="宋体"/>
                <w:color w:val="auto"/>
                <w:kern w:val="2"/>
                <w:highlight w:val="none"/>
              </w:rPr>
              <w:t>资质</w:t>
            </w:r>
            <w:r>
              <w:rPr>
                <w:rFonts w:hint="eastAsia" w:ascii="宋体" w:hAnsi="宋体" w:eastAsia="宋体" w:cs="宋体"/>
                <w:i w:val="0"/>
                <w:iCs w:val="0"/>
                <w:color w:val="auto"/>
                <w:sz w:val="21"/>
                <w:szCs w:val="21"/>
                <w:highlight w:val="none"/>
                <w:lang w:eastAsia="zh-CN"/>
              </w:rPr>
              <w:t>（对应资质应在“浙江省建筑市场监管公共服务系统”上资质动态核查结果处理“合格”状态），</w:t>
            </w:r>
            <w:r>
              <w:rPr>
                <w:rFonts w:hint="eastAsia" w:ascii="宋体" w:hAnsi="宋体" w:eastAsia="宋体" w:cs="宋体"/>
                <w:color w:val="auto"/>
                <w:highlight w:val="none"/>
              </w:rPr>
              <w:t>具有有效的营业执照和安全生产许可证。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spacing w:line="380" w:lineRule="exact"/>
              <w:jc w:val="both"/>
              <w:rPr>
                <w:rFonts w:ascii="宋体" w:hAnsi="宋体" w:eastAsia="宋体" w:cs="宋体"/>
                <w:color w:val="auto"/>
                <w:highlight w:val="none"/>
              </w:rPr>
            </w:pPr>
            <w:r>
              <w:rPr>
                <w:rFonts w:hint="eastAsia" w:ascii="宋体" w:hAnsi="宋体" w:eastAsia="宋体" w:cs="宋体"/>
                <w:color w:val="auto"/>
                <w:highlight w:val="none"/>
                <w:u w:val="single"/>
              </w:rPr>
              <w:t xml:space="preserve">不接受 </w:t>
            </w:r>
            <w:r>
              <w:rPr>
                <w:rFonts w:hint="eastAsia" w:ascii="宋体" w:hAnsi="宋体" w:eastAsia="宋体" w:cs="宋体"/>
                <w:color w:val="auto"/>
                <w:highlight w:val="none"/>
              </w:rPr>
              <w:t>（接受或不接受）联合体投标。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spacing w:line="380" w:lineRule="exact"/>
              <w:jc w:val="both"/>
              <w:rPr>
                <w:rFonts w:ascii="宋体" w:hAnsi="宋体" w:eastAsia="宋体" w:cs="宋体"/>
                <w:color w:val="auto"/>
                <w:highlight w:val="none"/>
              </w:rPr>
            </w:pPr>
            <w:r>
              <w:rPr>
                <w:rFonts w:hint="eastAsia" w:ascii="宋体" w:hAnsi="宋体" w:eastAsia="宋体" w:cs="宋体"/>
                <w:color w:val="auto"/>
                <w:highlight w:val="none"/>
              </w:rPr>
              <w:t>投标人及其法定代表人自</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rPr>
              <w:t>202</w:t>
            </w:r>
            <w:r>
              <w:rPr>
                <w:rFonts w:hint="eastAsia" w:ascii="宋体" w:hAnsi="宋体" w:eastAsia="宋体" w:cs="宋体"/>
                <w:color w:val="auto"/>
                <w:highlight w:val="none"/>
                <w:u w:val="single"/>
                <w:lang w:val="en-US" w:eastAsia="zh-CN"/>
              </w:rPr>
              <w:t>1</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 xml:space="preserve">1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 xml:space="preserve">1 </w:t>
            </w:r>
            <w:r>
              <w:rPr>
                <w:rFonts w:hint="eastAsia" w:ascii="宋体" w:hAnsi="宋体" w:eastAsia="宋体" w:cs="宋体"/>
                <w:color w:val="auto"/>
                <w:highlight w:val="none"/>
              </w:rPr>
              <w:t>日</w:t>
            </w:r>
            <w:r>
              <w:rPr>
                <w:rFonts w:hint="eastAsia" w:ascii="宋体" w:hAnsi="宋体" w:eastAsia="宋体" w:cs="宋体"/>
                <w:color w:val="auto"/>
                <w:highlight w:val="none"/>
              </w:rPr>
              <w:t>至投标截止时间无行贿犯罪记录[以中国裁判文书网（</w:t>
            </w:r>
            <w:r>
              <w:rPr>
                <w:color w:val="auto"/>
                <w:highlight w:val="none"/>
              </w:rPr>
              <w:fldChar w:fldCharType="begin"/>
            </w:r>
            <w:r>
              <w:rPr>
                <w:color w:val="auto"/>
                <w:highlight w:val="none"/>
              </w:rPr>
              <w:instrText xml:space="preserve"> HYPERLINK "http://wenshu.court.gov.cn/" </w:instrText>
            </w:r>
            <w:r>
              <w:rPr>
                <w:color w:val="auto"/>
                <w:highlight w:val="none"/>
              </w:rPr>
              <w:fldChar w:fldCharType="separate"/>
            </w:r>
            <w:r>
              <w:rPr>
                <w:rFonts w:hint="eastAsia" w:ascii="宋体" w:hAnsi="宋体" w:eastAsia="宋体" w:cs="宋体"/>
                <w:color w:val="auto"/>
                <w:highlight w:val="none"/>
              </w:rPr>
              <w:t>http：//wenshu.court.gov.cn/</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二</w:t>
            </w:r>
          </w:p>
        </w:tc>
        <w:tc>
          <w:tcPr>
            <w:tcW w:w="8988" w:type="dxa"/>
            <w:vAlign w:val="center"/>
          </w:tcPr>
          <w:p>
            <w:pPr>
              <w:spacing w:line="380" w:lineRule="exact"/>
              <w:jc w:val="both"/>
              <w:rPr>
                <w:rFonts w:ascii="宋体" w:hAnsi="宋体" w:eastAsia="宋体" w:cs="宋体"/>
                <w:color w:val="auto"/>
                <w:highlight w:val="none"/>
              </w:rPr>
            </w:pPr>
            <w:r>
              <w:rPr>
                <w:rFonts w:hint="eastAsia" w:ascii="宋体" w:hAnsi="宋体" w:eastAsia="宋体" w:cs="宋体"/>
                <w:color w:val="auto"/>
                <w:highlight w:val="none"/>
              </w:rPr>
              <w:t>拟派项目组主要人员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spacing w:line="380" w:lineRule="exact"/>
              <w:jc w:val="both"/>
              <w:rPr>
                <w:rFonts w:ascii="宋体" w:hAnsi="宋体" w:eastAsia="宋体" w:cs="宋体"/>
                <w:color w:val="auto"/>
                <w:highlight w:val="none"/>
              </w:rPr>
            </w:pPr>
            <w:r>
              <w:rPr>
                <w:rFonts w:hint="eastAsia" w:ascii="宋体" w:hAnsi="宋体" w:eastAsia="宋体" w:cs="宋体"/>
                <w:color w:val="auto"/>
                <w:highlight w:val="none"/>
              </w:rPr>
              <w:t>项目负责人应持有注册在投标人单位的</w:t>
            </w:r>
            <w:r>
              <w:rPr>
                <w:rFonts w:hint="eastAsia" w:ascii="宋体" w:hAnsi="宋体" w:eastAsia="宋体" w:cs="宋体"/>
                <w:color w:val="auto"/>
                <w:highlight w:val="none"/>
                <w:u w:val="single"/>
              </w:rPr>
              <w:t xml:space="preserve"> </w:t>
            </w:r>
            <w:r>
              <w:rPr>
                <w:rFonts w:hint="eastAsia" w:ascii="宋体" w:hAnsi="宋体" w:eastAsia="宋体" w:cs="宋体"/>
                <w:b/>
                <w:bCs/>
                <w:color w:val="auto"/>
                <w:highlight w:val="none"/>
                <w:u w:val="single"/>
              </w:rPr>
              <w:t>水利水电工程二级及以上建造师执业资格</w:t>
            </w:r>
            <w:r>
              <w:rPr>
                <w:rFonts w:hint="eastAsia" w:ascii="宋体" w:hAnsi="宋体" w:eastAsia="宋体" w:cs="宋体"/>
                <w:color w:val="auto"/>
                <w:highlight w:val="none"/>
              </w:rPr>
              <w:t>证书。投标人拟派的项目负责人在投标截止时间不得在其他任何在建合同工程中担任项目负责人（包括工程总承包项目中的施工负责人）。在建合同工程的开始时间为合同工程中标通知书发出之日（不通过招标方式的，开始时间为合同签订之日），结束时间为该合同工程通过验收或合同解除之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spacing w:line="380" w:lineRule="exact"/>
              <w:jc w:val="both"/>
              <w:rPr>
                <w:rFonts w:ascii="宋体" w:hAnsi="宋体" w:eastAsia="宋体" w:cs="宋体"/>
                <w:color w:val="auto"/>
                <w:highlight w:val="none"/>
              </w:rPr>
            </w:pPr>
            <w:r>
              <w:rPr>
                <w:rFonts w:hint="eastAsia" w:ascii="宋体" w:hAnsi="宋体" w:eastAsia="宋体" w:cs="宋体"/>
                <w:color w:val="auto"/>
                <w:highlight w:val="none"/>
              </w:rPr>
              <w:t>项目负责人自</w:t>
            </w:r>
            <w:r>
              <w:rPr>
                <w:rFonts w:hint="eastAsia" w:ascii="宋体" w:hAnsi="宋体" w:eastAsia="宋体" w:cs="宋体"/>
                <w:color w:val="auto"/>
                <w:highlight w:val="none"/>
                <w:u w:val="single"/>
              </w:rPr>
              <w:t>202</w:t>
            </w:r>
            <w:r>
              <w:rPr>
                <w:rFonts w:hint="eastAsia" w:ascii="宋体" w:hAnsi="宋体" w:eastAsia="宋体" w:cs="宋体"/>
                <w:color w:val="auto"/>
                <w:highlight w:val="none"/>
                <w:u w:val="single"/>
                <w:lang w:val="en-US" w:eastAsia="zh-CN"/>
              </w:rPr>
              <w:t>1</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 xml:space="preserve">1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 xml:space="preserve">1 </w:t>
            </w:r>
            <w:r>
              <w:rPr>
                <w:rFonts w:hint="eastAsia" w:ascii="宋体" w:hAnsi="宋体" w:eastAsia="宋体" w:cs="宋体"/>
                <w:color w:val="auto"/>
                <w:highlight w:val="none"/>
              </w:rPr>
              <w:t>日</w:t>
            </w:r>
            <w:r>
              <w:rPr>
                <w:rFonts w:hint="eastAsia" w:ascii="宋体" w:hAnsi="宋体" w:eastAsia="宋体" w:cs="宋体"/>
                <w:color w:val="auto"/>
                <w:highlight w:val="none"/>
              </w:rPr>
              <w:t>至投标截止时间无行贿犯罪记录[以中国裁判文书网（</w:t>
            </w:r>
            <w:r>
              <w:rPr>
                <w:color w:val="auto"/>
                <w:highlight w:val="none"/>
              </w:rPr>
              <w:fldChar w:fldCharType="begin"/>
            </w:r>
            <w:r>
              <w:rPr>
                <w:color w:val="auto"/>
                <w:highlight w:val="none"/>
              </w:rPr>
              <w:instrText xml:space="preserve"> HYPERLINK "http://wenshu.court.gov.cn/" </w:instrText>
            </w:r>
            <w:r>
              <w:rPr>
                <w:color w:val="auto"/>
                <w:highlight w:val="none"/>
              </w:rPr>
              <w:fldChar w:fldCharType="separate"/>
            </w:r>
            <w:r>
              <w:rPr>
                <w:rFonts w:hint="eastAsia" w:ascii="宋体" w:hAnsi="宋体" w:eastAsia="宋体" w:cs="宋体"/>
                <w:color w:val="auto"/>
                <w:highlight w:val="none"/>
              </w:rPr>
              <w:t>http：//wenshu.court.gov.cn/</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spacing w:line="380" w:lineRule="exact"/>
              <w:jc w:val="both"/>
              <w:rPr>
                <w:rFonts w:ascii="宋体" w:hAnsi="宋体" w:eastAsia="宋体" w:cs="宋体"/>
                <w:color w:val="auto"/>
                <w:highlight w:val="none"/>
              </w:rPr>
            </w:pPr>
            <w:r>
              <w:rPr>
                <w:rFonts w:hint="eastAsia" w:ascii="宋体" w:hAnsi="宋体" w:eastAsia="宋体" w:cs="宋体"/>
                <w:color w:val="auto"/>
                <w:highlight w:val="none"/>
              </w:rPr>
              <w:t>项目技术负责人（不得与项目负责人相互兼任）应持有水利水电工程专业注册建造师或水利专业工程师及以上职称证书。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8988" w:type="dxa"/>
            <w:vAlign w:val="center"/>
          </w:tcPr>
          <w:p>
            <w:pPr>
              <w:spacing w:line="380" w:lineRule="exact"/>
              <w:jc w:val="both"/>
              <w:rPr>
                <w:rFonts w:hint="eastAsia" w:ascii="宋体" w:hAnsi="宋体" w:eastAsia="宋体" w:cs="宋体"/>
                <w:color w:val="auto"/>
                <w:highlight w:val="none"/>
                <w:lang w:eastAsia="zh-CN"/>
              </w:rPr>
            </w:pPr>
            <w:r>
              <w:rPr>
                <w:rFonts w:hint="eastAsia" w:ascii="宋体" w:hAnsi="宋体" w:eastAsia="宋体" w:cs="宋体"/>
                <w:color w:val="auto"/>
                <w:highlight w:val="none"/>
              </w:rPr>
              <w:t>项目安全员、质检员和施工员应持有中国水利工程协会或中国水利企业协会颁发的全国水利水电工程施工现场管理人员培训合格证书。（项目负责人、项目技术负责人、质检员、施工员、安全员不得兼任）</w:t>
            </w:r>
            <w:r>
              <w:rPr>
                <w:rFonts w:hint="eastAsia" w:ascii="宋体" w:hAnsi="宋体" w:eastAsia="宋体" w:cs="宋体"/>
                <w:color w:val="auto"/>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三</w:t>
            </w:r>
          </w:p>
        </w:tc>
        <w:tc>
          <w:tcPr>
            <w:tcW w:w="8988" w:type="dxa"/>
            <w:vAlign w:val="center"/>
          </w:tcPr>
          <w:p>
            <w:pPr>
              <w:spacing w:line="380" w:lineRule="exact"/>
              <w:jc w:val="both"/>
              <w:rPr>
                <w:rFonts w:ascii="宋体" w:hAnsi="宋体" w:eastAsia="宋体" w:cs="宋体"/>
                <w:color w:val="auto"/>
                <w:highlight w:val="none"/>
              </w:rPr>
            </w:pPr>
            <w:r>
              <w:rPr>
                <w:rFonts w:hint="eastAsia" w:ascii="宋体" w:hAnsi="宋体" w:eastAsia="宋体" w:cs="宋体"/>
                <w:color w:val="auto"/>
                <w:highlight w:val="none"/>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tcBorders>
              <w:bottom w:val="single" w:color="auto" w:sz="4" w:space="0"/>
            </w:tcBorders>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tcBorders>
              <w:bottom w:val="single" w:color="auto" w:sz="4" w:space="0"/>
            </w:tcBorders>
            <w:vAlign w:val="center"/>
          </w:tcPr>
          <w:p>
            <w:pPr>
              <w:spacing w:line="380" w:lineRule="exact"/>
              <w:rPr>
                <w:rFonts w:ascii="宋体" w:hAnsi="宋体" w:eastAsia="宋体" w:cs="宋体"/>
                <w:color w:val="auto"/>
                <w:highlight w:val="none"/>
              </w:rPr>
            </w:pPr>
            <w:r>
              <w:rPr>
                <w:rFonts w:hint="eastAsia" w:ascii="宋体" w:hAnsi="宋体" w:eastAsia="宋体" w:cs="宋体"/>
                <w:color w:val="auto"/>
                <w:highlight w:val="none"/>
              </w:rPr>
              <w:t>投标人的“三类人员”（企业主要负责人、项目负责人、专职安全生产管理人员，下同）必须持有省级及以上</w:t>
            </w:r>
            <w:r>
              <w:rPr>
                <w:rFonts w:hint="eastAsia" w:ascii="宋体" w:hAnsi="宋体" w:eastAsia="宋体" w:cs="宋体"/>
                <w:color w:val="auto"/>
                <w:highlight w:val="none"/>
                <w:lang w:val="en-US" w:eastAsia="zh-CN"/>
              </w:rPr>
              <w:t>水</w:t>
            </w:r>
            <w:r>
              <w:rPr>
                <w:rFonts w:hint="eastAsia" w:ascii="宋体" w:hAnsi="宋体" w:eastAsia="宋体" w:cs="宋体"/>
                <w:color w:val="auto"/>
                <w:highlight w:val="none"/>
              </w:rPr>
              <w:t xml:space="preserve">行政主管部门颁发的安全生产考核合格证书（A、B、C证）。其中企业经理、企业技术负责人、企业分管安全生产的副总经理应有任命文件；专职安全生产管理人员不少于 1 人，且不得与拟派项目组其他主要人员相互兼任。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spacing w:line="380" w:lineRule="exact"/>
              <w:rPr>
                <w:rFonts w:ascii="宋体" w:hAnsi="宋体" w:eastAsia="宋体" w:cs="宋体"/>
                <w:color w:val="auto"/>
                <w:highlight w:val="none"/>
              </w:rPr>
            </w:pPr>
            <w:r>
              <w:rPr>
                <w:rFonts w:hint="eastAsia" w:ascii="宋体" w:hAnsi="宋体" w:eastAsia="宋体" w:cs="宋体"/>
                <w:color w:val="auto"/>
                <w:highlight w:val="none"/>
              </w:rPr>
              <w:t>拟派项目组主要人员（指项目负责人、项目技术负责人、专职安全生产管理人员、安全员、质检员、施工员，下同）必须已在浙江省水利厅“透明工程”应用上公示。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spacing w:line="380" w:lineRule="exact"/>
              <w:rPr>
                <w:rFonts w:ascii="宋体" w:hAnsi="宋体" w:eastAsia="宋体" w:cs="宋体"/>
                <w:color w:val="auto"/>
                <w:highlight w:val="none"/>
              </w:rPr>
            </w:pPr>
            <w:r>
              <w:rPr>
                <w:rFonts w:hint="eastAsia" w:ascii="宋体" w:hAnsi="宋体" w:eastAsia="宋体" w:cs="宋体"/>
                <w:color w:val="auto"/>
                <w:highlight w:val="none"/>
              </w:rPr>
              <w:t>法定代表人的委托代理人（如有）及拟派项目组主要人员应为投标人本单位正式员工。项目负责人</w:t>
            </w:r>
            <w:r>
              <w:rPr>
                <w:rFonts w:hint="eastAsia" w:ascii="宋体" w:hAnsi="宋体"/>
                <w:color w:val="auto"/>
                <w:highlight w:val="none"/>
              </w:rPr>
              <w:t>须提供开标前六个月投标申请人所属社保机构养老保险交纳清单或证明</w:t>
            </w:r>
            <w:r>
              <w:rPr>
                <w:rFonts w:hint="eastAsia" w:ascii="宋体" w:hAnsi="宋体" w:eastAsia="宋体"/>
                <w:color w:val="auto"/>
                <w:highlight w:val="none"/>
              </w:rPr>
              <w:t>，</w:t>
            </w:r>
            <w:r>
              <w:rPr>
                <w:rFonts w:hint="eastAsia" w:ascii="宋体" w:hAnsi="宋体" w:eastAsia="宋体" w:cs="宋体"/>
                <w:color w:val="auto"/>
                <w:highlight w:val="none"/>
              </w:rPr>
              <w:t>如</w:t>
            </w:r>
            <w:r>
              <w:rPr>
                <w:rFonts w:hint="eastAsia" w:ascii="宋体" w:hAnsi="宋体"/>
                <w:color w:val="auto"/>
                <w:highlight w:val="none"/>
              </w:rPr>
              <w:t>为离退休返聘人员的，须提供退休证明及单位聘用证明。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1" w:type="dxa"/>
            <w:vAlign w:val="center"/>
          </w:tcPr>
          <w:p>
            <w:pPr>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8988" w:type="dxa"/>
            <w:vAlign w:val="center"/>
          </w:tcPr>
          <w:p>
            <w:pPr>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投标人及其法定代表人、拟派项目负责人未被列入失信被执行人名单[ 以“信用中国”网站</w:t>
            </w:r>
          </w:p>
          <w:p>
            <w:pPr>
              <w:spacing w:line="380" w:lineRule="exact"/>
              <w:rPr>
                <w:rFonts w:ascii="宋体" w:hAnsi="宋体" w:eastAsia="宋体" w:cs="宋体"/>
                <w:color w:val="auto"/>
                <w:highlight w:val="none"/>
              </w:rPr>
            </w:pPr>
            <w:r>
              <w:rPr>
                <w:rFonts w:hint="eastAsia" w:ascii="宋体" w:hAnsi="宋体" w:eastAsia="宋体" w:cs="宋体"/>
                <w:color w:val="auto"/>
                <w:highlight w:val="none"/>
              </w:rPr>
              <w:t xml:space="preserve">（www.creditchina.gov.cn）查询为准]。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1" w:type="dxa"/>
            <w:vAlign w:val="center"/>
          </w:tcPr>
          <w:p>
            <w:pPr>
              <w:spacing w:line="38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5</w:t>
            </w:r>
          </w:p>
        </w:tc>
        <w:tc>
          <w:tcPr>
            <w:tcW w:w="8988" w:type="dxa"/>
            <w:vAlign w:val="center"/>
          </w:tcPr>
          <w:p>
            <w:pPr>
              <w:spacing w:line="380" w:lineRule="exact"/>
              <w:rPr>
                <w:rFonts w:ascii="宋体" w:hAnsi="宋体" w:eastAsia="宋体" w:cs="宋体"/>
                <w:color w:val="auto"/>
                <w:highlight w:val="none"/>
              </w:rPr>
            </w:pPr>
            <w:r>
              <w:rPr>
                <w:rFonts w:hint="eastAsia" w:ascii="宋体" w:hAnsi="宋体" w:eastAsia="宋体" w:cs="宋体"/>
                <w:color w:val="auto"/>
                <w:highlight w:val="none"/>
              </w:rPr>
              <w:t xml:space="preserve">投标人、投标人的“三类人员”、拟派项目主要人员未被列入全国水利建设市场信用平台“黑名单”。 </w:t>
            </w:r>
          </w:p>
        </w:tc>
      </w:tr>
    </w:tbl>
    <w:p>
      <w:pPr>
        <w:jc w:val="cente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bookmarkStart w:id="17" w:name="_Toc15595"/>
      <w:r>
        <w:rPr>
          <w:rFonts w:ascii="黑体" w:hAnsi="黑体" w:eastAsia="黑体" w:cs="黑体"/>
          <w:b/>
          <w:bCs/>
          <w:color w:val="auto"/>
          <w:sz w:val="36"/>
          <w:szCs w:val="36"/>
          <w:highlight w:val="none"/>
        </w:rPr>
        <w:t>第二章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投标人须知</w:t>
      </w:r>
      <w:bookmarkEnd w:id="17"/>
    </w:p>
    <w:p>
      <w:pPr>
        <w:jc w:val="center"/>
        <w:rPr>
          <w:rFonts w:asciiTheme="minorEastAsia" w:hAnsiTheme="minorEastAsia" w:eastAsiaTheme="minorEastAsia" w:cstheme="minorEastAsia"/>
          <w:color w:val="auto"/>
          <w:highlight w:val="none"/>
        </w:rPr>
      </w:pPr>
      <w:r>
        <w:rPr>
          <w:rFonts w:ascii="黑体" w:hAnsi="黑体" w:eastAsia="黑体" w:cs="黑体"/>
          <w:color w:val="auto"/>
          <w:sz w:val="30"/>
          <w:szCs w:val="30"/>
          <w:highlight w:val="none"/>
        </w:rPr>
        <w:t>投标人须知前附表</w:t>
      </w:r>
    </w:p>
    <w:tbl>
      <w:tblPr>
        <w:tblStyle w:val="28"/>
        <w:tblW w:w="9650" w:type="dxa"/>
        <w:tblInd w:w="-2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5"/>
        <w:gridCol w:w="2107"/>
        <w:gridCol w:w="65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条款号</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条款名称</w:t>
            </w:r>
          </w:p>
        </w:tc>
        <w:tc>
          <w:tcPr>
            <w:tcW w:w="6538" w:type="dxa"/>
            <w:vAlign w:val="center"/>
          </w:tcPr>
          <w:p>
            <w:pPr>
              <w:spacing w:line="364" w:lineRule="exact"/>
              <w:ind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名称：</w:t>
            </w:r>
            <w:r>
              <w:rPr>
                <w:rFonts w:hint="eastAsia" w:asciiTheme="minorEastAsia" w:hAnsiTheme="minorEastAsia" w:eastAsiaTheme="minorEastAsia"/>
                <w:color w:val="auto"/>
                <w:highlight w:val="none"/>
              </w:rPr>
              <w:t>嵊州市甘霖镇人民政府</w:t>
            </w:r>
          </w:p>
          <w:p>
            <w:pPr>
              <w:spacing w:before="10" w:after="10" w:line="364" w:lineRule="exact"/>
              <w:ind w:left="42" w:leftChars="20" w:right="42" w:rightChars="20"/>
              <w:jc w:val="both"/>
              <w:rPr>
                <w:rFonts w:asciiTheme="minorEastAsia" w:hAnsiTheme="minorEastAsia" w:eastAsiaTheme="minorEastAsia"/>
                <w:color w:val="auto"/>
                <w:highlight w:val="none"/>
              </w:rPr>
            </w:pPr>
            <w:r>
              <w:rPr>
                <w:rFonts w:hint="eastAsia" w:asciiTheme="minorEastAsia" w:hAnsiTheme="minorEastAsia" w:eastAsiaTheme="minorEastAsia" w:cstheme="minorEastAsia"/>
                <w:color w:val="auto"/>
                <w:highlight w:val="none"/>
              </w:rPr>
              <w:t>地址：</w:t>
            </w:r>
            <w:r>
              <w:rPr>
                <w:rFonts w:hint="eastAsia" w:asciiTheme="minorEastAsia" w:hAnsiTheme="minorEastAsia" w:eastAsiaTheme="minorEastAsia"/>
                <w:color w:val="auto"/>
                <w:highlight w:val="none"/>
              </w:rPr>
              <w:t xml:space="preserve">绍兴市嵊州市甘霖镇桃源路1号  </w:t>
            </w:r>
          </w:p>
          <w:p>
            <w:pPr>
              <w:spacing w:before="10" w:after="10" w:line="364" w:lineRule="exact"/>
              <w:ind w:left="42" w:leftChars="20" w:right="42" w:rightChars="20"/>
              <w:jc w:val="both"/>
              <w:rPr>
                <w:rFonts w:asciiTheme="minorEastAsia" w:hAnsiTheme="minorEastAsia" w:eastAsiaTheme="minorEastAsia"/>
                <w:color w:val="auto"/>
                <w:highlight w:val="none"/>
              </w:rPr>
            </w:pPr>
            <w:r>
              <w:rPr>
                <w:rFonts w:hint="eastAsia" w:asciiTheme="minorEastAsia" w:hAnsiTheme="minorEastAsia" w:eastAsiaTheme="minorEastAsia" w:cstheme="minorEastAsia"/>
                <w:color w:val="auto"/>
                <w:highlight w:val="none"/>
              </w:rPr>
              <w:t>联系人：</w:t>
            </w:r>
            <w:r>
              <w:rPr>
                <w:rFonts w:hint="eastAsia" w:asciiTheme="minorEastAsia" w:hAnsiTheme="minorEastAsia" w:eastAsiaTheme="minorEastAsia"/>
                <w:color w:val="auto"/>
                <w:highlight w:val="none"/>
              </w:rPr>
              <w:t xml:space="preserve"> 竺炜丽</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电话：</w:t>
            </w:r>
            <w:r>
              <w:rPr>
                <w:rFonts w:hint="eastAsia" w:asciiTheme="minorEastAsia" w:hAnsiTheme="minorEastAsia" w:eastAsiaTheme="minorEastAsia"/>
                <w:color w:val="auto"/>
                <w:highlight w:val="none"/>
              </w:rPr>
              <w:t xml:space="preserve"> 18268757365      </w:t>
            </w:r>
            <w:r>
              <w:rPr>
                <w:rFonts w:hint="eastAsia" w:asciiTheme="minorEastAsia" w:hAnsiTheme="minorEastAsia" w:eastAsiaTheme="minorEastAsia" w:cstheme="minorEastAsia"/>
                <w:color w:val="auto"/>
                <w:highlight w:val="none"/>
              </w:rPr>
              <w:t xml:space="preserve">传真：   /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电子信箱：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招标代理机构</w:t>
            </w:r>
          </w:p>
        </w:tc>
        <w:tc>
          <w:tcPr>
            <w:tcW w:w="6538" w:type="dxa"/>
            <w:vAlign w:val="center"/>
          </w:tcPr>
          <w:p>
            <w:pPr>
              <w:spacing w:line="364" w:lineRule="exact"/>
              <w:rPr>
                <w:rFonts w:asciiTheme="minorEastAsia" w:hAnsiTheme="minorEastAsia" w:eastAsiaTheme="minorEastAsia"/>
                <w:color w:val="auto"/>
                <w:highlight w:val="none"/>
              </w:rPr>
            </w:pPr>
            <w:r>
              <w:rPr>
                <w:rFonts w:asciiTheme="minorEastAsia" w:hAnsiTheme="minorEastAsia" w:eastAsiaTheme="minorEastAsia"/>
                <w:color w:val="auto"/>
                <w:highlight w:val="none"/>
              </w:rPr>
              <w:t>名</w:t>
            </w:r>
            <w:r>
              <w:rPr>
                <w:rFonts w:hint="eastAsia" w:asciiTheme="minorEastAsia" w:hAnsiTheme="minorEastAsia" w:eastAsiaTheme="minorEastAsia"/>
                <w:color w:val="auto"/>
                <w:highlight w:val="none"/>
              </w:rPr>
              <w:t>称：</w:t>
            </w:r>
            <w:r>
              <w:rPr>
                <w:rFonts w:hint="eastAsia" w:cs="宋体" w:asciiTheme="minorEastAsia" w:hAnsiTheme="minorEastAsia" w:eastAsiaTheme="minorEastAsia"/>
                <w:color w:val="auto"/>
                <w:highlight w:val="none"/>
              </w:rPr>
              <w:t>浙江卓宏建设项目管理有限公司</w:t>
            </w:r>
          </w:p>
          <w:p>
            <w:pPr>
              <w:spacing w:line="364" w:lineRule="exact"/>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地址：</w:t>
            </w:r>
            <w:r>
              <w:rPr>
                <w:rFonts w:hint="eastAsia" w:cs="宋体" w:asciiTheme="minorEastAsia" w:hAnsiTheme="minorEastAsia" w:eastAsiaTheme="minorEastAsia"/>
                <w:color w:val="auto"/>
                <w:highlight w:val="none"/>
              </w:rPr>
              <w:t>嵊州市三江街道官河南路</w:t>
            </w:r>
            <w:r>
              <w:rPr>
                <w:rFonts w:asciiTheme="minorEastAsia" w:hAnsiTheme="minorEastAsia" w:eastAsiaTheme="minorEastAsia"/>
                <w:color w:val="auto"/>
                <w:highlight w:val="none"/>
              </w:rPr>
              <w:t>379</w:t>
            </w:r>
            <w:r>
              <w:rPr>
                <w:rFonts w:hint="eastAsia" w:cs="宋体" w:asciiTheme="minorEastAsia" w:hAnsiTheme="minorEastAsia" w:eastAsiaTheme="minorEastAsia"/>
                <w:color w:val="auto"/>
                <w:highlight w:val="none"/>
              </w:rPr>
              <w:t>号国商总部大楼</w:t>
            </w:r>
            <w:r>
              <w:rPr>
                <w:rFonts w:asciiTheme="minorEastAsia" w:hAnsiTheme="minorEastAsia" w:eastAsiaTheme="minorEastAsia"/>
                <w:color w:val="auto"/>
                <w:highlight w:val="none"/>
              </w:rPr>
              <w:t>5</w:t>
            </w:r>
            <w:r>
              <w:rPr>
                <w:rFonts w:hint="eastAsia" w:cs="宋体" w:asciiTheme="minorEastAsia" w:hAnsiTheme="minorEastAsia" w:eastAsiaTheme="minorEastAsia"/>
                <w:color w:val="auto"/>
                <w:highlight w:val="none"/>
              </w:rPr>
              <w:t>楼</w:t>
            </w:r>
          </w:p>
          <w:p>
            <w:pPr>
              <w:spacing w:line="364" w:lineRule="exact"/>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联系人</w:t>
            </w:r>
            <w:r>
              <w:rPr>
                <w:rFonts w:hint="eastAsia" w:cs="宋体"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张赛琳</w:t>
            </w:r>
            <w:r>
              <w:rPr>
                <w:rFonts w:hint="eastAsia" w:asciiTheme="minorEastAsia" w:hAnsiTheme="minorEastAsia" w:eastAsiaTheme="minorEastAsia"/>
                <w:color w:val="auto"/>
                <w:highlight w:val="none"/>
              </w:rPr>
              <w:t xml:space="preserve"> </w:t>
            </w:r>
          </w:p>
          <w:p>
            <w:pPr>
              <w:spacing w:line="364" w:lineRule="exact"/>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电话：</w:t>
            </w:r>
            <w:r>
              <w:rPr>
                <w:rFonts w:hint="eastAsia" w:asciiTheme="minorEastAsia" w:hAnsiTheme="minorEastAsia" w:eastAsiaTheme="minorEastAsia"/>
                <w:color w:val="auto"/>
                <w:highlight w:val="none"/>
                <w:lang w:eastAsia="zh-CN"/>
              </w:rPr>
              <w:t>13588019043</w:t>
            </w:r>
            <w:r>
              <w:rPr>
                <w:rFonts w:hint="eastAsia" w:asciiTheme="minorEastAsia" w:hAnsiTheme="minorEastAsia" w:eastAsiaTheme="minorEastAsia"/>
                <w:color w:val="auto"/>
                <w:highlight w:val="none"/>
              </w:rPr>
              <w:t xml:space="preserve">               </w:t>
            </w:r>
            <w:r>
              <w:rPr>
                <w:rFonts w:hint="eastAsia" w:asciiTheme="minorEastAsia" w:hAnsiTheme="minorEastAsia" w:eastAsiaTheme="minorEastAsia" w:cstheme="minorEastAsia"/>
                <w:color w:val="auto"/>
                <w:highlight w:val="none"/>
              </w:rPr>
              <w:t xml:space="preserve"> 传真：   /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电子信箱：</w:t>
            </w:r>
            <w:r>
              <w:rPr>
                <w:rFonts w:hint="eastAsia" w:asciiTheme="minorEastAsia" w:hAnsiTheme="minorEastAsia" w:eastAsiaTheme="minorEastAsia" w:cstheme="minorEastAsia"/>
                <w:color w:val="auto"/>
                <w:highlight w:val="none"/>
                <w:u w:val="none"/>
                <w:lang w:eastAsia="zh-CN"/>
              </w:rPr>
              <w:t>347546322</w:t>
            </w:r>
            <w:r>
              <w:rPr>
                <w:rFonts w:hint="eastAsia" w:asciiTheme="minorEastAsia" w:hAnsiTheme="minorEastAsia" w:eastAsiaTheme="minorEastAsia" w:cstheme="minorEastAsia"/>
                <w:color w:val="auto"/>
                <w:highlight w:val="none"/>
                <w:u w:val="none"/>
              </w:rPr>
              <w:t>@qq.com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1.1.4</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嵊州市生态共富小流域水土流失综合治理项目（花桥、后村小流域）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1.1.5</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建设地点</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嵊州市甘霖镇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1.1.6</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现场管理机构</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1.1.7</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设计人</w:t>
            </w:r>
          </w:p>
        </w:tc>
        <w:tc>
          <w:tcPr>
            <w:tcW w:w="6538" w:type="dxa"/>
            <w:vAlign w:val="center"/>
          </w:tcPr>
          <w:p>
            <w:pPr>
              <w:spacing w:line="364"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浙江广川工程咨询</w:t>
            </w:r>
            <w:r>
              <w:rPr>
                <w:rFonts w:hint="eastAsia" w:asciiTheme="minorEastAsia" w:hAnsiTheme="minorEastAsia" w:eastAsiaTheme="minorEastAsia" w:cstheme="minorEastAsia"/>
                <w:color w:val="auto"/>
                <w:highlight w:val="none"/>
              </w:rPr>
              <w:t>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1.1.8</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监理人</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1.1.9</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代建机构</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资金来源</w:t>
            </w:r>
          </w:p>
        </w:tc>
        <w:tc>
          <w:tcPr>
            <w:tcW w:w="6538" w:type="dxa"/>
            <w:vAlign w:val="center"/>
          </w:tcPr>
          <w:p>
            <w:pPr>
              <w:spacing w:before="10" w:after="10" w:line="364" w:lineRule="exact"/>
              <w:ind w:right="42" w:rightChars="20"/>
              <w:jc w:val="both"/>
              <w:rPr>
                <w:rFonts w:asciiTheme="minorEastAsia" w:hAnsiTheme="minorEastAsia" w:eastAsiaTheme="minorEastAsia" w:cstheme="minorEastAsia"/>
                <w:color w:val="auto"/>
                <w:highlight w:val="none"/>
              </w:rPr>
            </w:pPr>
            <w:r>
              <w:rPr>
                <w:rFonts w:hint="eastAsia" w:cs="宋体" w:asciiTheme="minorEastAsia" w:hAnsiTheme="minorEastAsia" w:eastAsiaTheme="minorEastAsia"/>
                <w:color w:val="auto"/>
                <w:highlight w:val="none"/>
                <w:u w:val="none"/>
              </w:rPr>
              <w:t>财政</w:t>
            </w:r>
            <w:r>
              <w:rPr>
                <w:rFonts w:hint="eastAsia" w:cs="宋体" w:asciiTheme="minorEastAsia" w:hAnsiTheme="minorEastAsia" w:eastAsiaTheme="minorEastAsia"/>
                <w:color w:val="auto"/>
                <w:highlight w:val="none"/>
                <w:u w:val="none"/>
                <w:lang w:val="en-US" w:eastAsia="zh-CN"/>
              </w:rPr>
              <w:t>资金及项目单位自有资金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1.2.2</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出资比例</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1.2.3</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资金落实情况</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招标范围</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嵊州市生态共富小流域水土流失综合治理项目（花桥、后村小流域）施工图中的全部内容（详见工程量清单）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计划工期</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计划工期：300日历天。投标承诺工期不得超过该计划工期。</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计划开工日期：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计划完工日期：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节点工期：     /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实际开工日期以总监理工程师签发的开工通知为准。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质量要求</w:t>
            </w:r>
          </w:p>
        </w:tc>
        <w:tc>
          <w:tcPr>
            <w:tcW w:w="6538" w:type="dxa"/>
            <w:vAlign w:val="center"/>
          </w:tcPr>
          <w:p>
            <w:pPr>
              <w:spacing w:line="364" w:lineRule="exact"/>
              <w:rPr>
                <w:rFonts w:asciiTheme="minorEastAsia" w:hAnsiTheme="minorEastAsia" w:eastAsiaTheme="minorEastAsia" w:cstheme="minorEastAsia"/>
                <w:color w:val="auto"/>
                <w:highlight w:val="none"/>
              </w:rPr>
            </w:pPr>
            <w:r>
              <w:rPr>
                <w:rFonts w:hint="eastAsia" w:cs="宋体" w:asciiTheme="minorEastAsia" w:hAnsiTheme="minorEastAsia" w:eastAsiaTheme="minorEastAsia"/>
                <w:color w:val="auto"/>
                <w:highlight w:val="none"/>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w:t>
            </w:r>
          </w:p>
        </w:tc>
        <w:tc>
          <w:tcPr>
            <w:tcW w:w="2107" w:type="dxa"/>
            <w:vAlign w:val="center"/>
          </w:tcPr>
          <w:p>
            <w:pPr>
              <w:spacing w:line="364" w:lineRule="exact"/>
              <w:ind w:left="63" w:leftChars="30" w:right="63" w:rightChars="3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投标人资质条件、</w:t>
            </w:r>
          </w:p>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能力和信誉</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是否接受联合体投标</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hAnsi="MS Gothic" w:eastAsia="MS Gothic" w:cs="MS Gothic" w:asciiTheme="minorEastAsia"/>
                <w:color w:val="auto"/>
                <w:highlight w:val="none"/>
              </w:rPr>
              <w:t>☑</w:t>
            </w:r>
            <w:r>
              <w:rPr>
                <w:rFonts w:hint="eastAsia" w:asciiTheme="minorEastAsia" w:hAnsiTheme="minorEastAsia" w:eastAsiaTheme="minorEastAsia" w:cstheme="minorEastAsia"/>
                <w:color w:val="auto"/>
                <w:highlight w:val="none"/>
              </w:rPr>
              <w:t>不接受</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□接受，应满足下列要求：</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1.联合体所有成员数量不得超过</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个；</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2.应以</w:t>
            </w:r>
            <w:r>
              <w:rPr>
                <w:rFonts w:hint="eastAsia" w:asciiTheme="minorEastAsia" w:hAnsiTheme="minorEastAsia" w:eastAsiaTheme="minorEastAsia" w:cstheme="minorEastAsia"/>
                <w:color w:val="auto"/>
                <w:highlight w:val="none"/>
                <w:u w:val="single"/>
              </w:rPr>
              <w:t xml:space="preserve"> </w:t>
            </w:r>
            <w:r>
              <w:rPr>
                <w:rFonts w:hint="eastAsia" w:cs="宋体" w:asciiTheme="minorEastAsia" w:hAnsiTheme="minorEastAsia" w:eastAsiaTheme="minorEastAsia"/>
                <w:color w:val="auto"/>
                <w:sz w:val="22"/>
                <w:highlight w:val="none"/>
                <w:u w:val="single"/>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方作为联合体牵头人</w:t>
            </w:r>
          </w:p>
          <w:p>
            <w:pPr>
              <w:spacing w:before="10" w:after="10" w:line="364" w:lineRule="exact"/>
              <w:ind w:right="42" w:rightChars="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3.拟派项目主要成员的委派要求：</w:t>
            </w:r>
            <w:r>
              <w:rPr>
                <w:rFonts w:hint="eastAsia" w:asciiTheme="minorEastAsia" w:hAnsiTheme="minorEastAsia" w:eastAsiaTheme="minorEastAsia" w:cstheme="minorEastAsia"/>
                <w:color w:val="auto"/>
                <w:highlight w:val="none"/>
                <w:u w:val="single"/>
              </w:rPr>
              <w:t xml:space="preserve">  </w:t>
            </w:r>
            <w:r>
              <w:rPr>
                <w:rFonts w:hint="eastAsia" w:cs="宋体" w:asciiTheme="minorEastAsia" w:hAnsiTheme="minorEastAsia" w:eastAsiaTheme="minorEastAsia"/>
                <w:color w:val="auto"/>
                <w:highlight w:val="none"/>
                <w:u w:val="single"/>
              </w:rPr>
              <w:t>见附表</w:t>
            </w:r>
            <w:r>
              <w:rPr>
                <w:rFonts w:hint="eastAsia" w:asciiTheme="minorEastAsia" w:hAnsiTheme="minorEastAsia" w:eastAsiaTheme="minorEastAsia" w:cstheme="minorEastAsia"/>
                <w:color w:val="auto"/>
                <w:highlight w:val="none"/>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1.9.1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踏勘现场</w:t>
            </w:r>
          </w:p>
        </w:tc>
        <w:tc>
          <w:tcPr>
            <w:tcW w:w="6538" w:type="dxa"/>
            <w:vAlign w:val="center"/>
          </w:tcPr>
          <w:p>
            <w:pPr>
              <w:spacing w:before="10" w:after="10" w:line="364" w:lineRule="exact"/>
              <w:ind w:left="42" w:leftChars="20" w:right="42" w:rightChars="20"/>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□组织。投标人可自愿参加，除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外，交通工具及食宿均自理。踏勘现场联系人：</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，联系电话：</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，踏勘时间：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，踏勘集中地点：</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u w:val="none"/>
              </w:rPr>
              <w:t xml:space="preserve"> </w:t>
            </w:r>
            <w:r>
              <w:rPr>
                <w:rFonts w:hint="eastAsia" w:asciiTheme="minorEastAsia" w:hAnsiTheme="minorEastAsia" w:eastAsiaTheme="minorEastAsia" w:cstheme="minorEastAsia"/>
                <w:color w:val="auto"/>
                <w:highlight w:val="none"/>
                <w:u w:val="none"/>
                <w:lang w:eastAsia="zh-CN"/>
              </w:rPr>
              <w:t>。</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投标预备会</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□召开，定于</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（具体时间）在</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（投标预备会地点）召开投标预备会，投标人可自愿参加，除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1.10.3</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投标截止时间</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b/>
                <w:bCs/>
                <w:color w:val="auto"/>
                <w:highlight w:val="none"/>
              </w:rPr>
            </w:pPr>
            <w:r>
              <w:rPr>
                <w:rFonts w:hint="eastAsia" w:cs="宋体" w:asciiTheme="minorEastAsia" w:hAnsiTheme="minorEastAsia" w:eastAsiaTheme="minorEastAsia"/>
                <w:b/>
                <w:bCs/>
                <w:color w:val="auto"/>
                <w:spacing w:val="-2"/>
                <w:highlight w:val="none"/>
                <w:u w:val="single"/>
              </w:rPr>
              <w:t>202</w:t>
            </w:r>
            <w:r>
              <w:rPr>
                <w:rFonts w:hint="eastAsia" w:cs="宋体" w:asciiTheme="minorEastAsia" w:hAnsiTheme="minorEastAsia" w:eastAsiaTheme="minorEastAsia"/>
                <w:b/>
                <w:bCs/>
                <w:color w:val="auto"/>
                <w:spacing w:val="-2"/>
                <w:highlight w:val="none"/>
                <w:u w:val="single"/>
                <w:lang w:val="en-US" w:eastAsia="zh-CN"/>
              </w:rPr>
              <w:t>4</w:t>
            </w:r>
            <w:r>
              <w:rPr>
                <w:rFonts w:hint="eastAsia" w:cs="宋体" w:asciiTheme="minorEastAsia" w:hAnsiTheme="minorEastAsia" w:eastAsiaTheme="minorEastAsia"/>
                <w:b/>
                <w:bCs/>
                <w:color w:val="auto"/>
                <w:spacing w:val="-2"/>
                <w:highlight w:val="none"/>
              </w:rPr>
              <w:t>年</w:t>
            </w:r>
            <w:r>
              <w:rPr>
                <w:rFonts w:hint="eastAsia" w:cs="宋体" w:asciiTheme="minorEastAsia" w:hAnsiTheme="minorEastAsia" w:eastAsiaTheme="minorEastAsia"/>
                <w:b/>
                <w:bCs/>
                <w:color w:val="auto"/>
                <w:spacing w:val="-2"/>
                <w:highlight w:val="none"/>
                <w:u w:val="single"/>
              </w:rPr>
              <w:t xml:space="preserve"> </w:t>
            </w:r>
            <w:r>
              <w:rPr>
                <w:rFonts w:hint="eastAsia" w:cs="宋体" w:asciiTheme="minorEastAsia" w:hAnsiTheme="minorEastAsia" w:eastAsiaTheme="minorEastAsia"/>
                <w:b/>
                <w:bCs/>
                <w:color w:val="auto"/>
                <w:spacing w:val="-2"/>
                <w:highlight w:val="none"/>
                <w:u w:val="single"/>
                <w:lang w:val="en-US" w:eastAsia="zh-CN"/>
              </w:rPr>
              <w:t xml:space="preserve">02 </w:t>
            </w:r>
            <w:r>
              <w:rPr>
                <w:rFonts w:hint="eastAsia" w:cs="宋体" w:asciiTheme="minorEastAsia" w:hAnsiTheme="minorEastAsia" w:eastAsiaTheme="minorEastAsia"/>
                <w:b/>
                <w:bCs/>
                <w:color w:val="auto"/>
                <w:spacing w:val="-2"/>
                <w:highlight w:val="none"/>
              </w:rPr>
              <w:t>月</w:t>
            </w:r>
            <w:r>
              <w:rPr>
                <w:rFonts w:hint="eastAsia" w:cs="宋体" w:asciiTheme="minorEastAsia" w:hAnsiTheme="minorEastAsia" w:eastAsiaTheme="minorEastAsia"/>
                <w:b/>
                <w:bCs/>
                <w:color w:val="auto"/>
                <w:spacing w:val="-2"/>
                <w:highlight w:val="none"/>
                <w:u w:val="single"/>
              </w:rPr>
              <w:t xml:space="preserve"> </w:t>
            </w:r>
            <w:r>
              <w:rPr>
                <w:rFonts w:hint="eastAsia" w:cs="宋体" w:asciiTheme="minorEastAsia" w:hAnsiTheme="minorEastAsia" w:eastAsiaTheme="minorEastAsia"/>
                <w:b/>
                <w:bCs/>
                <w:color w:val="auto"/>
                <w:spacing w:val="-2"/>
                <w:highlight w:val="none"/>
                <w:u w:val="single"/>
                <w:lang w:val="en-US" w:eastAsia="zh-CN"/>
              </w:rPr>
              <w:t>07</w:t>
            </w:r>
            <w:r>
              <w:rPr>
                <w:rFonts w:hint="eastAsia" w:cs="宋体" w:asciiTheme="minorEastAsia" w:hAnsiTheme="minorEastAsia" w:eastAsiaTheme="minorEastAsia"/>
                <w:b/>
                <w:bCs/>
                <w:color w:val="auto"/>
                <w:spacing w:val="-2"/>
                <w:highlight w:val="none"/>
                <w:u w:val="single"/>
              </w:rPr>
              <w:t xml:space="preserve"> </w:t>
            </w:r>
            <w:r>
              <w:rPr>
                <w:rFonts w:hint="eastAsia" w:cs="宋体" w:asciiTheme="minorEastAsia" w:hAnsiTheme="minorEastAsia" w:eastAsiaTheme="minorEastAsia"/>
                <w:b/>
                <w:bCs/>
                <w:color w:val="auto"/>
                <w:spacing w:val="-2"/>
                <w:highlight w:val="none"/>
              </w:rPr>
              <w:t>日</w:t>
            </w:r>
            <w:r>
              <w:rPr>
                <w:rFonts w:hint="eastAsia" w:cs="宋体" w:asciiTheme="minorEastAsia" w:hAnsiTheme="minorEastAsia" w:eastAsiaTheme="minorEastAsia"/>
                <w:b/>
                <w:bCs/>
                <w:color w:val="auto"/>
                <w:spacing w:val="-2"/>
                <w:highlight w:val="none"/>
                <w:u w:val="single"/>
              </w:rPr>
              <w:t xml:space="preserve"> </w:t>
            </w:r>
            <w:r>
              <w:rPr>
                <w:rFonts w:hint="eastAsia" w:cs="宋体" w:asciiTheme="minorEastAsia" w:hAnsiTheme="minorEastAsia" w:eastAsiaTheme="minorEastAsia"/>
                <w:b/>
                <w:bCs/>
                <w:color w:val="auto"/>
                <w:spacing w:val="-2"/>
                <w:highlight w:val="none"/>
                <w:u w:val="single"/>
                <w:lang w:val="en-US" w:eastAsia="zh-CN"/>
              </w:rPr>
              <w:t>09</w:t>
            </w:r>
            <w:r>
              <w:rPr>
                <w:rFonts w:hint="eastAsia" w:cs="宋体" w:asciiTheme="minorEastAsia" w:hAnsiTheme="minorEastAsia" w:eastAsiaTheme="minorEastAsia"/>
                <w:b/>
                <w:bCs/>
                <w:color w:val="auto"/>
                <w:spacing w:val="-2"/>
                <w:highlight w:val="none"/>
                <w:u w:val="single"/>
              </w:rPr>
              <w:t xml:space="preserve"> </w:t>
            </w:r>
            <w:r>
              <w:rPr>
                <w:rFonts w:hint="eastAsia" w:cs="宋体" w:asciiTheme="minorEastAsia" w:hAnsiTheme="minorEastAsia" w:eastAsiaTheme="minorEastAsia"/>
                <w:b/>
                <w:bCs/>
                <w:color w:val="auto"/>
                <w:spacing w:val="-2"/>
                <w:highlight w:val="none"/>
              </w:rPr>
              <w:t>时</w:t>
            </w:r>
            <w:r>
              <w:rPr>
                <w:rFonts w:hint="eastAsia" w:cs="宋体" w:asciiTheme="minorEastAsia" w:hAnsiTheme="minorEastAsia" w:eastAsiaTheme="minorEastAsia"/>
                <w:b/>
                <w:bCs/>
                <w:color w:val="auto"/>
                <w:spacing w:val="-2"/>
                <w:highlight w:val="none"/>
                <w:u w:val="single"/>
              </w:rPr>
              <w:t xml:space="preserve"> 00 </w:t>
            </w:r>
            <w:r>
              <w:rPr>
                <w:rFonts w:hint="eastAsia" w:cs="宋体" w:asciiTheme="minorEastAsia" w:hAnsiTheme="minorEastAsia" w:eastAsiaTheme="minorEastAsia"/>
                <w:b/>
                <w:bCs/>
                <w:color w:val="auto"/>
                <w:spacing w:val="-2"/>
                <w:highlight w:val="no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分包</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□允许，工程分包内容要求：</w:t>
            </w:r>
            <w:r>
              <w:rPr>
                <w:rFonts w:hint="eastAsia" w:asciiTheme="minorEastAsia" w:hAnsiTheme="minorEastAsia" w:eastAsiaTheme="minorEastAsia" w:cstheme="minorEastAsia"/>
                <w:color w:val="auto"/>
                <w:highlight w:val="none"/>
                <w:u w:val="single"/>
              </w:rPr>
              <w:t xml:space="preserve"> 非工程主体、非关键性工作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工程分包金额要求：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接受工程分包的第三人资质要求：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p>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偏离</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□允许偏离的内容、范围和幅度：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p>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投标人提出澄清申请的时间及形式</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时间：投标截止时间</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日前。</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形式：</w:t>
            </w:r>
            <w:r>
              <w:rPr>
                <w:rFonts w:hint="eastAsia" w:cs="宋体" w:asciiTheme="minorEastAsia" w:hAnsiTheme="minorEastAsia" w:eastAsiaTheme="minorEastAsia"/>
                <w:color w:val="auto"/>
                <w:highlight w:val="none"/>
              </w:rPr>
              <w:t>以书面形式（包括信函、传真等可以有形地表现所载内容的形式）。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p>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2.2.2</w:t>
            </w:r>
          </w:p>
        </w:tc>
        <w:tc>
          <w:tcPr>
            <w:tcW w:w="2107" w:type="dxa"/>
            <w:vAlign w:val="center"/>
          </w:tcPr>
          <w:p>
            <w:pPr>
              <w:spacing w:line="364" w:lineRule="exact"/>
              <w:ind w:left="63" w:leftChars="30" w:right="63" w:rightChars="3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w:t>
            </w:r>
          </w:p>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澄清的形式</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2.3.1</w:t>
            </w:r>
          </w:p>
        </w:tc>
        <w:tc>
          <w:tcPr>
            <w:tcW w:w="2107" w:type="dxa"/>
            <w:vAlign w:val="center"/>
          </w:tcPr>
          <w:p>
            <w:pPr>
              <w:spacing w:line="364" w:lineRule="exact"/>
              <w:ind w:left="63" w:leftChars="30" w:right="63" w:rightChars="3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招标人发出修改</w:t>
            </w:r>
          </w:p>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通知的形式</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修改的内容影响投标文件编制的，招标人将在投标截止时间</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日前，在下载招标文件的电子招标投标交易平台发出修改通知，不足</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日的，招标人将顺延递交投标文件的截止时间。</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修改的内容不影响投标文件编制的，将在投标文件递交截止时间</w:t>
            </w:r>
            <w:r>
              <w:rPr>
                <w:rFonts w:hint="eastAsia" w:asciiTheme="minorEastAsia" w:hAnsiTheme="minorEastAsia" w:eastAsiaTheme="minorEastAsia" w:cstheme="minorEastAsia"/>
                <w:color w:val="auto"/>
                <w:highlight w:val="none"/>
                <w:u w:val="single"/>
              </w:rPr>
              <w:t xml:space="preserve"> 7 </w:t>
            </w:r>
            <w:r>
              <w:rPr>
                <w:rFonts w:hint="eastAsia" w:asciiTheme="minorEastAsia" w:hAnsiTheme="minorEastAsia" w:eastAsiaTheme="minorEastAsia" w:cstheme="minorEastAsia"/>
                <w:color w:val="auto"/>
                <w:highlight w:val="none"/>
              </w:rPr>
              <w:t>天前，以上款相同的形式发布。</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投标文件成册要求</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□不需要分别成册：</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☑需要分别成册，成册要求为：投标文件商务标、资信标、技术标分别装订成一册。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投标有效期</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自投标截止时间起生效，有效期为90天。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28" w:hRule="atLeast"/>
        </w:trPr>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投标保证金</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不要求递交投标保证金。</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要求递交投标保证金。</w:t>
            </w:r>
          </w:p>
          <w:p>
            <w:pPr>
              <w:spacing w:before="10" w:after="10" w:line="364" w:lineRule="exact"/>
              <w:ind w:left="42" w:leftChars="20" w:right="42" w:rightChars="20"/>
              <w:jc w:val="both"/>
              <w:rPr>
                <w:rFonts w:cs="宋体" w:asciiTheme="minorEastAsia" w:hAnsiTheme="minorEastAsia" w:eastAsiaTheme="minorEastAsia"/>
                <w:color w:val="auto"/>
                <w:highlight w:val="none"/>
              </w:rPr>
            </w:pPr>
            <w:r>
              <w:rPr>
                <w:rFonts w:hint="eastAsia" w:asciiTheme="minorEastAsia" w:hAnsiTheme="minorEastAsia" w:eastAsiaTheme="minorEastAsia" w:cstheme="minorEastAsia"/>
                <w:color w:val="auto"/>
                <w:highlight w:val="none"/>
              </w:rPr>
              <w:t>投标保证金的形式：</w:t>
            </w:r>
            <w:r>
              <w:rPr>
                <w:rFonts w:hint="eastAsia" w:cs="宋体" w:asciiTheme="minorEastAsia" w:hAnsiTheme="minorEastAsia" w:eastAsiaTheme="minorEastAsia"/>
                <w:color w:val="auto"/>
                <w:highlight w:val="none"/>
              </w:rPr>
              <w:t>电子保函、转账（电汇）、网银支付，由投标人自行选择。</w:t>
            </w:r>
          </w:p>
          <w:p>
            <w:pPr>
              <w:spacing w:before="10" w:after="10" w:line="364"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投标保证金的金额：人民币</w:t>
            </w:r>
            <w:r>
              <w:rPr>
                <w:rFonts w:hint="eastAsia" w:asciiTheme="minorEastAsia" w:hAnsiTheme="minorEastAsia" w:eastAsiaTheme="minorEastAsia" w:cstheme="minorEastAsia"/>
                <w:color w:val="auto"/>
                <w:highlight w:val="none"/>
                <w:u w:val="single"/>
                <w:lang w:val="en-US" w:eastAsia="zh-CN"/>
              </w:rPr>
              <w:t>99000</w:t>
            </w:r>
            <w:r>
              <w:rPr>
                <w:rFonts w:hint="eastAsia" w:asciiTheme="minorEastAsia" w:hAnsiTheme="minorEastAsia" w:eastAsiaTheme="minorEastAsia" w:cstheme="minorEastAsia"/>
                <w:color w:val="auto"/>
                <w:highlight w:val="none"/>
              </w:rPr>
              <w:t>元整</w:t>
            </w:r>
          </w:p>
          <w:p>
            <w:pPr>
              <w:spacing w:line="364" w:lineRule="exact"/>
              <w:jc w:val="both"/>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使用电子保函方式缴纳的，具体操作流程详见 《嵊州市公共资源交易电子交易平台电子保函操作手册（试行）》，电子保函的保险期限必须不少于投标有效期</w:t>
            </w:r>
            <w:r>
              <w:rPr>
                <w:rFonts w:hint="eastAsia" w:cs="宋体" w:asciiTheme="minorEastAsia" w:hAnsiTheme="minorEastAsia" w:eastAsiaTheme="minorEastAsia"/>
                <w:color w:val="auto"/>
                <w:highlight w:val="none"/>
                <w:lang w:eastAsia="zh-CN"/>
              </w:rPr>
              <w:t>；</w:t>
            </w:r>
            <w:r>
              <w:rPr>
                <w:rFonts w:hint="eastAsia" w:cs="宋体" w:asciiTheme="minorEastAsia" w:hAnsiTheme="minorEastAsia" w:eastAsiaTheme="minorEastAsia"/>
                <w:color w:val="auto"/>
                <w:highlight w:val="none"/>
              </w:rPr>
              <w:t>投标保证金：提交时间：应在202</w:t>
            </w:r>
            <w:r>
              <w:rPr>
                <w:rFonts w:hint="eastAsia" w:cs="宋体" w:asciiTheme="minorEastAsia" w:hAnsiTheme="minorEastAsia" w:eastAsiaTheme="minorEastAsia"/>
                <w:color w:val="auto"/>
                <w:highlight w:val="none"/>
                <w:lang w:val="en-US" w:eastAsia="zh-CN"/>
              </w:rPr>
              <w:t>4</w:t>
            </w:r>
            <w:r>
              <w:rPr>
                <w:rFonts w:hint="eastAsia" w:cs="宋体" w:asciiTheme="minorEastAsia" w:hAnsiTheme="minorEastAsia" w:eastAsiaTheme="minorEastAsia"/>
                <w:color w:val="auto"/>
                <w:highlight w:val="none"/>
              </w:rPr>
              <w:t>年</w:t>
            </w:r>
            <w:r>
              <w:rPr>
                <w:rFonts w:hint="eastAsia" w:cs="宋体" w:asciiTheme="minorEastAsia" w:hAnsiTheme="minorEastAsia" w:eastAsiaTheme="minorEastAsia"/>
                <w:color w:val="auto"/>
                <w:highlight w:val="none"/>
                <w:lang w:val="en-US" w:eastAsia="zh-CN"/>
              </w:rPr>
              <w:t>02</w:t>
            </w:r>
            <w:r>
              <w:rPr>
                <w:rFonts w:hint="eastAsia" w:cs="宋体" w:asciiTheme="minorEastAsia" w:hAnsiTheme="minorEastAsia" w:eastAsiaTheme="minorEastAsia"/>
                <w:color w:val="auto"/>
                <w:highlight w:val="none"/>
              </w:rPr>
              <w:t>月</w:t>
            </w:r>
            <w:r>
              <w:rPr>
                <w:rFonts w:hint="eastAsia" w:cs="宋体" w:asciiTheme="minorEastAsia" w:hAnsiTheme="minorEastAsia" w:eastAsiaTheme="minorEastAsia"/>
                <w:color w:val="auto"/>
                <w:highlight w:val="none"/>
                <w:lang w:val="en-US" w:eastAsia="zh-CN"/>
              </w:rPr>
              <w:t>07</w:t>
            </w:r>
            <w:r>
              <w:rPr>
                <w:rFonts w:hint="eastAsia" w:cs="宋体" w:asciiTheme="minorEastAsia" w:hAnsiTheme="minorEastAsia" w:eastAsiaTheme="minorEastAsia"/>
                <w:color w:val="auto"/>
                <w:highlight w:val="none"/>
              </w:rPr>
              <w:t xml:space="preserve">日 </w:t>
            </w:r>
            <w:r>
              <w:rPr>
                <w:rFonts w:hint="eastAsia" w:cs="宋体" w:asciiTheme="minorEastAsia" w:hAnsiTheme="minorEastAsia" w:eastAsiaTheme="minorEastAsia"/>
                <w:color w:val="auto"/>
                <w:highlight w:val="none"/>
                <w:lang w:val="en-US" w:eastAsia="zh-CN"/>
              </w:rPr>
              <w:t>09</w:t>
            </w:r>
            <w:r>
              <w:rPr>
                <w:rFonts w:hint="eastAsia" w:cs="宋体" w:asciiTheme="minorEastAsia" w:hAnsiTheme="minorEastAsia" w:eastAsiaTheme="minorEastAsia"/>
                <w:color w:val="auto"/>
                <w:highlight w:val="none"/>
              </w:rPr>
              <w:t>:00 时（北京时间）前到账，投标保证金以到账时间为准（包括提交 电子保函）。如因投标人自身原因，造成投标单位保证金未及时到账的或者未从其基本账户转出，一律视为不响应招标文件，其投标文件不予以接受。投标人的投标保证金必须从其基本账户转出并在缴存投标保证金时填写项目名称。</w:t>
            </w:r>
          </w:p>
          <w:p>
            <w:pPr>
              <w:pStyle w:val="29"/>
              <w:snapToGrid w:val="0"/>
              <w:spacing w:line="364" w:lineRule="exact"/>
              <w:ind w:left="210" w:leftChars="100" w:firstLine="6" w:firstLineChars="3"/>
              <w:jc w:val="both"/>
              <w:rPr>
                <w:rFonts w:hint="eastAsia" w:cs="宋体" w:asciiTheme="minorEastAsia" w:hAnsiTheme="minorEastAsia" w:eastAsiaTheme="minorEastAsia"/>
                <w:snapToGrid w:val="0"/>
                <w:color w:val="auto"/>
                <w:sz w:val="21"/>
                <w:szCs w:val="21"/>
                <w:highlight w:val="none"/>
                <w:lang w:val="en-US" w:eastAsia="zh-CN" w:bidi="ar-SA"/>
              </w:rPr>
            </w:pPr>
            <w:r>
              <w:rPr>
                <w:rFonts w:hint="eastAsia" w:asciiTheme="minorEastAsia" w:hAnsiTheme="minorEastAsia" w:eastAsiaTheme="minorEastAsia"/>
                <w:color w:val="auto"/>
                <w:sz w:val="21"/>
                <w:szCs w:val="21"/>
                <w:highlight w:val="none"/>
              </w:rPr>
              <w:t>开户名</w:t>
            </w:r>
            <w:r>
              <w:rPr>
                <w:rFonts w:hint="eastAsia" w:cs="宋体" w:asciiTheme="minorEastAsia" w:hAnsiTheme="minorEastAsia" w:eastAsiaTheme="minorEastAsia"/>
                <w:snapToGrid w:val="0"/>
                <w:color w:val="auto"/>
                <w:sz w:val="21"/>
                <w:szCs w:val="21"/>
                <w:highlight w:val="none"/>
                <w:lang w:val="en-US" w:eastAsia="zh-CN" w:bidi="ar-SA"/>
              </w:rPr>
              <w:t>称：嵊州市公共资源交易中心</w:t>
            </w:r>
          </w:p>
          <w:p>
            <w:pPr>
              <w:pStyle w:val="29"/>
              <w:snapToGrid w:val="0"/>
              <w:spacing w:line="364" w:lineRule="exact"/>
              <w:ind w:left="210" w:leftChars="100" w:firstLine="6" w:firstLineChars="3"/>
              <w:jc w:val="both"/>
              <w:rPr>
                <w:rFonts w:hint="eastAsia" w:cs="宋体" w:asciiTheme="minorEastAsia" w:hAnsiTheme="minorEastAsia" w:eastAsiaTheme="minorEastAsia"/>
                <w:snapToGrid w:val="0"/>
                <w:color w:val="auto"/>
                <w:sz w:val="21"/>
                <w:szCs w:val="21"/>
                <w:highlight w:val="none"/>
                <w:lang w:val="en-US" w:eastAsia="zh-CN" w:bidi="ar-SA"/>
              </w:rPr>
            </w:pPr>
            <w:r>
              <w:rPr>
                <w:rFonts w:hint="eastAsia" w:cs="宋体" w:asciiTheme="minorEastAsia" w:hAnsiTheme="minorEastAsia" w:eastAsiaTheme="minorEastAsia"/>
                <w:snapToGrid w:val="0"/>
                <w:color w:val="auto"/>
                <w:sz w:val="21"/>
                <w:szCs w:val="21"/>
                <w:highlight w:val="none"/>
                <w:lang w:val="en-US" w:eastAsia="zh-CN" w:bidi="ar-SA"/>
              </w:rPr>
              <w:t>开户银行（1）：浙江嵊州农村商业银行股份有限公司</w:t>
            </w:r>
          </w:p>
          <w:p>
            <w:pPr>
              <w:pStyle w:val="29"/>
              <w:snapToGrid w:val="0"/>
              <w:spacing w:line="364" w:lineRule="exact"/>
              <w:ind w:left="210" w:leftChars="100" w:firstLine="6" w:firstLineChars="3"/>
              <w:jc w:val="both"/>
              <w:rPr>
                <w:rFonts w:hint="eastAsia" w:cs="宋体" w:asciiTheme="minorEastAsia" w:hAnsiTheme="minorEastAsia" w:eastAsiaTheme="minorEastAsia"/>
                <w:snapToGrid w:val="0"/>
                <w:color w:val="auto"/>
                <w:sz w:val="21"/>
                <w:szCs w:val="21"/>
                <w:highlight w:val="none"/>
                <w:lang w:val="en-US" w:eastAsia="zh-CN" w:bidi="ar-SA"/>
              </w:rPr>
            </w:pPr>
            <w:r>
              <w:rPr>
                <w:rFonts w:hint="eastAsia" w:cs="宋体" w:asciiTheme="minorEastAsia" w:hAnsiTheme="minorEastAsia" w:eastAsiaTheme="minorEastAsia"/>
                <w:snapToGrid w:val="0"/>
                <w:color w:val="auto"/>
                <w:sz w:val="21"/>
                <w:szCs w:val="21"/>
                <w:highlight w:val="none"/>
                <w:lang w:val="en-US" w:eastAsia="zh-CN" w:bidi="ar-SA"/>
              </w:rPr>
              <w:t>账 号：201000112849317001797</w:t>
            </w:r>
          </w:p>
          <w:p>
            <w:pPr>
              <w:pStyle w:val="29"/>
              <w:snapToGrid w:val="0"/>
              <w:spacing w:line="364" w:lineRule="exact"/>
              <w:ind w:left="210" w:leftChars="100" w:firstLine="6" w:firstLineChars="3"/>
              <w:jc w:val="both"/>
              <w:rPr>
                <w:rFonts w:hint="eastAsia" w:cs="宋体" w:asciiTheme="minorEastAsia" w:hAnsiTheme="minorEastAsia" w:eastAsiaTheme="minorEastAsia"/>
                <w:snapToGrid w:val="0"/>
                <w:color w:val="auto"/>
                <w:sz w:val="21"/>
                <w:szCs w:val="21"/>
                <w:highlight w:val="none"/>
                <w:lang w:val="en-US" w:eastAsia="zh-CN" w:bidi="ar-SA"/>
              </w:rPr>
            </w:pPr>
            <w:r>
              <w:rPr>
                <w:rFonts w:hint="eastAsia" w:cs="宋体" w:asciiTheme="minorEastAsia" w:hAnsiTheme="minorEastAsia" w:eastAsiaTheme="minorEastAsia"/>
                <w:snapToGrid w:val="0"/>
                <w:color w:val="auto"/>
                <w:sz w:val="21"/>
                <w:szCs w:val="21"/>
                <w:highlight w:val="none"/>
                <w:lang w:val="en-US" w:eastAsia="zh-CN" w:bidi="ar-SA"/>
              </w:rPr>
              <w:t>开户银行（2）：绍兴银行股份有限公司嵊州支行</w:t>
            </w:r>
          </w:p>
          <w:p>
            <w:pPr>
              <w:pStyle w:val="29"/>
              <w:snapToGrid w:val="0"/>
              <w:spacing w:line="364" w:lineRule="exact"/>
              <w:ind w:left="210" w:leftChars="100" w:firstLine="6" w:firstLineChars="3"/>
              <w:jc w:val="both"/>
              <w:rPr>
                <w:rFonts w:hint="eastAsia" w:cs="宋体" w:asciiTheme="minorEastAsia" w:hAnsiTheme="minorEastAsia" w:eastAsiaTheme="minorEastAsia"/>
                <w:snapToGrid w:val="0"/>
                <w:color w:val="auto"/>
                <w:sz w:val="21"/>
                <w:szCs w:val="21"/>
                <w:highlight w:val="none"/>
                <w:lang w:val="en-US" w:eastAsia="zh-CN" w:bidi="ar-SA"/>
              </w:rPr>
            </w:pPr>
            <w:r>
              <w:rPr>
                <w:rFonts w:hint="eastAsia" w:cs="宋体" w:asciiTheme="minorEastAsia" w:hAnsiTheme="minorEastAsia" w:eastAsiaTheme="minorEastAsia"/>
                <w:snapToGrid w:val="0"/>
                <w:color w:val="auto"/>
                <w:sz w:val="21"/>
                <w:szCs w:val="21"/>
                <w:highlight w:val="none"/>
                <w:lang w:val="en-US" w:eastAsia="zh-CN" w:bidi="ar-SA"/>
              </w:rPr>
              <w:t>账 号：6224861565799116876</w:t>
            </w:r>
          </w:p>
          <w:p>
            <w:pPr>
              <w:pStyle w:val="29"/>
              <w:snapToGrid w:val="0"/>
              <w:spacing w:line="364" w:lineRule="exact"/>
              <w:ind w:left="210" w:leftChars="100" w:firstLine="6" w:firstLineChars="3"/>
              <w:jc w:val="both"/>
              <w:rPr>
                <w:rFonts w:hint="eastAsia" w:cs="宋体" w:asciiTheme="minorEastAsia" w:hAnsiTheme="minorEastAsia" w:eastAsiaTheme="minorEastAsia"/>
                <w:snapToGrid w:val="0"/>
                <w:color w:val="auto"/>
                <w:sz w:val="21"/>
                <w:szCs w:val="21"/>
                <w:highlight w:val="none"/>
                <w:lang w:val="en-US" w:eastAsia="zh-CN" w:bidi="ar-SA"/>
              </w:rPr>
            </w:pPr>
            <w:r>
              <w:rPr>
                <w:rFonts w:hint="eastAsia" w:cs="宋体" w:asciiTheme="minorEastAsia" w:hAnsiTheme="minorEastAsia" w:eastAsiaTheme="minorEastAsia"/>
                <w:snapToGrid w:val="0"/>
                <w:color w:val="auto"/>
                <w:sz w:val="21"/>
                <w:szCs w:val="21"/>
                <w:highlight w:val="none"/>
                <w:lang w:val="en-US" w:eastAsia="zh-CN" w:bidi="ar-SA"/>
              </w:rPr>
              <w:t>开户银行（3）：中国工商银行嵊州东城支行</w:t>
            </w:r>
          </w:p>
          <w:p>
            <w:pPr>
              <w:pStyle w:val="29"/>
              <w:snapToGrid w:val="0"/>
              <w:spacing w:line="364" w:lineRule="exact"/>
              <w:ind w:left="210" w:leftChars="100" w:firstLine="6" w:firstLineChars="3"/>
              <w:jc w:val="both"/>
              <w:rPr>
                <w:rFonts w:hint="eastAsia" w:cs="宋体" w:asciiTheme="minorEastAsia" w:hAnsiTheme="minorEastAsia" w:eastAsiaTheme="minorEastAsia"/>
                <w:snapToGrid w:val="0"/>
                <w:color w:val="auto"/>
                <w:sz w:val="21"/>
                <w:szCs w:val="21"/>
                <w:highlight w:val="none"/>
                <w:lang w:val="en-US" w:eastAsia="zh-CN" w:bidi="ar-SA"/>
              </w:rPr>
            </w:pPr>
            <w:r>
              <w:rPr>
                <w:rFonts w:hint="eastAsia" w:cs="宋体" w:asciiTheme="minorEastAsia" w:hAnsiTheme="minorEastAsia" w:eastAsiaTheme="minorEastAsia"/>
                <w:snapToGrid w:val="0"/>
                <w:color w:val="auto"/>
                <w:sz w:val="21"/>
                <w:szCs w:val="21"/>
                <w:highlight w:val="none"/>
                <w:lang w:val="en-US" w:eastAsia="zh-CN" w:bidi="ar-SA"/>
              </w:rPr>
              <w:t>账 号：9558851211002421569</w:t>
            </w:r>
          </w:p>
          <w:p>
            <w:pPr>
              <w:pStyle w:val="29"/>
              <w:snapToGrid w:val="0"/>
              <w:spacing w:line="364" w:lineRule="exact"/>
              <w:ind w:left="210" w:leftChars="100" w:firstLine="6" w:firstLineChars="3"/>
              <w:jc w:val="both"/>
              <w:rPr>
                <w:rFonts w:hint="eastAsia" w:cs="宋体" w:asciiTheme="minorEastAsia" w:hAnsiTheme="minorEastAsia" w:eastAsiaTheme="minorEastAsia"/>
                <w:snapToGrid w:val="0"/>
                <w:color w:val="auto"/>
                <w:sz w:val="21"/>
                <w:szCs w:val="21"/>
                <w:highlight w:val="none"/>
                <w:lang w:val="en-US" w:eastAsia="zh-CN" w:bidi="ar-SA"/>
              </w:rPr>
            </w:pPr>
            <w:r>
              <w:rPr>
                <w:rFonts w:hint="eastAsia" w:cs="宋体" w:asciiTheme="minorEastAsia" w:hAnsiTheme="minorEastAsia" w:eastAsiaTheme="minorEastAsia"/>
                <w:snapToGrid w:val="0"/>
                <w:color w:val="auto"/>
                <w:sz w:val="21"/>
                <w:szCs w:val="21"/>
                <w:highlight w:val="none"/>
                <w:lang w:val="en-US" w:eastAsia="zh-CN" w:bidi="ar-SA"/>
              </w:rPr>
              <w:t>开户银行（4）：中国建设银行股份有限公司嵊州支行营业部</w:t>
            </w:r>
          </w:p>
          <w:p>
            <w:pPr>
              <w:pStyle w:val="29"/>
              <w:snapToGrid w:val="0"/>
              <w:spacing w:line="364" w:lineRule="exact"/>
              <w:ind w:left="210" w:leftChars="100" w:firstLine="6" w:firstLineChars="3"/>
              <w:jc w:val="both"/>
              <w:rPr>
                <w:rFonts w:hint="eastAsia" w:cs="宋体" w:asciiTheme="minorEastAsia" w:hAnsiTheme="minorEastAsia" w:eastAsiaTheme="minorEastAsia"/>
                <w:snapToGrid w:val="0"/>
                <w:color w:val="auto"/>
                <w:sz w:val="21"/>
                <w:szCs w:val="21"/>
                <w:highlight w:val="none"/>
                <w:lang w:val="en-US" w:eastAsia="zh-CN" w:bidi="ar-SA"/>
              </w:rPr>
            </w:pPr>
            <w:r>
              <w:rPr>
                <w:rFonts w:hint="eastAsia" w:cs="宋体" w:asciiTheme="minorEastAsia" w:hAnsiTheme="minorEastAsia" w:eastAsiaTheme="minorEastAsia"/>
                <w:snapToGrid w:val="0"/>
                <w:color w:val="auto"/>
                <w:sz w:val="21"/>
                <w:szCs w:val="21"/>
                <w:highlight w:val="none"/>
                <w:lang w:val="en-US" w:eastAsia="zh-CN" w:bidi="ar-SA"/>
              </w:rPr>
              <w:t>账 号：6232811450000130491</w:t>
            </w:r>
          </w:p>
          <w:p>
            <w:pPr>
              <w:spacing w:before="10" w:after="10" w:line="364" w:lineRule="exact"/>
              <w:ind w:right="42" w:rightChars="20"/>
              <w:jc w:val="both"/>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投标人在可供选择的开户银行自行选择缴纳。</w:t>
            </w:r>
          </w:p>
          <w:p>
            <w:pPr>
              <w:spacing w:before="10" w:after="10" w:line="364" w:lineRule="exact"/>
              <w:ind w:right="42" w:rightChars="20"/>
              <w:jc w:val="both"/>
              <w:rPr>
                <w:rFonts w:cs="宋体" w:asciiTheme="minorEastAsia" w:hAnsiTheme="minorEastAsia" w:eastAsiaTheme="minorEastAsia"/>
                <w:color w:val="auto"/>
                <w:highlight w:val="none"/>
              </w:rPr>
            </w:pPr>
            <w:r>
              <w:rPr>
                <w:rFonts w:hint="eastAsia" w:asciiTheme="minorEastAsia" w:hAnsiTheme="minorEastAsia" w:eastAsiaTheme="minorEastAsia" w:cstheme="minorEastAsia"/>
                <w:color w:val="auto"/>
                <w:highlight w:val="none"/>
              </w:rPr>
              <w:t>投标保证金的有效期：同投标有效期。</w:t>
            </w:r>
          </w:p>
          <w:p>
            <w:pPr>
              <w:spacing w:before="10" w:after="10" w:line="364" w:lineRule="exact"/>
              <w:ind w:right="42" w:rightChars="20"/>
              <w:jc w:val="both"/>
              <w:rPr>
                <w:rFonts w:asciiTheme="minorEastAsia" w:hAnsiTheme="minorEastAsia" w:eastAsiaTheme="minorEastAsia" w:cstheme="minorEastAsia"/>
                <w:color w:val="auto"/>
                <w:highlight w:val="none"/>
              </w:rPr>
            </w:pPr>
            <w:r>
              <w:rPr>
                <w:rFonts w:hint="eastAsia" w:ascii="Calibri" w:hAnsi="Calibri"/>
                <w:color w:val="auto"/>
                <w:kern w:val="2"/>
                <w:sz w:val="21"/>
                <w:szCs w:val="21"/>
                <w:highlight w:val="none"/>
              </w:rPr>
              <w:t>备</w:t>
            </w:r>
            <w:r>
              <w:rPr>
                <w:rFonts w:hint="eastAsia" w:ascii="宋体" w:hAnsi="宋体" w:eastAsia="宋体" w:cs="宋体"/>
                <w:color w:val="auto"/>
                <w:sz w:val="21"/>
                <w:szCs w:val="21"/>
                <w:highlight w:val="none"/>
              </w:rPr>
              <w:t>注：重新招标项目，参与投标的投标人仍需按上述规定要求重新递交投标保证金。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3.4.4</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不予退还投标保证金的情形</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1.投标人在规定的投标有效期内撤销或修改其投标文件。</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2.中标人在收到中标通知书后，无正当理由拒签合同协议书或未按招标文件规定提交履约担保。</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3.经查实，投标人在投标过程中存在串通投标或弄虚作假行为的。</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4. </w:t>
            </w:r>
            <w:r>
              <w:rPr>
                <w:rFonts w:hint="eastAsia" w:hAnsi="MS Gothic" w:eastAsia="MS Gothic" w:cs="MS Gothic" w:asciiTheme="minorEastAsia"/>
                <w:color w:val="auto"/>
                <w:highlight w:val="none"/>
              </w:rPr>
              <w:t>☑</w:t>
            </w:r>
            <w:r>
              <w:rPr>
                <w:rFonts w:hint="eastAsia" w:asciiTheme="minorEastAsia" w:hAnsiTheme="minorEastAsia" w:eastAsiaTheme="minorEastAsia" w:cstheme="minorEastAsia"/>
                <w:color w:val="auto"/>
                <w:highlight w:val="none"/>
              </w:rPr>
              <w:t>拟派项目负责人在投标截止时间有在其他在建合同工程上担任项目负责人（包括工程总承包项目中的施工负责人）的情形。</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5.其他：</w:t>
            </w:r>
            <w:r>
              <w:rPr>
                <w:rFonts w:hint="eastAsia" w:asciiTheme="minorEastAsia" w:hAnsiTheme="minorEastAsia" w:eastAsiaTheme="minorEastAsia" w:cstheme="minorEastAsia"/>
                <w:color w:val="auto"/>
                <w:highlight w:val="none"/>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3.5.2</w:t>
            </w:r>
          </w:p>
        </w:tc>
        <w:tc>
          <w:tcPr>
            <w:tcW w:w="2107" w:type="dxa"/>
            <w:vAlign w:val="center"/>
          </w:tcPr>
          <w:p>
            <w:pPr>
              <w:spacing w:line="364" w:lineRule="exact"/>
              <w:ind w:left="63" w:leftChars="30" w:right="63" w:rightChars="30"/>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近年财务状况</w:t>
            </w:r>
          </w:p>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的年份要求</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3.5.3</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近年完成的类似</w:t>
            </w:r>
          </w:p>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项目情况的年份要求</w:t>
            </w:r>
          </w:p>
        </w:tc>
        <w:tc>
          <w:tcPr>
            <w:tcW w:w="6538" w:type="dxa"/>
            <w:vAlign w:val="center"/>
          </w:tcPr>
          <w:p>
            <w:pPr>
              <w:spacing w:before="10" w:after="10" w:line="364"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3.5.5</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近年发生的诉讼及仲裁情况的年份要求</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3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202</w:t>
            </w:r>
            <w:r>
              <w:rPr>
                <w:rFonts w:hint="eastAsia" w:asciiTheme="minorEastAsia" w:hAnsiTheme="minorEastAsia" w:eastAsiaTheme="minorEastAsia" w:cstheme="minorEastAsia"/>
                <w:color w:val="auto"/>
                <w:highlight w:val="none"/>
                <w:u w:val="single"/>
                <w:lang w:val="en-US" w:eastAsia="zh-CN"/>
              </w:rPr>
              <w:t>1</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0</w:t>
            </w:r>
            <w:r>
              <w:rPr>
                <w:rFonts w:hint="eastAsia" w:asciiTheme="minorEastAsia" w:hAnsiTheme="minorEastAsia" w:eastAsiaTheme="minorEastAsia" w:cstheme="minorEastAsia"/>
                <w:color w:val="auto"/>
                <w:highlight w:val="none"/>
                <w:u w:val="single"/>
              </w:rPr>
              <w:t xml:space="preserve">1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0</w:t>
            </w:r>
            <w:r>
              <w:rPr>
                <w:rFonts w:hint="eastAsia" w:asciiTheme="minorEastAsia" w:hAnsiTheme="minorEastAsia" w:eastAsiaTheme="minorEastAsia" w:cstheme="minorEastAsia"/>
                <w:color w:val="auto"/>
                <w:highlight w:val="none"/>
                <w:u w:val="single"/>
              </w:rPr>
              <w:t xml:space="preserve">1 </w:t>
            </w:r>
            <w:r>
              <w:rPr>
                <w:rFonts w:hint="eastAsia" w:asciiTheme="minorEastAsia" w:hAnsiTheme="minorEastAsia" w:eastAsiaTheme="minorEastAsia" w:cstheme="minorEastAsia"/>
                <w:color w:val="auto"/>
                <w:highlight w:val="none"/>
              </w:rPr>
              <w:t>日至投标截止时间，如为新成立企业的，从公司成立起）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是否允许递交备选投标方案</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3.7.3</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签字或盖章要求</w:t>
            </w:r>
          </w:p>
        </w:tc>
        <w:tc>
          <w:tcPr>
            <w:tcW w:w="6538" w:type="dxa"/>
          </w:tcPr>
          <w:p>
            <w:pPr>
              <w:tabs>
                <w:tab w:val="left" w:pos="0"/>
              </w:tabs>
              <w:spacing w:line="364" w:lineRule="exact"/>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color w:val="auto"/>
                <w:highlight w:val="none"/>
              </w:rPr>
              <w:t>1.投标文件格式文件要求法定代表人签字或盖章的，应加盖法定代表人个人印章或签字；投标格式文件中要求投标人单位盖章的，应加盖投标人单位印章。联合体投标的，除联合体协议书之外，其余由联合体牵头人加盖单位印章、法定代表人个人印章即可。工程量清单报价表封面</w:t>
            </w:r>
            <w:r>
              <w:rPr>
                <w:rFonts w:hint="eastAsia" w:asciiTheme="minorEastAsia" w:hAnsiTheme="minorEastAsia" w:eastAsiaTheme="minorEastAsia" w:cstheme="minorEastAsia"/>
                <w:b/>
                <w:bCs/>
                <w:color w:val="auto"/>
                <w:highlight w:val="none"/>
              </w:rPr>
              <w:t>由注册一级造价工程师（水利工程）或浙江省二级造价工程师（水利工程）签字并加盖执业专用章。</w:t>
            </w:r>
            <w:r>
              <w:rPr>
                <w:rFonts w:hint="eastAsia" w:asciiTheme="minorEastAsia" w:hAnsiTheme="minorEastAsia" w:eastAsiaTheme="minorEastAsia"/>
                <w:b/>
                <w:bCs/>
                <w:color w:val="auto"/>
                <w:highlight w:val="none"/>
              </w:rPr>
              <w:t>非投标单位水利造价工程师编制时，还需提供有效期内的造价工程师（水利工程）注册证书及委托中介机构编制合同的复印件加盖单位公章。</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3.7.4</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投标文件的份数</w:t>
            </w:r>
          </w:p>
        </w:tc>
        <w:tc>
          <w:tcPr>
            <w:tcW w:w="6538" w:type="dxa"/>
            <w:vAlign w:val="center"/>
          </w:tcPr>
          <w:p>
            <w:pPr>
              <w:spacing w:line="364" w:lineRule="exact"/>
              <w:rPr>
                <w:rFonts w:asciiTheme="minorEastAsia" w:hAnsiTheme="minorEastAsia" w:eastAsiaTheme="minorEastAsia" w:cstheme="minorEastAsia"/>
                <w:color w:val="auto"/>
                <w:highlight w:val="none"/>
              </w:rPr>
            </w:pPr>
            <w:r>
              <w:rPr>
                <w:rFonts w:asciiTheme="minorEastAsia" w:hAnsiTheme="minorEastAsia" w:eastAsiaTheme="minorEastAsia"/>
                <w:color w:val="auto"/>
                <w:highlight w:val="none"/>
              </w:rPr>
              <w:t>正本一份</w:t>
            </w:r>
            <w:r>
              <w:rPr>
                <w:rFonts w:hint="eastAsia" w:asciiTheme="minorEastAsia" w:hAnsiTheme="minorEastAsia" w:eastAsiaTheme="minorEastAsia"/>
                <w:color w:val="auto"/>
                <w:highlight w:val="none"/>
              </w:rPr>
              <w:t>，</w:t>
            </w:r>
            <w:r>
              <w:rPr>
                <w:rFonts w:asciiTheme="minorEastAsia" w:hAnsiTheme="minorEastAsia" w:eastAsiaTheme="minorEastAsia"/>
                <w:color w:val="auto"/>
                <w:highlight w:val="none"/>
              </w:rPr>
              <w:t>副本</w:t>
            </w:r>
            <w:r>
              <w:rPr>
                <w:rFonts w:hint="eastAsia" w:asciiTheme="minorEastAsia" w:hAnsiTheme="minorEastAsia" w:eastAsiaTheme="minorEastAsia"/>
                <w:color w:val="auto"/>
                <w:highlight w:val="none"/>
              </w:rPr>
              <w:t>五</w:t>
            </w:r>
            <w:r>
              <w:rPr>
                <w:rFonts w:asciiTheme="minorEastAsia" w:hAnsiTheme="minorEastAsia" w:eastAsiaTheme="minorEastAsia"/>
                <w:color w:val="auto"/>
                <w:highlight w:val="none"/>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4.1.1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光盘、样品等材料的包装和标记</w:t>
            </w:r>
          </w:p>
        </w:tc>
        <w:tc>
          <w:tcPr>
            <w:tcW w:w="6538" w:type="dxa"/>
            <w:vAlign w:val="center"/>
          </w:tcPr>
          <w:p>
            <w:pPr>
              <w:spacing w:before="10" w:after="10" w:line="364" w:lineRule="exact"/>
              <w:ind w:left="42" w:leftChars="20" w:right="42" w:rightChars="20" w:firstLine="210" w:firstLineChars="100"/>
              <w:jc w:val="both"/>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4.2.2</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递交投标文件</w:t>
            </w:r>
          </w:p>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方式和地点</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4.2.5</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投标文件拒收的情形</w:t>
            </w:r>
          </w:p>
        </w:tc>
        <w:tc>
          <w:tcPr>
            <w:tcW w:w="6538" w:type="dxa"/>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1、投标人不以自己的名义或未按招标文件要求提供投标保证金或提供的投标保证金有缺陷而不能接受的。</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2、未在投标截止时间前递交投标文件等材料的。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开标时间和地点</w:t>
            </w:r>
          </w:p>
        </w:tc>
        <w:tc>
          <w:tcPr>
            <w:tcW w:w="6538" w:type="dxa"/>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一、开标时间：同投标截止时间。</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二、开标地点：</w:t>
            </w:r>
            <w:r>
              <w:rPr>
                <w:rFonts w:hint="eastAsia" w:cs="宋体" w:asciiTheme="minorEastAsia" w:hAnsiTheme="minorEastAsia" w:eastAsiaTheme="minorEastAsia"/>
                <w:color w:val="auto"/>
                <w:highlight w:val="none"/>
              </w:rPr>
              <w:t>嵊州市官河南路699号（嵊州市国际会展中心）北楼三楼二号开标室（嵊州市公共资源交易中心）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5.2</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p>
          <w:p>
            <w:pPr>
              <w:spacing w:line="364" w:lineRule="exact"/>
              <w:ind w:left="63" w:leftChars="30" w:right="63" w:rightChars="30"/>
              <w:jc w:val="center"/>
              <w:rPr>
                <w:rFonts w:asciiTheme="minorEastAsia" w:hAnsiTheme="minorEastAsia" w:eastAsiaTheme="minorEastAsia" w:cstheme="minorEastAsia"/>
                <w:color w:val="auto"/>
                <w:highlight w:val="none"/>
              </w:rPr>
            </w:pPr>
          </w:p>
          <w:p>
            <w:pPr>
              <w:spacing w:line="364" w:lineRule="exact"/>
              <w:ind w:left="63" w:leftChars="30" w:right="63" w:rightChars="30"/>
              <w:jc w:val="center"/>
              <w:rPr>
                <w:rFonts w:asciiTheme="minorEastAsia" w:hAnsiTheme="minorEastAsia" w:eastAsiaTheme="minorEastAsia" w:cstheme="minorEastAsia"/>
                <w:color w:val="auto"/>
                <w:highlight w:val="none"/>
              </w:rPr>
            </w:pPr>
          </w:p>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开标程序</w:t>
            </w:r>
          </w:p>
        </w:tc>
        <w:tc>
          <w:tcPr>
            <w:tcW w:w="6538" w:type="dxa"/>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（一）宣布开始</w:t>
            </w:r>
          </w:p>
          <w:p>
            <w:pPr>
              <w:spacing w:line="364" w:lineRule="exact"/>
              <w:rPr>
                <w:rFonts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 xml:space="preserve">至投标截止时间，招标人宣布开始开标，宣布开标项目名称、招标人代表、交易中心见证代表、监标人等有关人员姓名。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（二）公布投标人数量</w:t>
            </w:r>
          </w:p>
          <w:p>
            <w:pPr>
              <w:spacing w:line="364"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招标人公布投标人数量及投标保证金缴纳情况。若已递交投标文件的单位数量少于3家，招标人公布已递交投标文件单位名称，当场宣布招标失败，结束开标。</w:t>
            </w:r>
          </w:p>
          <w:p>
            <w:pPr>
              <w:spacing w:line="364" w:lineRule="exact"/>
              <w:rPr>
                <w:rFonts w:asciiTheme="minorEastAsia" w:hAnsiTheme="minorEastAsia" w:eastAsiaTheme="minorEastAsia" w:cstheme="minorEastAsia"/>
                <w:color w:val="auto"/>
                <w:highlight w:val="none"/>
              </w:rPr>
            </w:pPr>
            <w:r>
              <w:rPr>
                <w:rFonts w:hint="eastAsia" w:cs="宋体" w:asciiTheme="minorEastAsia" w:hAnsiTheme="minorEastAsia" w:eastAsiaTheme="minorEastAsia"/>
                <w:color w:val="auto"/>
                <w:spacing w:val="3"/>
                <w:highlight w:val="none"/>
              </w:rPr>
              <w:t>（三）</w:t>
            </w:r>
            <w:r>
              <w:rPr>
                <w:rFonts w:cs="宋体" w:asciiTheme="minorEastAsia" w:hAnsiTheme="minorEastAsia" w:eastAsiaTheme="minorEastAsia"/>
                <w:color w:val="auto"/>
                <w:spacing w:val="3"/>
                <w:highlight w:val="none"/>
              </w:rPr>
              <w:t>公布开标结</w:t>
            </w:r>
            <w:r>
              <w:rPr>
                <w:rFonts w:cs="宋体" w:asciiTheme="minorEastAsia" w:hAnsiTheme="minorEastAsia" w:eastAsiaTheme="minorEastAsia"/>
                <w:color w:val="auto"/>
                <w:spacing w:val="1"/>
                <w:highlight w:val="none"/>
              </w:rPr>
              <w:t>果</w:t>
            </w:r>
          </w:p>
          <w:p>
            <w:pPr>
              <w:spacing w:before="10" w:after="10" w:line="364"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公布投标人名称、标段名称、投标报价、质量目标、工期等（投标函报价大小写不一致的，以大写为准）。</w:t>
            </w:r>
          </w:p>
          <w:p>
            <w:pPr>
              <w:spacing w:before="10" w:after="10" w:line="364"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（四）开标结束</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招标人宣布本次开标结束。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5.3</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特殊情况处置</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评标委员会的组建</w:t>
            </w:r>
          </w:p>
        </w:tc>
        <w:tc>
          <w:tcPr>
            <w:tcW w:w="6538" w:type="dxa"/>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评标委员会成员人数：</w:t>
            </w:r>
            <w:r>
              <w:rPr>
                <w:rFonts w:hint="eastAsia" w:asciiTheme="minorEastAsia" w:hAnsiTheme="minorEastAsia" w:eastAsiaTheme="minorEastAsia" w:cstheme="minorEastAsia"/>
                <w:color w:val="auto"/>
                <w:highlight w:val="none"/>
                <w:u w:val="single"/>
              </w:rPr>
              <w:t xml:space="preserve"> 5 </w:t>
            </w:r>
            <w:r>
              <w:rPr>
                <w:rFonts w:hint="eastAsia" w:asciiTheme="minorEastAsia" w:hAnsiTheme="minorEastAsia" w:eastAsiaTheme="minorEastAsia" w:cstheme="minorEastAsia"/>
                <w:color w:val="auto"/>
                <w:highlight w:val="none"/>
              </w:rPr>
              <w:t>人。</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评标委员会成员确定方式：招标人代表</w:t>
            </w:r>
            <w:r>
              <w:rPr>
                <w:rFonts w:hint="eastAsia" w:asciiTheme="minorEastAsia" w:hAnsiTheme="minorEastAsia" w:eastAsiaTheme="minorEastAsia" w:cstheme="minorEastAsia"/>
                <w:color w:val="auto"/>
                <w:highlight w:val="none"/>
                <w:u w:val="single"/>
              </w:rPr>
              <w:t xml:space="preserve"> 0 </w:t>
            </w:r>
            <w:r>
              <w:rPr>
                <w:rFonts w:hint="eastAsia" w:asciiTheme="minorEastAsia" w:hAnsiTheme="minorEastAsia" w:eastAsiaTheme="minorEastAsia" w:cstheme="minorEastAsia"/>
                <w:color w:val="auto"/>
                <w:highlight w:val="none"/>
              </w:rPr>
              <w:t>人，库选技术、经济专家</w:t>
            </w:r>
            <w:r>
              <w:rPr>
                <w:rFonts w:hint="eastAsia" w:asciiTheme="minorEastAsia" w:hAnsiTheme="minorEastAsia" w:eastAsiaTheme="minorEastAsia" w:cstheme="minorEastAsia"/>
                <w:color w:val="auto"/>
                <w:highlight w:val="none"/>
                <w:u w:val="single"/>
              </w:rPr>
              <w:t xml:space="preserve">  5 </w:t>
            </w:r>
            <w:r>
              <w:rPr>
                <w:rFonts w:hint="eastAsia" w:asciiTheme="minorEastAsia" w:hAnsiTheme="minorEastAsia" w:eastAsiaTheme="minorEastAsia" w:cstheme="minorEastAsia"/>
                <w:color w:val="auto"/>
                <w:highlight w:val="none"/>
              </w:rPr>
              <w:t>人；</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保证评标委员会实际参与评标的成员符合5人及以上单数的前提下，如出现1位库选专家不能参与评标的，评标委员会自动取消1名招标人代表；2位库选专家不能参与评标的，不再补抽，由其余人员组成评标委员会进行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6.3</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评标办法与中标候选人推荐</w:t>
            </w:r>
          </w:p>
        </w:tc>
        <w:tc>
          <w:tcPr>
            <w:tcW w:w="6538" w:type="dxa"/>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1.综合评估法</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技术通过制的综合评估法：</w:t>
            </w:r>
            <w:r>
              <w:rPr>
                <w:rFonts w:hint="eastAsia" w:asciiTheme="minorEastAsia" w:hAnsiTheme="minorEastAsia" w:eastAsiaTheme="minorEastAsia" w:cstheme="minorEastAsia"/>
                <w:color w:val="auto"/>
                <w:highlight w:val="none"/>
              </w:rPr>
              <w:sym w:font="Wingdings" w:char="00A8"/>
            </w:r>
            <w:r>
              <w:rPr>
                <w:rFonts w:hint="eastAsia" w:asciiTheme="minorEastAsia" w:hAnsiTheme="minorEastAsia" w:eastAsiaTheme="minorEastAsia" w:cstheme="minorEastAsia"/>
                <w:color w:val="auto"/>
                <w:highlight w:val="none"/>
              </w:rPr>
              <w:t>全评制</w:t>
            </w:r>
          </w:p>
          <w:p>
            <w:pPr>
              <w:spacing w:before="10" w:after="10" w:line="364" w:lineRule="exact"/>
              <w:ind w:left="42" w:leftChars="20" w:right="42" w:rightChars="20" w:firstLine="2520" w:firstLineChars="120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□合理低价</w:t>
            </w:r>
          </w:p>
          <w:p>
            <w:pPr>
              <w:spacing w:before="10" w:after="10" w:line="364" w:lineRule="exact"/>
              <w:ind w:left="42" w:leftChars="20" w:right="42" w:rightChars="20" w:firstLine="2520" w:firstLineChars="120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w:char="00FE"/>
            </w:r>
            <w:r>
              <w:rPr>
                <w:rFonts w:hint="eastAsia" w:asciiTheme="minorEastAsia" w:hAnsiTheme="minorEastAsia" w:eastAsiaTheme="minorEastAsia" w:cstheme="minorEastAsia"/>
                <w:color w:val="auto"/>
                <w:highlight w:val="none"/>
              </w:rPr>
              <w:t>有限数量制</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□技术打分制的综合评估法</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2.口经评审的最低投标价法</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3.评标委员会推荐的中标候选人数量：</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评标委员会推荐</w:t>
            </w:r>
            <w:r>
              <w:rPr>
                <w:rFonts w:hint="eastAsia" w:asciiTheme="minorEastAsia" w:hAnsiTheme="minorEastAsia" w:eastAsiaTheme="minorEastAsia" w:cstheme="minorEastAsia"/>
                <w:color w:val="auto"/>
                <w:highlight w:val="none"/>
                <w:u w:val="single"/>
              </w:rPr>
              <w:t xml:space="preserve"> 1 </w:t>
            </w:r>
            <w:r>
              <w:rPr>
                <w:rFonts w:hint="eastAsia" w:asciiTheme="minorEastAsia" w:hAnsiTheme="minorEastAsia" w:eastAsiaTheme="minorEastAsia" w:cstheme="minorEastAsia"/>
                <w:color w:val="auto"/>
                <w:highlight w:val="none"/>
              </w:rPr>
              <w:t>名中标候选人。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6.4</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中标候选人公示媒介</w:t>
            </w:r>
          </w:p>
        </w:tc>
        <w:tc>
          <w:tcPr>
            <w:tcW w:w="6538" w:type="dxa"/>
          </w:tcPr>
          <w:p>
            <w:pPr>
              <w:spacing w:before="10" w:after="10" w:line="364" w:lineRule="exact"/>
              <w:ind w:left="42" w:leftChars="20" w:right="42" w:rightChars="20"/>
              <w:jc w:val="both"/>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嵊州市人民政府门户网站公共资源交易平台</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公示期限：</w:t>
            </w:r>
            <w:r>
              <w:rPr>
                <w:rFonts w:hint="eastAsia" w:asciiTheme="minorEastAsia" w:hAnsiTheme="minorEastAsia" w:eastAsiaTheme="minorEastAsia" w:cstheme="minorEastAsia"/>
                <w:color w:val="auto"/>
                <w:highlight w:val="none"/>
                <w:u w:val="single"/>
              </w:rPr>
              <w:t xml:space="preserve"> 3 </w:t>
            </w:r>
            <w:r>
              <w:rPr>
                <w:rFonts w:hint="eastAsia" w:asciiTheme="minorEastAsia" w:hAnsiTheme="minorEastAsia" w:eastAsiaTheme="minorEastAsia" w:cstheme="minorEastAsia"/>
                <w:color w:val="auto"/>
                <w:highlight w:val="none"/>
              </w:rPr>
              <w:t>日。如遇国家法定休假日，应顺延至法定休假日后第一个工作日。</w:t>
            </w:r>
          </w:p>
          <w:p>
            <w:pPr>
              <w:spacing w:before="10" w:after="10" w:line="364" w:lineRule="exact"/>
              <w:ind w:left="42" w:leftChars="20" w:right="42" w:rightChars="20"/>
              <w:jc w:val="both"/>
              <w:rPr>
                <w:rFonts w:asciiTheme="minorEastAsia" w:hAnsiTheme="minorEastAsia" w:eastAsiaTheme="minorEastAsia"/>
                <w:color w:val="auto"/>
                <w:highlight w:val="none"/>
              </w:rPr>
            </w:pPr>
            <w:r>
              <w:rPr>
                <w:rFonts w:hint="eastAsia" w:asciiTheme="minorEastAsia" w:hAnsiTheme="minorEastAsia" w:eastAsiaTheme="minorEastAsia" w:cstheme="minorEastAsia"/>
                <w:color w:val="auto"/>
                <w:highlight w:val="none"/>
              </w:rPr>
              <w:t>注：项目有业绩要求的应公示中标候选人业绩。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是否授权评标</w:t>
            </w:r>
          </w:p>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委员会确定中标人</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7.3.1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履约担保及民工工资支付担保</w:t>
            </w:r>
          </w:p>
        </w:tc>
        <w:tc>
          <w:tcPr>
            <w:tcW w:w="6538" w:type="dxa"/>
          </w:tcPr>
          <w:p>
            <w:pPr>
              <w:spacing w:line="364"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履约担保的形式：保证金；</w:t>
            </w:r>
          </w:p>
          <w:p>
            <w:pPr>
              <w:spacing w:line="364"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履约担保的金额：中标合同金额的2%；</w:t>
            </w:r>
          </w:p>
          <w:p>
            <w:pPr>
              <w:spacing w:line="364"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履约保证金支付时间：</w:t>
            </w:r>
            <w:r>
              <w:rPr>
                <w:rFonts w:hint="eastAsia" w:asciiTheme="minorEastAsia" w:hAnsiTheme="minorEastAsia" w:eastAsiaTheme="minorEastAsia"/>
                <w:color w:val="auto"/>
                <w:highlight w:val="none"/>
              </w:rPr>
              <w:t>中标人应在中标候选人公示结束之日起5个工作日内向招标人交付履约保证金，否则，视为中标人放弃中标</w:t>
            </w:r>
            <w:r>
              <w:rPr>
                <w:rFonts w:hint="eastAsia" w:cs="宋体" w:asciiTheme="minorEastAsia" w:hAnsiTheme="minorEastAsia" w:eastAsiaTheme="minorEastAsia"/>
                <w:color w:val="auto"/>
                <w:highlight w:val="none"/>
              </w:rPr>
              <w:t>。</w:t>
            </w:r>
          </w:p>
          <w:p>
            <w:pPr>
              <w:spacing w:line="364"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履约保证金支付方式：保函、网上银行、电汇、汇票或</w:t>
            </w:r>
            <w:r>
              <w:rPr>
                <w:rFonts w:hint="eastAsia" w:cs="宋体" w:asciiTheme="minorEastAsia" w:hAnsiTheme="minorEastAsia" w:eastAsiaTheme="minorEastAsia"/>
                <w:color w:val="auto"/>
                <w:highlight w:val="none"/>
                <w:lang w:eastAsia="zh-CN"/>
              </w:rPr>
              <w:t>转账</w:t>
            </w:r>
            <w:r>
              <w:rPr>
                <w:rFonts w:hint="eastAsia" w:cs="宋体" w:asciiTheme="minorEastAsia" w:hAnsiTheme="minorEastAsia" w:eastAsiaTheme="minorEastAsia"/>
                <w:color w:val="auto"/>
                <w:highlight w:val="none"/>
              </w:rPr>
              <w:t>形式。（保函有效期必须在本项目约定完工日期之日起 30 个工作日后）</w:t>
            </w:r>
          </w:p>
          <w:p>
            <w:pPr>
              <w:spacing w:before="10" w:after="10" w:line="364" w:lineRule="exact"/>
              <w:ind w:right="42" w:rightChars="20"/>
              <w:jc w:val="both"/>
              <w:rPr>
                <w:rFonts w:asciiTheme="minorEastAsia" w:hAnsiTheme="minorEastAsia" w:eastAsiaTheme="minorEastAsia" w:cstheme="minorEastAsia"/>
                <w:color w:val="auto"/>
                <w:highlight w:val="none"/>
              </w:rPr>
            </w:pPr>
            <w:r>
              <w:rPr>
                <w:rFonts w:hint="eastAsia" w:cs="宋体" w:asciiTheme="minorEastAsia" w:hAnsiTheme="minorEastAsia" w:eastAsiaTheme="minorEastAsia"/>
                <w:color w:val="auto"/>
                <w:highlight w:val="none"/>
              </w:rPr>
              <w:t>履约保证金的退还：</w:t>
            </w:r>
            <w:r>
              <w:rPr>
                <w:rFonts w:hint="eastAsia" w:cs="宋体" w:asciiTheme="minorEastAsia" w:hAnsiTheme="minorEastAsia" w:eastAsiaTheme="minorEastAsia"/>
                <w:bCs/>
                <w:color w:val="auto"/>
                <w:highlight w:val="none"/>
              </w:rPr>
              <w:t>工程验收合格后十日内退还（无息）</w:t>
            </w:r>
            <w:r>
              <w:rPr>
                <w:rFonts w:hint="eastAsia" w:cs="宋体" w:asciiTheme="minorEastAsia" w:hAnsiTheme="minorEastAsia" w:eastAsiaTheme="minorEastAsia"/>
                <w:color w:val="auto"/>
                <w:highlight w:val="none"/>
              </w:rPr>
              <w:t>。</w:t>
            </w:r>
          </w:p>
          <w:p>
            <w:pPr>
              <w:pStyle w:val="3"/>
              <w:spacing w:line="364" w:lineRule="exact"/>
              <w:rPr>
                <w:rFonts w:asciiTheme="minorEastAsia" w:hAnsiTheme="minorEastAsia" w:eastAsiaTheme="minorEastAsia" w:cstheme="minorEastAsia"/>
                <w:color w:val="auto"/>
                <w:highlight w:val="none"/>
              </w:rPr>
            </w:pPr>
            <w:r>
              <w:rPr>
                <w:rFonts w:hint="eastAsia" w:cs="宋体" w:asciiTheme="minorEastAsia" w:hAnsiTheme="minorEastAsia" w:eastAsiaTheme="minorEastAsia"/>
                <w:b w:val="0"/>
                <w:color w:val="auto"/>
                <w:sz w:val="21"/>
                <w:szCs w:val="21"/>
                <w:highlight w:val="none"/>
              </w:rPr>
              <w:t>民工工资支付担保的相关约定：农</w:t>
            </w:r>
            <w:r>
              <w:rPr>
                <w:rFonts w:hint="eastAsia" w:cs="Times New Roman" w:asciiTheme="minorEastAsia" w:hAnsiTheme="minorEastAsia" w:eastAsiaTheme="minorEastAsia"/>
                <w:b w:val="0"/>
                <w:color w:val="auto"/>
                <w:kern w:val="2"/>
                <w:sz w:val="21"/>
                <w:szCs w:val="21"/>
                <w:highlight w:val="none"/>
              </w:rPr>
              <w:t>民工工资支付保证金缴纳按嵊州市根治欠薪工作领导小组办公室关于印发《工程建设领域农民工工资保证金管理工作规范》的通知“嵊根欠办发【2022】6号”文件执行。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对投标人的纪律要求</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1.下列行为均属以他人名义投标：</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（1）投标人挂靠其他施工单位。</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（2）投标人从其他施工单位通过受让或租借的方式获取资格或资质证书。</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（3）由其他单位及法定代表人在自己编制的投标文件上加盖印章或签字的行为。</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2.下列行为，视为允许他人以本单位名义承揽工程：</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（1）投标人的法定代表人的委托代理人不是投标人本单位人员。</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（2）投标人拟在施工现场所设项目管理机构的项目负责人、技术负责人、专职安全生产管理人员、施工员、质检员、安全员不是本单位人员。</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投标人本单位人员，必须同时满足以下条件：</w:t>
            </w:r>
          </w:p>
          <w:p>
            <w:pPr>
              <w:spacing w:before="10" w:after="10" w:line="364" w:lineRule="exact"/>
              <w:ind w:left="42" w:leftChars="20" w:right="42" w:rightChars="20"/>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1）劳动合同必须由投标人单位与其签订</w:t>
            </w:r>
            <w:r>
              <w:rPr>
                <w:rFonts w:hint="eastAsia" w:asciiTheme="minorEastAsia" w:hAnsiTheme="minorEastAsia" w:eastAsiaTheme="minorEastAsia" w:cstheme="minorEastAsia"/>
                <w:color w:val="auto"/>
                <w:highlight w:val="none"/>
                <w:lang w:eastAsia="zh-CN"/>
              </w:rPr>
              <w:t>。</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2）与投标人单位有合法的工资关系。</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3）投标人单位为其办理社会保险关系，或具有其他有效证明其为本单位人员身份的文件。</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3.下列行为均属于投标人相互串通投标：</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（1）投标人之间协商投标报价等投标文件的实质性内容。</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（2）投标人之间约定中标人。</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（3）投标人之间约定部分投标人放弃投标或者中标。</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（4）属于同一集团、协会、商会等组织成员的投标人按照该组织要求协同投标。</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（5）投标人之间为谋取中标或者排斥特定投标人而采取的其他联合行动。</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rPr>
              <w:t>4.下列行为均视为投标人相互串通投标：</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（1）不同投标人的投标文件由同一单位或者个人编制。电子招投标过程中不同投标人的投标文件制作机器码一致或文件创建标识码相同的。</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（2）不同投标人委托同一单位或者个人办理投标事宜。电子招投标过程中不同投标人从同一投标单位或同一自然人的</w:t>
            </w:r>
            <w:r>
              <w:rPr>
                <w:rFonts w:asciiTheme="minorEastAsia" w:hAnsiTheme="minorEastAsia" w:eastAsiaTheme="minorEastAsia" w:cstheme="minorEastAsia"/>
                <w:color w:val="auto"/>
                <w:highlight w:val="none"/>
              </w:rPr>
              <w:t>IP</w:t>
            </w:r>
            <w:r>
              <w:rPr>
                <w:rFonts w:hint="eastAsia" w:asciiTheme="minorEastAsia" w:hAnsiTheme="minorEastAsia" w:eastAsiaTheme="minorEastAsia" w:cstheme="minorEastAsia"/>
                <w:color w:val="auto"/>
                <w:highlight w:val="none"/>
              </w:rPr>
              <w:t>地址下载招标文件、上传投标文件、购买电子保函或参加投标活动的人员为同一标段其他投标人的在职人员的。</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（3）不同投标人的投标文件载明的项目管理成员为同一人。</w:t>
            </w:r>
          </w:p>
          <w:p>
            <w:pPr>
              <w:spacing w:before="10" w:after="10" w:line="364" w:lineRule="exact"/>
              <w:ind w:left="42" w:leftChars="20" w:right="42" w:rightChars="20"/>
              <w:jc w:val="both"/>
              <w:rPr>
                <w:rFonts w:asciiTheme="minorEastAsia" w:hAnsiTheme="minorEastAsia" w:eastAsiaTheme="minorEastAsia" w:cstheme="minorEastAsia"/>
                <w:color w:val="auto"/>
                <w:spacing w:val="-6"/>
                <w:highlight w:val="none"/>
              </w:rPr>
            </w:pP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spacing w:val="-6"/>
                <w:highlight w:val="none"/>
              </w:rPr>
              <w:t>不同投标人的投标文件异常一致或者投标报价呈规律性差异。</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（5）不同投标人的投标文件相互混装。</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（6）不同投标人的投标保证金从同一单位或者个人的账户转出。</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5.下列行为均属于投标人弄虚作假的行为；</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（1）使用伪造、变造的许可证件。</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（2）提供虚假的财务状况或者业绩。</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（3）提供虚假的项目负责人或者主要技术人员简历、劳动关系证明。</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（4）提供虚假的信用状况。</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（5）其他弄虚作假的行为。</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6.投标人出现上述情形之一的，评标委员会应否决其投标。评标结束后，招标人将有串标嫌疑的投标文件送有关部门进行后续调查，即使最终无法认定串通投标行为成立，也不影响其按无效标处理的结果。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9.5</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异议与投诉</w:t>
            </w:r>
          </w:p>
        </w:tc>
        <w:tc>
          <w:tcPr>
            <w:tcW w:w="6538" w:type="dxa"/>
          </w:tcPr>
          <w:p>
            <w:pPr>
              <w:spacing w:before="10" w:after="10" w:line="364"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1.异议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（一）潜在投标人或者其他利害关系人对招标文件有异议的，应当在投标截止时间10日前以书面形式向招标人提出。招标人应在收到异议之日起3日内作出书面答复；作出答复前，暂停招标投标活动。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（二）投标人认为开标不符合有关规定的，应当在开标现场向招标人提出异议。招标人将当场对异议给予处理或者告知处理的办法。异议和答复应记入开标记录或者制作专门记录以存档备查。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（三）投标人及其他利害关系人对评标结果有异议的，应当在中标候选人公示期内以书面形式向招标人提出。招标人应在收到异议之日起3日内作出书面答复；作出答复前，暂停招标投标活动。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（四）对招标文件、开标结果和评标结果的异议，提出和答复均应通过书面形式。 </w:t>
            </w:r>
          </w:p>
          <w:p>
            <w:pPr>
              <w:spacing w:before="10" w:after="10" w:line="364"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2 .投诉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投标人或者其他利害关系人认为招标投标活动不符合法律、行政法规和招标文件规定的，可以自知道或者应当知道之日起10日内向有关行政监督部门投诉。投诉应当有明确的请求和必要的证明资料，具体要求应符合《工程建设项目招标投标活动投诉处理办法》（国家发改委等七部委2004年第11号令）规定。就招标文件、开标和评标结果投诉的，应当先向招标人提出异议，异议答复期不计算在前款规定的期限内。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3.上述时限最后一日如遇国家法定休假日的，顺延至法定休假日后的第一个工作日。 </w:t>
            </w:r>
          </w:p>
          <w:p>
            <w:pPr>
              <w:spacing w:before="10" w:after="10" w:line="364"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前款所提的“应当知道”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期的起始时间为准（招标人发起的投诉除外）。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投诉受理机构：嵊州市水利水电局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电话：0575-83799275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8645" w:type="dxa"/>
            <w:gridSpan w:val="2"/>
            <w:vAlign w:val="center"/>
          </w:tcPr>
          <w:p>
            <w:pPr>
              <w:spacing w:before="10" w:after="10" w:line="364" w:lineRule="exact"/>
              <w:ind w:left="42" w:leftChars="20" w:right="42" w:rightChars="2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10.1</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类似项目</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10.2</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投标文件的</w:t>
            </w:r>
          </w:p>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澄清、质询</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cs="宋体" w:asciiTheme="minorEastAsia" w:hAnsiTheme="minorEastAsia" w:eastAsiaTheme="minorEastAsia"/>
                <w:color w:val="auto"/>
                <w:highlight w:val="none"/>
              </w:rPr>
              <w:t>1.</w:t>
            </w:r>
            <w:r>
              <w:rPr>
                <w:rFonts w:hint="eastAsia" w:asciiTheme="minorEastAsia" w:hAnsiTheme="minorEastAsia" w:eastAsiaTheme="minorEastAsia" w:cstheme="minorEastAsia"/>
                <w:color w:val="auto"/>
                <w:highlight w:val="none"/>
              </w:rPr>
              <w:t xml:space="preserve">投标人逾期或未按要求澄清回复的，将视为不予回复或确认。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评标委员会对投标人提交的澄清、说明或补正有疑问的，可以要求投标人进一步澄清、说明或补正，直至满足评标委员会的要求。投标人的澄清、说明不得超过投标文件的范围或者改变投标文件的实质性内容。评标委员会不得暗示或者诱导投标人作出澄清、说明，不得接受投标人主动提出的澄清、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实质性响应招标文件资料及评审打分资料</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一、实质性响应招标文件资料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1.企业法人营业执照（联合体投标的，联合体各方均应提供）；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2.有效的法定代表人授权委托书（投标文件委托代理人签字的提供，联合体投标的，应由联合体牵头人授权委托）；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3.联合体各方签订的共同投标协议（联合体投标的提供）；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4.建筑业企业资质证书（联合体投标的，联合体各方均应提供）；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5.企业安全生产许可证（联合体投标的，联合体各方均应提供）； </w:t>
            </w:r>
          </w:p>
          <w:p>
            <w:pPr>
              <w:spacing w:before="10" w:after="10" w:line="364"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w:t>
            </w:r>
            <w:r>
              <w:rPr>
                <w:rFonts w:hint="eastAsia" w:ascii="宋体" w:hAnsi="宋体" w:eastAsia="宋体" w:cs="宋体"/>
                <w:i w:val="0"/>
                <w:iCs w:val="0"/>
                <w:snapToGrid w:val="0"/>
                <w:color w:val="auto"/>
                <w:spacing w:val="0"/>
                <w:sz w:val="21"/>
                <w:szCs w:val="21"/>
                <w:highlight w:val="none"/>
                <w:lang w:val="en-US" w:eastAsia="zh-CN" w:bidi="ar-SA"/>
              </w:rPr>
              <w:t>提供投标人2024年01月29 日（周一）在“浙江省建筑市场监管公共服务系统”上参与投标资质的“资质动态核查结果证明”；</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rPr>
              <w:t xml:space="preserve">法定代表人、企业经理、企业分管安全生产的副经理、企业技术负责人“三类人员”A类证书，企业经理、企业技术负责人、企业分管安全生产副经理企业的任命书（联合体投标的，联合体各方均应提供）；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8</w:t>
            </w:r>
            <w:r>
              <w:rPr>
                <w:rFonts w:hint="eastAsia" w:asciiTheme="minorEastAsia" w:hAnsiTheme="minorEastAsia" w:eastAsiaTheme="minorEastAsia" w:cstheme="minorEastAsia"/>
                <w:color w:val="auto"/>
                <w:highlight w:val="none"/>
              </w:rPr>
              <w:t>.项目负责人、技术负责人（如有要求）“全国建筑市场监管公共服务平台”网注册建造师信息查询页面 （最终的完整信息页面）打印件（需加盖投标人公章和建造师执业章）或注册执业证书（一级建造师提供电子注册证书）或建设行政部门相关名单公告（需提供下载的纸质公告和网址，公示名单无效）；</w:t>
            </w:r>
            <w:r>
              <w:rPr>
                <w:rFonts w:hint="eastAsia" w:cs="宋体" w:asciiTheme="minorEastAsia" w:hAnsiTheme="minorEastAsia" w:eastAsiaTheme="minorEastAsia"/>
                <w:color w:val="auto"/>
                <w:highlight w:val="none"/>
              </w:rPr>
              <w:t>项目负责人</w:t>
            </w:r>
            <w:r>
              <w:rPr>
                <w:rFonts w:hint="eastAsia" w:asciiTheme="minorEastAsia" w:hAnsiTheme="minorEastAsia" w:eastAsiaTheme="minorEastAsia"/>
                <w:color w:val="auto"/>
                <w:highlight w:val="none"/>
              </w:rPr>
              <w:t>须提供开标前六个月投标申请人所属社保机构养老保险交纳清单或证明，</w:t>
            </w:r>
            <w:r>
              <w:rPr>
                <w:rFonts w:hint="eastAsia" w:cs="宋体" w:asciiTheme="minorEastAsia" w:hAnsiTheme="minorEastAsia" w:eastAsiaTheme="minorEastAsia"/>
                <w:color w:val="auto"/>
                <w:highlight w:val="none"/>
              </w:rPr>
              <w:t>如</w:t>
            </w:r>
            <w:r>
              <w:rPr>
                <w:rFonts w:hint="eastAsia" w:asciiTheme="minorEastAsia" w:hAnsiTheme="minorEastAsia" w:eastAsiaTheme="minorEastAsia"/>
                <w:color w:val="auto"/>
                <w:highlight w:val="none"/>
              </w:rPr>
              <w:t>为离退休返聘人员的，须提供退休证明及单位聘用证明。</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9</w:t>
            </w:r>
            <w:r>
              <w:rPr>
                <w:rFonts w:hint="eastAsia" w:asciiTheme="minorEastAsia" w:hAnsiTheme="minorEastAsia" w:eastAsiaTheme="minorEastAsia" w:cstheme="minorEastAsia"/>
                <w:color w:val="auto"/>
                <w:highlight w:val="none"/>
              </w:rPr>
              <w:t>.拟派技术负责人职称证书或注</w:t>
            </w:r>
            <w:r>
              <w:rPr>
                <w:rFonts w:hint="eastAsia" w:cs="宋体" w:asciiTheme="minorEastAsia" w:hAnsiTheme="minorEastAsia" w:eastAsiaTheme="minorEastAsia"/>
                <w:color w:val="auto"/>
                <w:highlight w:val="none"/>
              </w:rPr>
              <w:t>册建造师证书</w:t>
            </w:r>
            <w:r>
              <w:rPr>
                <w:rFonts w:hint="eastAsia" w:asciiTheme="minorEastAsia" w:hAnsiTheme="minorEastAsia" w:eastAsiaTheme="minorEastAsia" w:cstheme="minorEastAsia"/>
                <w:color w:val="auto"/>
                <w:highlight w:val="none"/>
              </w:rPr>
              <w:t xml:space="preserve">；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rPr>
              <w:t xml:space="preserve">.项目安全员、质检员和施工员全国水利水电工程施工现场管理人员培训合格证书；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r>
              <w:rPr>
                <w:rFonts w:hint="eastAsia" w:asciiTheme="minorEastAsia" w:hAnsiTheme="minorEastAsia" w:eastAsiaTheme="minorEastAsia" w:cstheme="minorEastAsia"/>
                <w:color w:val="auto"/>
                <w:highlight w:val="none"/>
                <w:lang w:val="en-US" w:eastAsia="zh-CN"/>
              </w:rPr>
              <w:t>1</w:t>
            </w:r>
            <w:r>
              <w:rPr>
                <w:rFonts w:hint="eastAsia" w:asciiTheme="minorEastAsia" w:hAnsiTheme="minorEastAsia" w:eastAsiaTheme="minorEastAsia" w:cstheme="minorEastAsia"/>
                <w:color w:val="auto"/>
                <w:highlight w:val="none"/>
              </w:rPr>
              <w:t xml:space="preserve">.拟派项目负责人“三类人员”B类证书； </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r>
              <w:rPr>
                <w:rFonts w:hint="eastAsia" w:asciiTheme="minorEastAsia" w:hAnsiTheme="minorEastAsia" w:eastAsia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rPr>
              <w:t xml:space="preserve">.拟派施工现场专职安全生产管理人员“三类人员”C类证书； </w:t>
            </w:r>
          </w:p>
          <w:p>
            <w:pPr>
              <w:spacing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rPr>
              <w:t xml:space="preserve">.拟派项目组主要人员在浙江省水利厅“透明工程”应用上公示网页的打印件； </w:t>
            </w:r>
          </w:p>
          <w:p>
            <w:pPr>
              <w:spacing w:line="364" w:lineRule="exact"/>
              <w:rPr>
                <w:rFonts w:asciiTheme="minorEastAsia" w:hAnsiTheme="minorEastAsia" w:eastAsiaTheme="minorEastAsia"/>
                <w:color w:val="auto"/>
                <w:highlight w:val="none"/>
              </w:rPr>
            </w:pPr>
            <w:r>
              <w:rPr>
                <w:rFonts w:cs="宋体" w:asciiTheme="minorEastAsia" w:hAnsiTheme="minorEastAsia" w:eastAsiaTheme="minorEastAsia"/>
                <w:color w:val="auto"/>
                <w:spacing w:val="-21"/>
                <w:highlight w:val="none"/>
              </w:rPr>
              <w:t>1</w:t>
            </w:r>
            <w:r>
              <w:rPr>
                <w:rFonts w:hint="eastAsia" w:cs="宋体" w:asciiTheme="minorEastAsia" w:hAnsiTheme="minorEastAsia" w:eastAsiaTheme="minorEastAsia"/>
                <w:color w:val="auto"/>
                <w:spacing w:val="-14"/>
                <w:highlight w:val="none"/>
                <w:lang w:val="en-US" w:eastAsia="zh-CN"/>
              </w:rPr>
              <w:t>4</w:t>
            </w:r>
            <w:r>
              <w:rPr>
                <w:rFonts w:cs="宋体" w:asciiTheme="minorEastAsia" w:hAnsiTheme="minorEastAsia" w:eastAsiaTheme="minorEastAsia"/>
                <w:color w:val="auto"/>
                <w:spacing w:val="-14"/>
                <w:highlight w:val="none"/>
              </w:rPr>
              <w:t>.投标承诺书 (按照招标文件提供的格式条款提供)；</w:t>
            </w:r>
          </w:p>
          <w:p>
            <w:pPr>
              <w:spacing w:line="364" w:lineRule="exact"/>
              <w:ind w:right="42" w:rightChars="20"/>
              <w:jc w:val="both"/>
              <w:rPr>
                <w:rFonts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rPr>
              <w:t>1</w:t>
            </w:r>
            <w:r>
              <w:rPr>
                <w:rFonts w:hint="eastAsia" w:asciiTheme="minorEastAsia" w:hAnsiTheme="minorEastAsia" w:eastAsiaTheme="minorEastAsia" w:cstheme="minorEastAsia"/>
                <w:b w:val="0"/>
                <w:bCs w:val="0"/>
                <w:color w:val="auto"/>
                <w:highlight w:val="none"/>
                <w:lang w:val="en-US" w:eastAsia="zh-CN"/>
              </w:rPr>
              <w:t>5</w:t>
            </w:r>
            <w:r>
              <w:rPr>
                <w:rFonts w:hint="eastAsia" w:asciiTheme="minorEastAsia" w:hAnsiTheme="minorEastAsia" w:eastAsiaTheme="minorEastAsia" w:cstheme="minorEastAsia"/>
                <w:b w:val="0"/>
                <w:bCs w:val="0"/>
                <w:color w:val="auto"/>
                <w:highlight w:val="none"/>
              </w:rPr>
              <w:t xml:space="preserve">.符合招标公告要求的类似项目施工业绩证明材料； </w:t>
            </w:r>
          </w:p>
          <w:p>
            <w:pPr>
              <w:pStyle w:val="32"/>
              <w:keepNext/>
              <w:keepLines/>
              <w:spacing w:after="0" w:line="364" w:lineRule="exact"/>
              <w:jc w:val="both"/>
              <w:outlineLvl w:val="9"/>
              <w:rPr>
                <w:rFonts w:asciiTheme="minorEastAsia" w:hAnsiTheme="minorEastAsia" w:eastAsiaTheme="minorEastAsia"/>
                <w:color w:val="auto"/>
                <w:highlight w:val="none"/>
                <w:lang w:val="en-US" w:eastAsia="zh-CN"/>
              </w:rPr>
            </w:pPr>
            <w:r>
              <w:rPr>
                <w:rFonts w:hint="eastAsia" w:asciiTheme="minorEastAsia" w:hAnsiTheme="minorEastAsia" w:eastAsiaTheme="minorEastAsia" w:cstheme="minorEastAsia"/>
                <w:snapToGrid w:val="0"/>
                <w:color w:val="auto"/>
                <w:sz w:val="21"/>
                <w:szCs w:val="21"/>
                <w:highlight w:val="none"/>
                <w:lang w:val="en-US" w:eastAsia="zh-CN"/>
              </w:rPr>
              <w:t>16.投标保证金由评标专家在系统中核查。</w:t>
            </w:r>
          </w:p>
          <w:p>
            <w:pPr>
              <w:spacing w:line="364" w:lineRule="exact"/>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二、</w:t>
            </w:r>
            <w:r>
              <w:rPr>
                <w:rFonts w:hint="eastAsia" w:asciiTheme="minorEastAsia" w:hAnsiTheme="minorEastAsia" w:eastAsiaTheme="minorEastAsia" w:cstheme="minorEastAsia"/>
                <w:color w:val="auto"/>
                <w:highlight w:val="none"/>
              </w:rPr>
              <w:t>评审打分资料：</w:t>
            </w:r>
            <w:bookmarkStart w:id="18" w:name="EB4a3e7d1d6dfe49deb4b5c60f4b4ab073"/>
            <w:r>
              <w:rPr>
                <w:rFonts w:hint="eastAsia" w:cs="宋体" w:asciiTheme="minorEastAsia" w:hAnsiTheme="minorEastAsia" w:eastAsiaTheme="minorEastAsia"/>
                <w:color w:val="auto"/>
                <w:highlight w:val="none"/>
              </w:rPr>
              <w:t>1.符合评审打分要求的信用等级证明材料。</w:t>
            </w:r>
          </w:p>
          <w:bookmarkEnd w:id="18"/>
          <w:p>
            <w:pPr>
              <w:spacing w:line="364" w:lineRule="exact"/>
              <w:ind w:left="85" w:right="85"/>
              <w:rPr>
                <w:rFonts w:cs="宋体" w:asciiTheme="minorEastAsia" w:hAnsiTheme="minorEastAsia" w:eastAsiaTheme="minorEastAsia"/>
                <w:color w:val="auto"/>
                <w:highlight w:val="none"/>
              </w:rPr>
            </w:pPr>
            <w:r>
              <w:rPr>
                <w:rFonts w:cs="宋体" w:asciiTheme="minorEastAsia" w:hAnsiTheme="minorEastAsia" w:eastAsiaTheme="minorEastAsia"/>
                <w:color w:val="auto"/>
                <w:spacing w:val="18"/>
                <w:highlight w:val="none"/>
              </w:rPr>
              <w:t>以</w:t>
            </w:r>
            <w:r>
              <w:rPr>
                <w:rFonts w:cs="宋体" w:asciiTheme="minorEastAsia" w:hAnsiTheme="minorEastAsia" w:eastAsiaTheme="minorEastAsia"/>
                <w:color w:val="auto"/>
                <w:spacing w:val="12"/>
                <w:highlight w:val="none"/>
              </w:rPr>
              <w:t>上</w:t>
            </w:r>
            <w:r>
              <w:rPr>
                <w:rFonts w:hint="eastAsia" w:cs="宋体" w:asciiTheme="minorEastAsia" w:hAnsiTheme="minorEastAsia" w:eastAsiaTheme="minorEastAsia"/>
                <w:color w:val="auto"/>
                <w:spacing w:val="12"/>
                <w:highlight w:val="none"/>
              </w:rPr>
              <w:t>一、二条</w:t>
            </w:r>
            <w:r>
              <w:rPr>
                <w:rFonts w:cs="宋体" w:asciiTheme="minorEastAsia" w:hAnsiTheme="minorEastAsia" w:eastAsiaTheme="minorEastAsia"/>
                <w:color w:val="auto"/>
                <w:spacing w:val="12"/>
                <w:highlight w:val="none"/>
              </w:rPr>
              <w:t>涉及证书 (均应在有效期内，已在有效期外尚在办理延期</w:t>
            </w:r>
            <w:r>
              <w:rPr>
                <w:rFonts w:cs="宋体" w:asciiTheme="minorEastAsia" w:hAnsiTheme="minorEastAsia" w:eastAsiaTheme="minorEastAsia"/>
                <w:color w:val="auto"/>
                <w:spacing w:val="16"/>
                <w:highlight w:val="none"/>
              </w:rPr>
              <w:t>过程</w:t>
            </w:r>
            <w:r>
              <w:rPr>
                <w:rFonts w:cs="宋体" w:asciiTheme="minorEastAsia" w:hAnsiTheme="minorEastAsia" w:eastAsiaTheme="minorEastAsia"/>
                <w:color w:val="auto"/>
                <w:spacing w:val="15"/>
                <w:highlight w:val="none"/>
              </w:rPr>
              <w:t>中</w:t>
            </w:r>
            <w:r>
              <w:rPr>
                <w:rFonts w:cs="宋体" w:asciiTheme="minorEastAsia" w:hAnsiTheme="minorEastAsia" w:eastAsiaTheme="minorEastAsia"/>
                <w:color w:val="auto"/>
                <w:spacing w:val="8"/>
                <w:highlight w:val="none"/>
              </w:rPr>
              <w:t>的视为无效；注册建造师证书按实质性响应招标文件资料第</w:t>
            </w:r>
            <w:r>
              <w:rPr>
                <w:rFonts w:cs="宋体" w:asciiTheme="minorEastAsia" w:hAnsiTheme="minorEastAsia" w:eastAsiaTheme="minorEastAsia"/>
                <w:color w:val="auto"/>
                <w:spacing w:val="25"/>
                <w:highlight w:val="none"/>
              </w:rPr>
              <w:t>7</w:t>
            </w:r>
            <w:r>
              <w:rPr>
                <w:rFonts w:cs="宋体" w:asciiTheme="minorEastAsia" w:hAnsiTheme="minorEastAsia" w:eastAsiaTheme="minorEastAsia"/>
                <w:color w:val="auto"/>
                <w:spacing w:val="15"/>
                <w:highlight w:val="none"/>
              </w:rPr>
              <w:t>条处理)。资料应在投标文件中附复制件〔已在有关行政主管部</w:t>
            </w:r>
            <w:r>
              <w:rPr>
                <w:rFonts w:cs="宋体" w:asciiTheme="minorEastAsia" w:hAnsiTheme="minorEastAsia" w:eastAsiaTheme="minorEastAsia"/>
                <w:color w:val="auto"/>
                <w:spacing w:val="17"/>
                <w:highlight w:val="none"/>
              </w:rPr>
              <w:t>门</w:t>
            </w:r>
            <w:r>
              <w:rPr>
                <w:rFonts w:cs="宋体" w:asciiTheme="minorEastAsia" w:hAnsiTheme="minorEastAsia" w:eastAsiaTheme="minorEastAsia"/>
                <w:color w:val="auto"/>
                <w:spacing w:val="16"/>
                <w:highlight w:val="none"/>
              </w:rPr>
              <w:t>(包括浙江省水利厅“透明工程”应用公示)或有电子件的，可</w:t>
            </w:r>
            <w:r>
              <w:rPr>
                <w:rFonts w:cs="宋体" w:asciiTheme="minorEastAsia" w:hAnsiTheme="minorEastAsia" w:eastAsiaTheme="minorEastAsia"/>
                <w:color w:val="auto"/>
                <w:spacing w:val="10"/>
                <w:highlight w:val="none"/>
              </w:rPr>
              <w:t>附网</w:t>
            </w:r>
            <w:r>
              <w:rPr>
                <w:rFonts w:cs="宋体" w:asciiTheme="minorEastAsia" w:hAnsiTheme="minorEastAsia" w:eastAsiaTheme="minorEastAsia"/>
                <w:color w:val="auto"/>
                <w:spacing w:val="7"/>
                <w:highlight w:val="none"/>
              </w:rPr>
              <w:t>页</w:t>
            </w:r>
            <w:r>
              <w:rPr>
                <w:rFonts w:cs="宋体" w:asciiTheme="minorEastAsia" w:hAnsiTheme="minorEastAsia" w:eastAsiaTheme="minorEastAsia"/>
                <w:color w:val="auto"/>
                <w:spacing w:val="5"/>
                <w:highlight w:val="none"/>
              </w:rPr>
              <w:t>截图或电子件〕并加盖投标人公章。</w:t>
            </w:r>
          </w:p>
          <w:p>
            <w:pPr>
              <w:spacing w:before="2" w:line="364" w:lineRule="exact"/>
              <w:ind w:right="110"/>
              <w:rPr>
                <w:rFonts w:cs="宋体" w:asciiTheme="minorEastAsia" w:hAnsiTheme="minorEastAsia" w:eastAsiaTheme="minorEastAsia"/>
                <w:color w:val="auto"/>
                <w:highlight w:val="none"/>
              </w:rPr>
            </w:pPr>
            <w:r>
              <w:rPr>
                <w:rFonts w:cs="宋体" w:asciiTheme="minorEastAsia" w:hAnsiTheme="minorEastAsia" w:eastAsiaTheme="minorEastAsia"/>
                <w:color w:val="auto"/>
                <w:spacing w:val="-6"/>
                <w:highlight w:val="none"/>
              </w:rPr>
              <w:t>如评标委员会</w:t>
            </w:r>
            <w:r>
              <w:rPr>
                <w:rFonts w:cs="宋体" w:asciiTheme="minorEastAsia" w:hAnsiTheme="minorEastAsia" w:eastAsiaTheme="minorEastAsia"/>
                <w:color w:val="auto"/>
                <w:spacing w:val="-5"/>
                <w:highlight w:val="none"/>
              </w:rPr>
              <w:t>要</w:t>
            </w:r>
            <w:r>
              <w:rPr>
                <w:rFonts w:cs="宋体" w:asciiTheme="minorEastAsia" w:hAnsiTheme="minorEastAsia" w:eastAsiaTheme="minorEastAsia"/>
                <w:color w:val="auto"/>
                <w:spacing w:val="-3"/>
                <w:highlight w:val="none"/>
              </w:rPr>
              <w:t>求核查原件时，提供的资料不得超过投标文件的范</w:t>
            </w:r>
            <w:r>
              <w:rPr>
                <w:rFonts w:cs="宋体" w:asciiTheme="minorEastAsia" w:hAnsiTheme="minorEastAsia" w:eastAsiaTheme="minorEastAsia"/>
                <w:color w:val="auto"/>
                <w:spacing w:val="-17"/>
                <w:highlight w:val="none"/>
              </w:rPr>
              <w:t>围</w:t>
            </w:r>
            <w:r>
              <w:rPr>
                <w:rFonts w:cs="宋体" w:asciiTheme="minorEastAsia" w:hAnsiTheme="minorEastAsia" w:eastAsiaTheme="minorEastAsia"/>
                <w:color w:val="auto"/>
                <w:spacing w:val="-10"/>
                <w:highlight w:val="none"/>
              </w:rPr>
              <w:t>或者改变投标文件实质性内容，具体要求如下：</w:t>
            </w:r>
          </w:p>
          <w:p>
            <w:pPr>
              <w:spacing w:before="3" w:line="364" w:lineRule="exact"/>
              <w:ind w:right="92"/>
              <w:rPr>
                <w:rFonts w:cs="宋体" w:asciiTheme="minorEastAsia" w:hAnsiTheme="minorEastAsia" w:eastAsiaTheme="minorEastAsia"/>
                <w:color w:val="auto"/>
                <w:highlight w:val="none"/>
              </w:rPr>
            </w:pPr>
            <w:r>
              <w:rPr>
                <w:rFonts w:cs="宋体" w:asciiTheme="minorEastAsia" w:hAnsiTheme="minorEastAsia" w:eastAsiaTheme="minorEastAsia"/>
                <w:color w:val="auto"/>
                <w:spacing w:val="16"/>
                <w:highlight w:val="none"/>
              </w:rPr>
              <w:t>1</w:t>
            </w:r>
            <w:r>
              <w:rPr>
                <w:rFonts w:cs="宋体" w:asciiTheme="minorEastAsia" w:hAnsiTheme="minorEastAsia" w:eastAsiaTheme="minorEastAsia"/>
                <w:color w:val="auto"/>
                <w:spacing w:val="10"/>
                <w:highlight w:val="none"/>
              </w:rPr>
              <w:t>)</w:t>
            </w:r>
            <w:r>
              <w:rPr>
                <w:rFonts w:cs="宋体" w:asciiTheme="minorEastAsia" w:hAnsiTheme="minorEastAsia" w:eastAsiaTheme="minorEastAsia"/>
                <w:color w:val="auto"/>
                <w:spacing w:val="8"/>
                <w:highlight w:val="none"/>
              </w:rPr>
              <w:t>企业营业执照、企业资质证书、安全生产许可证、各类人员证</w:t>
            </w:r>
            <w:r>
              <w:rPr>
                <w:rFonts w:cs="宋体" w:asciiTheme="minorEastAsia" w:hAnsiTheme="minorEastAsia" w:eastAsiaTheme="minorEastAsia"/>
                <w:color w:val="auto"/>
                <w:spacing w:val="24"/>
                <w:highlight w:val="none"/>
              </w:rPr>
              <w:t>书</w:t>
            </w:r>
            <w:r>
              <w:rPr>
                <w:rFonts w:cs="宋体" w:asciiTheme="minorEastAsia" w:hAnsiTheme="minorEastAsia" w:eastAsiaTheme="minorEastAsia"/>
                <w:color w:val="auto"/>
                <w:spacing w:val="14"/>
                <w:highlight w:val="none"/>
              </w:rPr>
              <w:t>等</w:t>
            </w:r>
            <w:r>
              <w:rPr>
                <w:rFonts w:cs="宋体" w:asciiTheme="minorEastAsia" w:hAnsiTheme="minorEastAsia" w:eastAsiaTheme="minorEastAsia"/>
                <w:color w:val="auto"/>
                <w:spacing w:val="12"/>
                <w:highlight w:val="none"/>
              </w:rPr>
              <w:t>已在有关行政主管部门 (包括浙江省水利厅“透明工程”应</w:t>
            </w:r>
            <w:r>
              <w:rPr>
                <w:rFonts w:cs="宋体" w:asciiTheme="minorEastAsia" w:hAnsiTheme="minorEastAsia" w:eastAsiaTheme="minorEastAsia"/>
                <w:color w:val="auto"/>
                <w:spacing w:val="13"/>
                <w:highlight w:val="none"/>
              </w:rPr>
              <w:t>用</w:t>
            </w:r>
            <w:r>
              <w:rPr>
                <w:rFonts w:cs="宋体" w:asciiTheme="minorEastAsia" w:hAnsiTheme="minorEastAsia" w:eastAsiaTheme="minorEastAsia"/>
                <w:color w:val="auto"/>
                <w:spacing w:val="12"/>
                <w:highlight w:val="none"/>
              </w:rPr>
              <w:t>公示)或有电子件的，投标人必须在评标委员会规定的时间内提供</w:t>
            </w:r>
            <w:r>
              <w:rPr>
                <w:rFonts w:cs="宋体" w:asciiTheme="minorEastAsia" w:hAnsiTheme="minorEastAsia" w:eastAsiaTheme="minorEastAsia"/>
                <w:color w:val="auto"/>
                <w:spacing w:val="7"/>
                <w:highlight w:val="none"/>
              </w:rPr>
              <w:t>网页截图或电子件。(不再要求提交原件)</w:t>
            </w:r>
          </w:p>
          <w:p>
            <w:pPr>
              <w:spacing w:before="2" w:line="364" w:lineRule="exact"/>
              <w:ind w:right="161"/>
              <w:rPr>
                <w:rFonts w:cs="宋体" w:asciiTheme="minorEastAsia" w:hAnsiTheme="minorEastAsia" w:eastAsiaTheme="minorEastAsia"/>
                <w:color w:val="auto"/>
                <w:highlight w:val="none"/>
              </w:rPr>
            </w:pPr>
            <w:r>
              <w:rPr>
                <w:rFonts w:cs="宋体" w:asciiTheme="minorEastAsia" w:hAnsiTheme="minorEastAsia" w:eastAsiaTheme="minorEastAsia"/>
                <w:color w:val="auto"/>
                <w:spacing w:val="28"/>
                <w:highlight w:val="none"/>
              </w:rPr>
              <w:t>2</w:t>
            </w:r>
            <w:r>
              <w:rPr>
                <w:rFonts w:cs="宋体" w:asciiTheme="minorEastAsia" w:hAnsiTheme="minorEastAsia" w:eastAsiaTheme="minorEastAsia"/>
                <w:color w:val="auto"/>
                <w:spacing w:val="15"/>
                <w:highlight w:val="none"/>
              </w:rPr>
              <w:t>)其他未在有关行政主管部门(包括浙江省水利厅“透明工</w:t>
            </w:r>
            <w:r>
              <w:rPr>
                <w:rFonts w:cs="宋体" w:asciiTheme="minorEastAsia" w:hAnsiTheme="minorEastAsia" w:eastAsiaTheme="minorEastAsia"/>
                <w:color w:val="auto"/>
                <w:spacing w:val="4"/>
                <w:highlight w:val="none"/>
              </w:rPr>
              <w:t>程”应用</w:t>
            </w:r>
            <w:r>
              <w:rPr>
                <w:rFonts w:cs="宋体" w:asciiTheme="minorEastAsia" w:hAnsiTheme="minorEastAsia" w:eastAsiaTheme="minorEastAsia"/>
                <w:color w:val="auto"/>
                <w:spacing w:val="2"/>
                <w:highlight w:val="none"/>
              </w:rPr>
              <w:t>公示)的材料，投标人必须在评标委员会规定的时间</w:t>
            </w:r>
            <w:r>
              <w:rPr>
                <w:rFonts w:cs="宋体" w:asciiTheme="minorEastAsia" w:hAnsiTheme="minorEastAsia" w:eastAsiaTheme="minorEastAsia"/>
                <w:color w:val="auto"/>
                <w:spacing w:val="-21"/>
                <w:highlight w:val="none"/>
              </w:rPr>
              <w:t xml:space="preserve">内送达 </w:t>
            </w:r>
            <w:r>
              <w:rPr>
                <w:rFonts w:cs="宋体" w:asciiTheme="minorEastAsia" w:hAnsiTheme="minorEastAsia" w:eastAsiaTheme="minorEastAsia"/>
                <w:color w:val="auto"/>
                <w:spacing w:val="-20"/>
                <w:highlight w:val="none"/>
              </w:rPr>
              <w:t>。</w:t>
            </w:r>
          </w:p>
          <w:p>
            <w:pPr>
              <w:spacing w:before="10" w:after="10" w:line="364" w:lineRule="exact"/>
              <w:ind w:right="42" w:rightChars="20"/>
              <w:jc w:val="both"/>
              <w:rPr>
                <w:rFonts w:asciiTheme="minorEastAsia" w:hAnsiTheme="minorEastAsia" w:eastAsiaTheme="minorEastAsia" w:cstheme="minorEastAsia"/>
                <w:color w:val="auto"/>
                <w:highlight w:val="none"/>
              </w:rPr>
            </w:pPr>
            <w:r>
              <w:rPr>
                <w:rFonts w:cs="宋体" w:asciiTheme="minorEastAsia" w:hAnsiTheme="minorEastAsia" w:eastAsiaTheme="minorEastAsia"/>
                <w:color w:val="auto"/>
                <w:spacing w:val="4"/>
                <w:highlight w:val="none"/>
              </w:rPr>
              <w:t>若投标文件中未附上述资料或未能在规定的时间内提供截图(或电</w:t>
            </w:r>
            <w:r>
              <w:rPr>
                <w:rFonts w:cs="宋体" w:asciiTheme="minorEastAsia" w:hAnsiTheme="minorEastAsia" w:eastAsiaTheme="minorEastAsia"/>
                <w:color w:val="auto"/>
                <w:spacing w:val="2"/>
                <w:highlight w:val="none"/>
              </w:rPr>
              <w:t>子</w:t>
            </w:r>
            <w:r>
              <w:rPr>
                <w:rFonts w:cs="宋体" w:asciiTheme="minorEastAsia" w:hAnsiTheme="minorEastAsia" w:eastAsiaTheme="minorEastAsia"/>
                <w:color w:val="auto"/>
                <w:spacing w:val="4"/>
                <w:highlight w:val="none"/>
              </w:rPr>
              <w:t>件)或将</w:t>
            </w:r>
            <w:r>
              <w:rPr>
                <w:rFonts w:cs="宋体" w:asciiTheme="minorEastAsia" w:hAnsiTheme="minorEastAsia" w:eastAsiaTheme="minorEastAsia"/>
                <w:color w:val="auto"/>
                <w:spacing w:val="3"/>
                <w:highlight w:val="none"/>
              </w:rPr>
              <w:t>原</w:t>
            </w:r>
            <w:r>
              <w:rPr>
                <w:rFonts w:cs="宋体" w:asciiTheme="minorEastAsia" w:hAnsiTheme="minorEastAsia" w:eastAsiaTheme="minorEastAsia"/>
                <w:color w:val="auto"/>
                <w:spacing w:val="2"/>
                <w:highlight w:val="none"/>
              </w:rPr>
              <w:t>件送达的，属招标文件实质性要求响应资料的，评标委员会</w:t>
            </w:r>
            <w:r>
              <w:rPr>
                <w:rFonts w:cs="宋体" w:asciiTheme="minorEastAsia" w:hAnsiTheme="minorEastAsia" w:eastAsiaTheme="minorEastAsia"/>
                <w:color w:val="auto"/>
                <w:spacing w:val="-2"/>
                <w:highlight w:val="none"/>
              </w:rPr>
              <w:t>将按相关证明资料缺少或无效处理；属打分评审资料的，按相应评分</w:t>
            </w:r>
            <w:r>
              <w:rPr>
                <w:rFonts w:cs="宋体" w:asciiTheme="minorEastAsia" w:hAnsiTheme="minorEastAsia" w:eastAsiaTheme="minorEastAsia"/>
                <w:color w:val="auto"/>
                <w:highlight w:val="none"/>
              </w:rPr>
              <w:t>内</w:t>
            </w:r>
            <w:r>
              <w:rPr>
                <w:rFonts w:cs="宋体" w:asciiTheme="minorEastAsia" w:hAnsiTheme="minorEastAsia" w:eastAsiaTheme="minorEastAsia"/>
                <w:color w:val="auto"/>
                <w:spacing w:val="20"/>
                <w:highlight w:val="none"/>
              </w:rPr>
              <w:t>容</w:t>
            </w:r>
            <w:r>
              <w:rPr>
                <w:rFonts w:cs="宋体" w:asciiTheme="minorEastAsia" w:hAnsiTheme="minorEastAsia" w:eastAsiaTheme="minorEastAsia"/>
                <w:color w:val="auto"/>
                <w:spacing w:val="17"/>
                <w:highlight w:val="none"/>
              </w:rPr>
              <w:t>不得分处理。</w:t>
            </w:r>
            <w:r>
              <w:rPr>
                <w:rFonts w:hint="eastAsia" w:asciiTheme="minorEastAsia" w:hAnsiTheme="minorEastAsia" w:eastAsiaTheme="minorEastAsia" w:cstheme="minorEastAsia"/>
                <w:color w:val="auto"/>
                <w:highlight w:val="non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中标后须提交的投标文件副本份数</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5  </w:t>
            </w:r>
            <w:r>
              <w:rPr>
                <w:rFonts w:hint="eastAsia" w:asciiTheme="minorEastAsia" w:hAnsiTheme="minorEastAsia" w:eastAsiaTheme="minorEastAsia" w:cstheme="minorEastAsia"/>
                <w:color w:val="auto"/>
                <w:highlight w:val="none"/>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p>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10.5</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p>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招标人最高投标限价或其计算方法</w:t>
            </w:r>
          </w:p>
        </w:tc>
        <w:tc>
          <w:tcPr>
            <w:tcW w:w="6538" w:type="dxa"/>
            <w:vAlign w:val="center"/>
          </w:tcPr>
          <w:p>
            <w:pPr>
              <w:spacing w:line="364"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☑最高投标限价人民币（大写）</w:t>
            </w:r>
            <w:r>
              <w:rPr>
                <w:rFonts w:hint="eastAsia" w:asciiTheme="minorEastAsia" w:hAnsiTheme="minorEastAsia" w:eastAsiaTheme="minorEastAsia"/>
                <w:color w:val="auto"/>
                <w:highlight w:val="none"/>
                <w:u w:val="single"/>
                <w:lang w:val="en-US" w:eastAsia="zh-CN"/>
              </w:rPr>
              <w:t>肆佰伍拾陆万捌仟伍佰伍拾捌</w:t>
            </w:r>
            <w:r>
              <w:rPr>
                <w:rFonts w:hint="eastAsia" w:asciiTheme="minorEastAsia" w:hAnsiTheme="minorEastAsia" w:eastAsiaTheme="minorEastAsia"/>
                <w:color w:val="auto"/>
                <w:highlight w:val="none"/>
                <w:u w:val="single"/>
              </w:rPr>
              <w:t>元</w:t>
            </w:r>
            <w:r>
              <w:rPr>
                <w:rFonts w:hint="eastAsia" w:asciiTheme="minorEastAsia" w:hAnsiTheme="minorEastAsia" w:eastAsiaTheme="minorEastAsia" w:cstheme="minorEastAsia"/>
                <w:color w:val="auto"/>
                <w:highlight w:val="none"/>
              </w:rPr>
              <w:t>（</w:t>
            </w:r>
            <w:r>
              <w:rPr>
                <w:rFonts w:hint="default" w:ascii="Arial" w:hAnsi="Arial" w:cs="Arial" w:eastAsiaTheme="minorEastAsia"/>
                <w:color w:val="auto"/>
                <w:highlight w:val="none"/>
                <w:u w:val="single"/>
              </w:rPr>
              <w:t>¥</w:t>
            </w:r>
            <w:r>
              <w:rPr>
                <w:rFonts w:hint="eastAsia" w:asciiTheme="minorEastAsia" w:hAnsiTheme="minorEastAsia" w:eastAsiaTheme="minorEastAsia"/>
                <w:color w:val="auto"/>
                <w:highlight w:val="none"/>
                <w:u w:val="single"/>
                <w:lang w:val="en-US" w:eastAsia="zh-CN"/>
              </w:rPr>
              <w:t>4568558</w:t>
            </w:r>
            <w:r>
              <w:rPr>
                <w:rFonts w:hint="eastAsia" w:asciiTheme="minorEastAsia" w:hAnsiTheme="minorEastAsia" w:eastAsiaTheme="minorEastAsia"/>
                <w:color w:val="auto"/>
                <w:highlight w:val="none"/>
                <w:u w:val="single"/>
              </w:rPr>
              <w:t>元</w:t>
            </w:r>
            <w:r>
              <w:rPr>
                <w:rFonts w:hint="eastAsia" w:asciiTheme="minorEastAsia" w:hAnsiTheme="minorEastAsia" w:eastAsiaTheme="minorEastAsia" w:cstheme="minorEastAsia"/>
                <w:color w:val="auto"/>
                <w:highlight w:val="none"/>
              </w:rPr>
              <w:t>）。招标预算：</w:t>
            </w:r>
            <w:r>
              <w:rPr>
                <w:rFonts w:hint="eastAsia" w:asciiTheme="minorEastAsia" w:hAnsiTheme="minorEastAsia" w:eastAsiaTheme="minorEastAsia"/>
                <w:color w:val="auto"/>
                <w:highlight w:val="none"/>
                <w:u w:val="single"/>
                <w:lang w:val="en-US" w:eastAsia="zh-CN"/>
              </w:rPr>
              <w:t>4957129</w:t>
            </w:r>
            <w:r>
              <w:rPr>
                <w:rFonts w:hint="eastAsia" w:asciiTheme="minorEastAsia" w:hAnsiTheme="minorEastAsia" w:eastAsiaTheme="minorEastAsia"/>
                <w:color w:val="auto"/>
                <w:highlight w:val="none"/>
                <w:u w:val="single"/>
              </w:rPr>
              <w:t>元</w:t>
            </w:r>
            <w:r>
              <w:rPr>
                <w:rFonts w:hint="eastAsia" w:asciiTheme="minorEastAsia" w:hAnsiTheme="minorEastAsia" w:eastAsiaTheme="minorEastAsia" w:cstheme="minorEastAsia"/>
                <w:color w:val="auto"/>
                <w:highlight w:val="none"/>
              </w:rPr>
              <w:t>，预留金：</w:t>
            </w:r>
            <w:r>
              <w:rPr>
                <w:rFonts w:hint="eastAsia" w:asciiTheme="minorEastAsia" w:hAnsiTheme="minorEastAsia" w:eastAsiaTheme="minorEastAsia"/>
                <w:color w:val="auto"/>
                <w:highlight w:val="none"/>
                <w:u w:val="single"/>
                <w:lang w:val="en-US" w:eastAsia="zh-CN"/>
              </w:rPr>
              <w:t>10</w:t>
            </w:r>
            <w:r>
              <w:rPr>
                <w:rFonts w:hint="eastAsia" w:asciiTheme="minorEastAsia" w:hAnsiTheme="minorEastAsia" w:eastAsiaTheme="minorEastAsia"/>
                <w:color w:val="auto"/>
                <w:highlight w:val="none"/>
                <w:u w:val="single"/>
              </w:rPr>
              <w:t>0000元</w:t>
            </w:r>
            <w:r>
              <w:rPr>
                <w:rFonts w:hint="eastAsia" w:asciiTheme="minorEastAsia" w:hAnsiTheme="minorEastAsia" w:eastAsiaTheme="minorEastAsia"/>
                <w:color w:val="auto"/>
                <w:highlight w:val="none"/>
              </w:rPr>
              <w:t>，</w:t>
            </w:r>
            <w:r>
              <w:rPr>
                <w:rFonts w:hint="eastAsia" w:asciiTheme="minorEastAsia" w:hAnsiTheme="minorEastAsia" w:eastAsiaTheme="minorEastAsia" w:cstheme="minorEastAsia"/>
                <w:color w:val="auto"/>
                <w:highlight w:val="none"/>
              </w:rPr>
              <w:t>暂估价：</w:t>
            </w:r>
            <w:r>
              <w:rPr>
                <w:rFonts w:hint="eastAsia" w:asciiTheme="minorEastAsia" w:hAnsiTheme="minorEastAsia" w:eastAsiaTheme="minorEastAsia"/>
                <w:color w:val="auto"/>
                <w:highlight w:val="none"/>
                <w:u w:val="single"/>
                <w:lang w:val="en-US" w:eastAsia="zh-CN"/>
              </w:rPr>
              <w:t>/</w:t>
            </w:r>
            <w:r>
              <w:rPr>
                <w:rFonts w:hint="eastAsia" w:asciiTheme="minorEastAsia" w:hAnsiTheme="minorEastAsia" w:eastAsiaTheme="minorEastAsia" w:cstheme="minorEastAsia"/>
                <w:color w:val="auto"/>
                <w:highlight w:val="none"/>
              </w:rPr>
              <w:t>。最高投标限价的计算方法：最高投标限价=（预算价-预留金-暂估价）×（1-下浮值）+预留金+暂估价，下浮值为 8%，投标报价不得超过最高限价。</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17"/>
                <w:highlight w:val="none"/>
              </w:rPr>
              <w:t>招标预算指根据浙江省现行水利工程造价计价依据和有关规定，以及拟定的招标文件，结合工程具体情况、市场价格进行编制的造价文件</w:t>
            </w: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10.6</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在建合同工程的认定及变更证明</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1.对项目负责人“有在建合同工程”的认定标准：</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拟派项目负责人在投标截止时间尚有在其他在建合同工程中担任项目负责人（包括工程总承包项目中的施工负责人）的情形为“有在建合同工程”。</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在建合同工程项目，包括在中华人民共和国境内所有建设工程，不受地域、行业和投资性质的限制。</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在建合同工程的时间界定：中标通知书发出之日（不通过招标方式的，开始时间为合同签订之日），结束时间为该合同工程通过验收或合同解除之日。</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以下情形视为“有在建合同工程”：</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（1）合同协议书尚未签订的，中标通知书中载明的项目负责人（包括工程总承包项目中的施工负责人）为准；</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（2）合同协议书已经签订，合同协议书中明确的项目负责人（包括工程总承包项目中的施工负责人）为准；</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（3）项目负责人发生更换的，投标人在投标文件中附有下列第2项证明材料的，以现任项目负责人视为有“在建合同工程”；未附证明材料的，则仍然以更换前的项目负责人视为有“在建合同工程”。</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2.在建项目的项目负责人办理更换后，投标时需提供的资料，</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（1）项目业主同意更换的证明；</w:t>
            </w:r>
          </w:p>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（2）原项目负责人有备案主管部门的，应提供备案主管部门同意更换的证明或网上变更信息</w:t>
            </w:r>
            <w:r>
              <w:rPr>
                <w:rFonts w:hint="eastAsia" w:asciiTheme="minorEastAsia" w:hAnsiTheme="minorEastAsia" w:eastAsiaTheme="minorEastAsia" w:cstheme="minorEastAsia"/>
                <w:color w:val="auto"/>
                <w:highlight w:val="none"/>
                <w:lang w:val="en-US" w:eastAsia="zh-CN"/>
              </w:rPr>
              <w:t>复制件</w:t>
            </w: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005" w:type="dxa"/>
            <w:vAlign w:val="center"/>
          </w:tcPr>
          <w:p>
            <w:pPr>
              <w:spacing w:line="364"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10.7</w:t>
            </w:r>
          </w:p>
        </w:tc>
        <w:tc>
          <w:tcPr>
            <w:tcW w:w="2107" w:type="dxa"/>
            <w:vAlign w:val="center"/>
          </w:tcPr>
          <w:p>
            <w:pPr>
              <w:spacing w:line="364"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特别说明</w:t>
            </w:r>
          </w:p>
        </w:tc>
        <w:tc>
          <w:tcPr>
            <w:tcW w:w="6538" w:type="dxa"/>
            <w:vAlign w:val="center"/>
          </w:tcPr>
          <w:p>
            <w:pPr>
              <w:spacing w:before="10" w:after="10" w:line="364"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须知前附表”是对“投标人须知”正文中未尽事宜进一步明确及重点内容的概括，招标人应结合招标项目具体特点和实际需要编制和填写，但不应与“投标人须知”正文内容相抵触，若有抵触以“投标人须知前附表”载明的内容为准。</w:t>
            </w:r>
          </w:p>
          <w:p>
            <w:pPr>
              <w:spacing w:before="10" w:after="10" w:line="364"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2.投标人投标函与投标函附录不一致的，以投标人投标函为准。</w:t>
            </w:r>
          </w:p>
          <w:p>
            <w:pPr>
              <w:spacing w:before="10" w:after="10" w:line="364" w:lineRule="exact"/>
              <w:ind w:left="42" w:leftChars="20" w:right="42" w:rightChars="2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3.投标人应在投标前自行做好</w:t>
            </w:r>
            <w:r>
              <w:rPr>
                <w:rFonts w:hint="default"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color w:val="auto"/>
                <w:highlight w:val="none"/>
                <w:lang w:val="en-US" w:eastAsia="zh-CN"/>
              </w:rPr>
              <w:t>浙江省建筑市场监管公共服务系统</w:t>
            </w:r>
            <w:r>
              <w:rPr>
                <w:rFonts w:hint="default" w:asciiTheme="minorEastAsia" w:hAnsiTheme="minorEastAsia" w:eastAsiaTheme="minorEastAsia" w:cstheme="minorEastAsia"/>
                <w:color w:val="auto"/>
                <w:highlight w:val="none"/>
                <w:lang w:val="en-US" w:eastAsia="zh-CN"/>
              </w:rPr>
              <w:t>”</w:t>
            </w:r>
            <w:r>
              <w:rPr>
                <w:rFonts w:hint="eastAsia" w:asciiTheme="minorEastAsia" w:hAnsiTheme="minorEastAsia" w:eastAsiaTheme="minorEastAsia" w:cstheme="minorEastAsia"/>
                <w:color w:val="auto"/>
                <w:highlight w:val="none"/>
                <w:lang w:val="en-US" w:eastAsia="zh-CN"/>
              </w:rPr>
              <w:t>相关信息的维护工作，并对企业资质、人员资格、项目状况、信用评价等信息的真实性、准确性、完整性负责。</w:t>
            </w:r>
            <w:r>
              <w:rPr>
                <w:rFonts w:hint="eastAsia" w:ascii="宋体" w:hAnsi="宋体" w:eastAsia="宋体" w:cs="宋体"/>
                <w:snapToGrid w:val="0"/>
                <w:color w:val="auto"/>
                <w:kern w:val="0"/>
                <w:sz w:val="24"/>
                <w:szCs w:val="24"/>
                <w:highlight w:val="none"/>
                <w:lang w:val="en-US" w:eastAsia="zh-CN" w:bidi="ar"/>
              </w:rPr>
              <w:t xml:space="preserve"> </w:t>
            </w:r>
          </w:p>
        </w:tc>
      </w:tr>
    </w:tbl>
    <w:p>
      <w:pPr>
        <w:spacing w:line="410" w:lineRule="exact"/>
        <w:outlineLvl w:val="1"/>
        <w:rPr>
          <w:rFonts w:cs="宋体" w:asciiTheme="minorEastAsia" w:hAnsiTheme="minorEastAsia" w:eastAsiaTheme="minorEastAsia"/>
          <w:b/>
          <w:bCs/>
          <w:color w:val="auto"/>
          <w:sz w:val="28"/>
          <w:szCs w:val="28"/>
          <w:highlight w:val="none"/>
        </w:rPr>
      </w:pPr>
      <w:bookmarkStart w:id="19" w:name="_Toc690"/>
      <w:r>
        <w:rPr>
          <w:rFonts w:hint="eastAsia" w:cs="宋体" w:asciiTheme="minorEastAsia" w:hAnsiTheme="minorEastAsia" w:eastAsiaTheme="minorEastAsia"/>
          <w:b/>
          <w:bCs/>
          <w:color w:val="auto"/>
          <w:sz w:val="28"/>
          <w:szCs w:val="28"/>
          <w:highlight w:val="none"/>
        </w:rPr>
        <w:t>1  总则</w:t>
      </w:r>
      <w:bookmarkEnd w:id="19"/>
    </w:p>
    <w:p>
      <w:pPr>
        <w:spacing w:line="410" w:lineRule="exact"/>
        <w:outlineLvl w:val="2"/>
        <w:rPr>
          <w:rFonts w:cs="宋体" w:asciiTheme="minorEastAsia" w:hAnsiTheme="minorEastAsia" w:eastAsiaTheme="minorEastAsia"/>
          <w:color w:val="auto"/>
          <w:sz w:val="24"/>
          <w:szCs w:val="24"/>
          <w:highlight w:val="none"/>
        </w:rPr>
      </w:pPr>
      <w:bookmarkStart w:id="20" w:name="_Toc15558"/>
      <w:bookmarkStart w:id="21" w:name="_Toc3693"/>
      <w:bookmarkStart w:id="22" w:name="_Toc4966"/>
      <w:r>
        <w:rPr>
          <w:rFonts w:hint="eastAsia" w:cs="宋体" w:asciiTheme="minorEastAsia" w:hAnsiTheme="minorEastAsia" w:eastAsiaTheme="minorEastAsia"/>
          <w:b/>
          <w:bCs/>
          <w:color w:val="auto"/>
          <w:sz w:val="24"/>
          <w:szCs w:val="24"/>
          <w:highlight w:val="none"/>
        </w:rPr>
        <w:t>1.1  项目概况</w:t>
      </w:r>
      <w:bookmarkEnd w:id="20"/>
      <w:bookmarkEnd w:id="21"/>
      <w:bookmarkEnd w:id="22"/>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1.1.1  </w:t>
      </w:r>
      <w:r>
        <w:rPr>
          <w:rFonts w:hint="eastAsia" w:cs="宋体" w:asciiTheme="minorEastAsia" w:hAnsiTheme="minorEastAsia" w:eastAsiaTheme="minorEastAsia"/>
          <w:color w:val="auto"/>
          <w:highlight w:val="none"/>
        </w:rPr>
        <w:t>根据《中华人民共和国招标投标法》《中华人民共和国招标投标法实施条例》等有关法律、法规和规章的规定，本招标项目已具备招标条件，现对本标段施工进行招标。</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1.1.2  </w:t>
      </w:r>
      <w:r>
        <w:rPr>
          <w:rFonts w:hint="eastAsia" w:cs="宋体" w:asciiTheme="minorEastAsia" w:hAnsiTheme="minorEastAsia" w:eastAsiaTheme="minorEastAsia"/>
          <w:color w:val="auto"/>
          <w:highlight w:val="none"/>
        </w:rPr>
        <w:t>本招标项目招标人：见投标人须知前附表。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1.1.3  </w:t>
      </w:r>
      <w:r>
        <w:rPr>
          <w:rFonts w:hint="eastAsia" w:cs="宋体" w:asciiTheme="minorEastAsia" w:hAnsiTheme="minorEastAsia" w:eastAsiaTheme="minorEastAsia"/>
          <w:color w:val="auto"/>
          <w:highlight w:val="none"/>
        </w:rPr>
        <w:t>本标段招标代理机构：见投标人须知前附表。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1.1.4  </w:t>
      </w:r>
      <w:r>
        <w:rPr>
          <w:rFonts w:hint="eastAsia" w:cs="宋体" w:asciiTheme="minorEastAsia" w:hAnsiTheme="minorEastAsia" w:eastAsiaTheme="minorEastAsia"/>
          <w:color w:val="auto"/>
          <w:highlight w:val="none"/>
        </w:rPr>
        <w:t>本招标项目名称：见投标人须知前附表。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1.1.5  </w:t>
      </w:r>
      <w:r>
        <w:rPr>
          <w:rFonts w:hint="eastAsia" w:cs="宋体" w:asciiTheme="minorEastAsia" w:hAnsiTheme="minorEastAsia" w:eastAsiaTheme="minorEastAsia"/>
          <w:color w:val="auto"/>
          <w:highlight w:val="none"/>
        </w:rPr>
        <w:t>本标段建设地点：见投标人须知前附表。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1.1.6</w:t>
      </w:r>
      <w:r>
        <w:rPr>
          <w:rFonts w:hint="eastAsia" w:cs="宋体" w:asciiTheme="minorEastAsia" w:hAnsiTheme="minorEastAsia" w:eastAsiaTheme="minorEastAsia"/>
          <w:color w:val="auto"/>
          <w:highlight w:val="none"/>
        </w:rPr>
        <w:t xml:space="preserve">  本招标项目现场管理机构：见投标人须知前附表。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1.1.7  </w:t>
      </w:r>
      <w:r>
        <w:rPr>
          <w:rFonts w:hint="eastAsia" w:cs="宋体" w:asciiTheme="minorEastAsia" w:hAnsiTheme="minorEastAsia" w:eastAsiaTheme="minorEastAsia"/>
          <w:color w:val="auto"/>
          <w:highlight w:val="none"/>
        </w:rPr>
        <w:t>本招标项目设计人：见投标人须知前附表。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1.1.8  </w:t>
      </w:r>
      <w:r>
        <w:rPr>
          <w:rFonts w:hint="eastAsia" w:cs="宋体" w:asciiTheme="minorEastAsia" w:hAnsiTheme="minorEastAsia" w:eastAsiaTheme="minorEastAsia"/>
          <w:color w:val="auto"/>
          <w:highlight w:val="none"/>
        </w:rPr>
        <w:t>本招标项目监理人：见投标人须知前附表。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1.1.9  </w:t>
      </w:r>
      <w:r>
        <w:rPr>
          <w:rFonts w:hint="eastAsia" w:cs="宋体" w:asciiTheme="minorEastAsia" w:hAnsiTheme="minorEastAsia" w:eastAsiaTheme="minorEastAsia"/>
          <w:color w:val="auto"/>
          <w:highlight w:val="none"/>
        </w:rPr>
        <w:t>本招标项目代建机构：见投标人须知前附表。</w:t>
      </w:r>
    </w:p>
    <w:p>
      <w:pPr>
        <w:spacing w:line="410" w:lineRule="exact"/>
        <w:outlineLvl w:val="2"/>
        <w:rPr>
          <w:rFonts w:cs="宋体" w:asciiTheme="minorEastAsia" w:hAnsiTheme="minorEastAsia" w:eastAsiaTheme="minorEastAsia"/>
          <w:b/>
          <w:bCs/>
          <w:color w:val="auto"/>
          <w:sz w:val="24"/>
          <w:szCs w:val="24"/>
          <w:highlight w:val="none"/>
        </w:rPr>
      </w:pPr>
      <w:bookmarkStart w:id="23" w:name="_Toc5107"/>
      <w:bookmarkStart w:id="24" w:name="_Toc10735"/>
      <w:bookmarkStart w:id="25" w:name="_Toc19901"/>
      <w:r>
        <w:rPr>
          <w:rFonts w:hint="eastAsia" w:cs="宋体" w:asciiTheme="minorEastAsia" w:hAnsiTheme="minorEastAsia" w:eastAsiaTheme="minorEastAsia"/>
          <w:b/>
          <w:bCs/>
          <w:color w:val="auto"/>
          <w:sz w:val="24"/>
          <w:szCs w:val="24"/>
          <w:highlight w:val="none"/>
        </w:rPr>
        <w:t>1.2  资金来源和落实情况</w:t>
      </w:r>
      <w:bookmarkEnd w:id="23"/>
      <w:bookmarkEnd w:id="24"/>
      <w:bookmarkEnd w:id="25"/>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1.2.1  </w:t>
      </w:r>
      <w:r>
        <w:rPr>
          <w:rFonts w:hint="eastAsia" w:cs="宋体" w:asciiTheme="minorEastAsia" w:hAnsiTheme="minorEastAsia" w:eastAsiaTheme="minorEastAsia"/>
          <w:color w:val="auto"/>
          <w:highlight w:val="none"/>
        </w:rPr>
        <w:t>本招标项目的资金来源：见投标人须知前附表。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1.2.2 </w:t>
      </w:r>
      <w:r>
        <w:rPr>
          <w:rFonts w:hint="eastAsia" w:cs="宋体" w:asciiTheme="minorEastAsia" w:hAnsiTheme="minorEastAsia" w:eastAsiaTheme="minorEastAsia"/>
          <w:color w:val="auto"/>
          <w:highlight w:val="none"/>
        </w:rPr>
        <w:t xml:space="preserve"> 本招标项目的出资比例：见投标人须知前附表。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1.2.3 </w:t>
      </w:r>
      <w:r>
        <w:rPr>
          <w:rFonts w:hint="eastAsia" w:cs="宋体" w:asciiTheme="minorEastAsia" w:hAnsiTheme="minorEastAsia" w:eastAsiaTheme="minorEastAsia"/>
          <w:color w:val="auto"/>
          <w:highlight w:val="none"/>
        </w:rPr>
        <w:t xml:space="preserve"> 本招标项目的资金落实情况：见投标人须知前附表。</w:t>
      </w:r>
    </w:p>
    <w:p>
      <w:pPr>
        <w:spacing w:line="410" w:lineRule="exact"/>
        <w:outlineLvl w:val="2"/>
        <w:rPr>
          <w:rFonts w:cs="宋体" w:asciiTheme="minorEastAsia" w:hAnsiTheme="minorEastAsia" w:eastAsiaTheme="minorEastAsia"/>
          <w:b/>
          <w:bCs/>
          <w:color w:val="auto"/>
          <w:sz w:val="24"/>
          <w:szCs w:val="24"/>
          <w:highlight w:val="none"/>
        </w:rPr>
      </w:pPr>
      <w:bookmarkStart w:id="26" w:name="_Toc22316"/>
      <w:bookmarkStart w:id="27" w:name="_Toc30958"/>
      <w:bookmarkStart w:id="28" w:name="_Toc14892"/>
      <w:r>
        <w:rPr>
          <w:rFonts w:hint="eastAsia" w:cs="宋体" w:asciiTheme="minorEastAsia" w:hAnsiTheme="minorEastAsia" w:eastAsiaTheme="minorEastAsia"/>
          <w:b/>
          <w:bCs/>
          <w:color w:val="auto"/>
          <w:sz w:val="24"/>
          <w:szCs w:val="24"/>
          <w:highlight w:val="none"/>
        </w:rPr>
        <w:t>1.3  招标范围、计划工期和质量要求</w:t>
      </w:r>
      <w:bookmarkEnd w:id="26"/>
      <w:bookmarkEnd w:id="27"/>
      <w:bookmarkEnd w:id="28"/>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1.3.1  </w:t>
      </w:r>
      <w:r>
        <w:rPr>
          <w:rFonts w:hint="eastAsia" w:cs="宋体" w:asciiTheme="minorEastAsia" w:hAnsiTheme="minorEastAsia" w:eastAsiaTheme="minorEastAsia"/>
          <w:color w:val="auto"/>
          <w:highlight w:val="none"/>
        </w:rPr>
        <w:t>本次招标范围：见投标人须知前附表。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1.3.2  </w:t>
      </w:r>
      <w:r>
        <w:rPr>
          <w:rFonts w:hint="eastAsia" w:cs="宋体" w:asciiTheme="minorEastAsia" w:hAnsiTheme="minorEastAsia" w:eastAsiaTheme="minorEastAsia"/>
          <w:color w:val="auto"/>
          <w:highlight w:val="none"/>
        </w:rPr>
        <w:t>本标段的计划工期：见投标人须知前附表。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1.3.3  </w:t>
      </w:r>
      <w:r>
        <w:rPr>
          <w:rFonts w:hint="eastAsia" w:cs="宋体" w:asciiTheme="minorEastAsia" w:hAnsiTheme="minorEastAsia" w:eastAsiaTheme="minorEastAsia"/>
          <w:color w:val="auto"/>
          <w:highlight w:val="none"/>
        </w:rPr>
        <w:t>本标段的质量要求：见投标人须知前附表。</w:t>
      </w:r>
    </w:p>
    <w:p>
      <w:pPr>
        <w:spacing w:line="410" w:lineRule="exact"/>
        <w:outlineLvl w:val="2"/>
        <w:rPr>
          <w:rFonts w:cs="宋体" w:asciiTheme="minorEastAsia" w:hAnsiTheme="minorEastAsia" w:eastAsiaTheme="minorEastAsia"/>
          <w:b/>
          <w:bCs/>
          <w:color w:val="auto"/>
          <w:sz w:val="24"/>
          <w:szCs w:val="24"/>
          <w:highlight w:val="none"/>
        </w:rPr>
      </w:pPr>
      <w:bookmarkStart w:id="29" w:name="_Toc29781"/>
      <w:bookmarkStart w:id="30" w:name="_Toc9240"/>
      <w:bookmarkStart w:id="31" w:name="_Toc18952"/>
      <w:r>
        <w:rPr>
          <w:rFonts w:hint="eastAsia" w:cs="宋体" w:asciiTheme="minorEastAsia" w:hAnsiTheme="minorEastAsia" w:eastAsiaTheme="minorEastAsia"/>
          <w:b/>
          <w:bCs/>
          <w:color w:val="auto"/>
          <w:sz w:val="24"/>
          <w:szCs w:val="24"/>
          <w:highlight w:val="none"/>
        </w:rPr>
        <w:t>1.4 投标人资格要求（适用于未进行资格预审的）</w:t>
      </w:r>
      <w:bookmarkEnd w:id="29"/>
      <w:bookmarkEnd w:id="30"/>
      <w:bookmarkEnd w:id="31"/>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1.4.1  </w:t>
      </w:r>
      <w:r>
        <w:rPr>
          <w:rFonts w:hint="eastAsia" w:cs="宋体" w:asciiTheme="minorEastAsia" w:hAnsiTheme="minorEastAsia" w:eastAsiaTheme="minorEastAsia"/>
          <w:color w:val="auto"/>
          <w:highlight w:val="none"/>
        </w:rPr>
        <w:t>投标人应具备承担本标段施工的资质条件、能力和信誉。</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（1）资质条件：见投标人须知前附表。</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（2）财务要求：见投标人须知前附表。</w:t>
      </w:r>
    </w:p>
    <w:p>
      <w:pPr>
        <w:spacing w:line="410" w:lineRule="exact"/>
        <w:ind w:firstLine="420" w:firstLineChars="200"/>
        <w:rPr>
          <w:rFonts w:cs="宋体" w:asciiTheme="minorEastAsia" w:hAnsiTheme="minorEastAsia" w:eastAsiaTheme="minorEastAsia"/>
          <w:color w:val="auto"/>
          <w:highlight w:val="none"/>
        </w:rPr>
        <w:sectPr>
          <w:footerReference r:id="rId7" w:type="default"/>
          <w:pgSz w:w="11905" w:h="16838"/>
          <w:pgMar w:top="1247" w:right="1417" w:bottom="1247" w:left="1417" w:header="0" w:footer="850" w:gutter="0"/>
          <w:pgNumType w:start="1"/>
          <w:cols w:space="0" w:num="1"/>
        </w:sectPr>
      </w:pP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（3）业绩要求：见投标人须知前附表。</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（4）信誉要求：见投标人须知前附表。</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（5）项目负责人资格：见投标人须知前附表。</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（6）其他要求：见投标人须知前附表。</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1.4.2  </w:t>
      </w:r>
      <w:r>
        <w:rPr>
          <w:rFonts w:hint="eastAsia" w:cs="宋体" w:asciiTheme="minorEastAsia" w:hAnsiTheme="minorEastAsia" w:eastAsiaTheme="minorEastAsia"/>
          <w:color w:val="auto"/>
          <w:highlight w:val="none"/>
        </w:rPr>
        <w:t>投标人须知前附表规定接受联合体投标的，除应符合本章第1.4.1项和投标人须知前附表的要求外，还应遵守以下规定</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（1）联合体各方应按招标文件提供的格式签订联合体协议书，明确联合体牵头人和各方权利义务。</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（2）由同一专业的单位组成的联合体，按照资质等级较低的单位确定资质等级。</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（3）联合体各方不得再以自己名义单独或参加其他联合体在同一标段中投标。</w:t>
      </w:r>
    </w:p>
    <w:p>
      <w:pPr>
        <w:spacing w:line="410" w:lineRule="exact"/>
        <w:ind w:firstLine="422"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b/>
          <w:bCs/>
          <w:color w:val="auto"/>
          <w:highlight w:val="none"/>
        </w:rPr>
        <w:t xml:space="preserve">1.4.3  </w:t>
      </w:r>
      <w:r>
        <w:rPr>
          <w:rFonts w:hint="eastAsia" w:cs="宋体" w:asciiTheme="minorEastAsia" w:hAnsiTheme="minorEastAsia" w:eastAsiaTheme="minorEastAsia"/>
          <w:color w:val="auto"/>
          <w:highlight w:val="none"/>
        </w:rPr>
        <w:t>投标人不得存在下列情形之一：</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（1）为招标人不具有独立法人资格的附属机构（单位）。</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（2）为本标段前期准备提供设计或咨询服务的，但设计施工总承包的除外。</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（3）为本标段的监理人。</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（4）为本标段的代建人。</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（5）为本标段提供招标代理服务的。</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（6）与本标段的监理人或代建人或招标代理机构同为一个法定代表人的。</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（7）与本标段的监理人或代建人或招标代理机构相互控股或参股的。</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（8）与本标段的监理人或代建人或招标代理机构相互任职或工作的。</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（9）被责令停业的。</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（10）被暂停或取消投标资格的。</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（11）财产被接管或冻结的。</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（12）在最近3年内有骗取中标或严重违约或重大工程质量问题的。</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（13）与招标人存在利害关系，可能影响招标公正性的法人或者其他组织。</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（14）单位负责人为同一人或者存在控股、管理关系的不同单位。</w:t>
      </w:r>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（15）其他法律法规规定的情形。</w:t>
      </w:r>
    </w:p>
    <w:p>
      <w:pPr>
        <w:spacing w:line="410" w:lineRule="exact"/>
        <w:outlineLvl w:val="2"/>
        <w:rPr>
          <w:rFonts w:cs="宋体" w:asciiTheme="minorEastAsia" w:hAnsiTheme="minorEastAsia" w:eastAsiaTheme="minorEastAsia"/>
          <w:b/>
          <w:bCs/>
          <w:color w:val="auto"/>
          <w:sz w:val="24"/>
          <w:szCs w:val="24"/>
          <w:highlight w:val="none"/>
        </w:rPr>
      </w:pPr>
      <w:bookmarkStart w:id="32" w:name="_Toc4620"/>
      <w:bookmarkStart w:id="33" w:name="_Toc22500"/>
      <w:bookmarkStart w:id="34" w:name="_Toc924"/>
      <w:r>
        <w:rPr>
          <w:rFonts w:hint="eastAsia" w:cs="宋体" w:asciiTheme="minorEastAsia" w:hAnsiTheme="minorEastAsia" w:eastAsiaTheme="minorEastAsia"/>
          <w:b/>
          <w:bCs/>
          <w:color w:val="auto"/>
          <w:sz w:val="24"/>
          <w:szCs w:val="24"/>
          <w:highlight w:val="none"/>
        </w:rPr>
        <w:t>1.5  费用承担</w:t>
      </w:r>
      <w:bookmarkEnd w:id="32"/>
      <w:bookmarkEnd w:id="33"/>
      <w:bookmarkEnd w:id="34"/>
    </w:p>
    <w:p>
      <w:pPr>
        <w:spacing w:line="410" w:lineRule="exact"/>
        <w:ind w:firstLine="420" w:firstLineChars="200"/>
        <w:rPr>
          <w:rFonts w:cs="宋体" w:asciiTheme="minorEastAsia" w:hAnsiTheme="minorEastAsia" w:eastAsiaTheme="minorEastAsia"/>
          <w:color w:val="auto"/>
          <w:highlight w:val="none"/>
        </w:rPr>
      </w:pPr>
      <w:r>
        <w:rPr>
          <w:rFonts w:hint="eastAsia" w:cs="宋体" w:asciiTheme="minorEastAsia" w:hAnsiTheme="minorEastAsia" w:eastAsiaTheme="minorEastAsia"/>
          <w:color w:val="auto"/>
          <w:highlight w:val="none"/>
        </w:rPr>
        <w:t>投标人准备和参加投标活动发生的费用自理。</w:t>
      </w:r>
    </w:p>
    <w:p>
      <w:pPr>
        <w:spacing w:line="410" w:lineRule="exact"/>
        <w:outlineLvl w:val="2"/>
        <w:rPr>
          <w:rFonts w:cs="宋体" w:asciiTheme="minorEastAsia" w:hAnsiTheme="minorEastAsia" w:eastAsiaTheme="minorEastAsia"/>
          <w:b/>
          <w:bCs/>
          <w:color w:val="auto"/>
          <w:sz w:val="24"/>
          <w:szCs w:val="24"/>
          <w:highlight w:val="none"/>
        </w:rPr>
      </w:pPr>
      <w:bookmarkStart w:id="35" w:name="_Toc32578"/>
      <w:bookmarkStart w:id="36" w:name="_Toc1453"/>
      <w:bookmarkStart w:id="37" w:name="_Toc7234"/>
      <w:r>
        <w:rPr>
          <w:rFonts w:hint="eastAsia" w:cs="宋体" w:asciiTheme="minorEastAsia" w:hAnsiTheme="minorEastAsia" w:eastAsiaTheme="minorEastAsia"/>
          <w:b/>
          <w:bCs/>
          <w:color w:val="auto"/>
          <w:sz w:val="24"/>
          <w:szCs w:val="24"/>
          <w:highlight w:val="none"/>
        </w:rPr>
        <w:t>1.6  保密</w:t>
      </w:r>
      <w:bookmarkEnd w:id="35"/>
      <w:bookmarkEnd w:id="36"/>
      <w:bookmarkEnd w:id="37"/>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参与招标投标活动的各方应对招标文件和投标文件中的商业和技术等秘密保密，违者应对由此造成的后果承担法律责任。</w:t>
      </w:r>
    </w:p>
    <w:p>
      <w:pPr>
        <w:spacing w:line="410" w:lineRule="exact"/>
        <w:outlineLvl w:val="2"/>
        <w:rPr>
          <w:rFonts w:cs="宋体" w:asciiTheme="minorEastAsia" w:hAnsiTheme="minorEastAsia" w:eastAsiaTheme="minorEastAsia"/>
          <w:b/>
          <w:bCs/>
          <w:color w:val="auto"/>
          <w:sz w:val="24"/>
          <w:szCs w:val="24"/>
          <w:highlight w:val="none"/>
        </w:rPr>
      </w:pPr>
      <w:bookmarkStart w:id="38" w:name="_Toc849"/>
      <w:bookmarkStart w:id="39" w:name="_Toc22791"/>
      <w:bookmarkStart w:id="40" w:name="_Toc15293"/>
      <w:r>
        <w:rPr>
          <w:rFonts w:hint="eastAsia" w:cs="宋体" w:asciiTheme="minorEastAsia" w:hAnsiTheme="minorEastAsia" w:eastAsiaTheme="minorEastAsia"/>
          <w:b/>
          <w:bCs/>
          <w:color w:val="auto"/>
          <w:sz w:val="24"/>
          <w:szCs w:val="24"/>
          <w:highlight w:val="none"/>
        </w:rPr>
        <w:t>1.7  语言文字</w:t>
      </w:r>
      <w:bookmarkEnd w:id="38"/>
      <w:bookmarkEnd w:id="39"/>
      <w:bookmarkEnd w:id="40"/>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除专用术语外，与招标投标有关的语言均使用中文。必要时专用术语应附有中文注释。</w:t>
      </w:r>
    </w:p>
    <w:p>
      <w:pPr>
        <w:spacing w:line="410" w:lineRule="exact"/>
        <w:outlineLvl w:val="2"/>
        <w:rPr>
          <w:rFonts w:cs="宋体" w:asciiTheme="minorEastAsia" w:hAnsiTheme="minorEastAsia" w:eastAsiaTheme="minorEastAsia"/>
          <w:b/>
          <w:bCs/>
          <w:color w:val="auto"/>
          <w:sz w:val="24"/>
          <w:szCs w:val="24"/>
          <w:highlight w:val="none"/>
        </w:rPr>
      </w:pPr>
      <w:bookmarkStart w:id="41" w:name="_Toc3534"/>
      <w:bookmarkStart w:id="42" w:name="_Toc21521"/>
      <w:bookmarkStart w:id="43" w:name="_Toc10857"/>
      <w:r>
        <w:rPr>
          <w:rFonts w:hint="eastAsia" w:cs="宋体" w:asciiTheme="minorEastAsia" w:hAnsiTheme="minorEastAsia" w:eastAsiaTheme="minorEastAsia"/>
          <w:b/>
          <w:bCs/>
          <w:color w:val="auto"/>
          <w:sz w:val="24"/>
          <w:szCs w:val="24"/>
          <w:highlight w:val="none"/>
        </w:rPr>
        <w:t>1.8  计量单位</w:t>
      </w:r>
      <w:bookmarkEnd w:id="41"/>
      <w:bookmarkEnd w:id="42"/>
      <w:bookmarkEnd w:id="43"/>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所有计量均采用中华人民共和国法定计量单位。</w:t>
      </w:r>
    </w:p>
    <w:p>
      <w:pPr>
        <w:spacing w:line="410" w:lineRule="exact"/>
        <w:outlineLvl w:val="2"/>
        <w:rPr>
          <w:rFonts w:cs="宋体" w:asciiTheme="minorEastAsia" w:hAnsiTheme="minorEastAsia" w:eastAsiaTheme="minorEastAsia"/>
          <w:b/>
          <w:bCs/>
          <w:color w:val="auto"/>
          <w:sz w:val="24"/>
          <w:szCs w:val="24"/>
          <w:highlight w:val="none"/>
        </w:rPr>
      </w:pPr>
      <w:bookmarkStart w:id="44" w:name="_Toc8730"/>
      <w:bookmarkStart w:id="45" w:name="_Toc8377"/>
      <w:bookmarkStart w:id="46" w:name="_Toc30536"/>
      <w:r>
        <w:rPr>
          <w:rFonts w:hint="eastAsia" w:cs="宋体" w:asciiTheme="minorEastAsia" w:hAnsiTheme="minorEastAsia" w:eastAsiaTheme="minorEastAsia"/>
          <w:b/>
          <w:bCs/>
          <w:color w:val="auto"/>
          <w:sz w:val="24"/>
          <w:szCs w:val="24"/>
          <w:highlight w:val="none"/>
        </w:rPr>
        <w:t>1.9  踏勘现场</w:t>
      </w:r>
      <w:bookmarkEnd w:id="44"/>
      <w:bookmarkEnd w:id="45"/>
      <w:bookmarkEnd w:id="46"/>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1.9.1  </w:t>
      </w:r>
      <w:r>
        <w:rPr>
          <w:rFonts w:hint="eastAsia" w:asciiTheme="minorEastAsia" w:hAnsiTheme="minorEastAsia" w:eastAsiaTheme="minorEastAsia"/>
          <w:color w:val="auto"/>
          <w:sz w:val="21"/>
          <w:szCs w:val="21"/>
          <w:highlight w:val="none"/>
        </w:rPr>
        <w:t>投标人须知前附表规定组织踏勘现场的，招标人按照投标人须知前附表规定的时间和地点组织踏勘现场。</w:t>
      </w:r>
    </w:p>
    <w:p>
      <w:pPr>
        <w:pStyle w:val="30"/>
        <w:tabs>
          <w:tab w:val="left" w:pos="1104"/>
        </w:tabs>
        <w:spacing w:after="0" w:line="410" w:lineRule="exact"/>
        <w:ind w:left="420" w:leftChars="200" w:firstLine="0"/>
        <w:rPr>
          <w:rFonts w:asciiTheme="minorEastAsia" w:hAnsiTheme="minorEastAsia" w:eastAsiaTheme="minorEastAsia"/>
          <w:color w:val="auto"/>
          <w:sz w:val="21"/>
          <w:szCs w:val="21"/>
          <w:highlight w:val="none"/>
        </w:rPr>
      </w:pPr>
      <w:bookmarkStart w:id="47" w:name="bookmark0"/>
      <w:bookmarkEnd w:id="47"/>
      <w:r>
        <w:rPr>
          <w:rFonts w:hint="eastAsia" w:asciiTheme="minorEastAsia" w:hAnsiTheme="minorEastAsia" w:eastAsiaTheme="minorEastAsia"/>
          <w:b/>
          <w:bCs/>
          <w:color w:val="auto"/>
          <w:sz w:val="21"/>
          <w:szCs w:val="21"/>
          <w:highlight w:val="none"/>
          <w:lang w:val="en-US" w:eastAsia="zh-CN" w:bidi="en-US"/>
        </w:rPr>
        <w:t xml:space="preserve">1.9.2  </w:t>
      </w:r>
      <w:r>
        <w:rPr>
          <w:rFonts w:hint="eastAsia" w:asciiTheme="minorEastAsia" w:hAnsiTheme="minorEastAsia" w:eastAsiaTheme="minorEastAsia"/>
          <w:color w:val="auto"/>
          <w:sz w:val="21"/>
          <w:szCs w:val="21"/>
          <w:highlight w:val="none"/>
        </w:rPr>
        <w:t>投标人踏勘现场发生的费用自理。</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1.9.3  </w:t>
      </w:r>
      <w:r>
        <w:rPr>
          <w:rFonts w:hint="eastAsia" w:asciiTheme="minorEastAsia" w:hAnsiTheme="minorEastAsia" w:eastAsiaTheme="minorEastAsia"/>
          <w:color w:val="auto"/>
          <w:sz w:val="21"/>
          <w:szCs w:val="21"/>
          <w:highlight w:val="none"/>
        </w:rPr>
        <w:t>除招标人的原因外，投标人自行负责在踏勘现场中所发生的人员伤亡和财产损失。</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1.9.4  </w:t>
      </w:r>
      <w:r>
        <w:rPr>
          <w:rFonts w:hint="eastAsia" w:asciiTheme="minorEastAsia" w:hAnsiTheme="minorEastAsia" w:eastAsiaTheme="minorEastAsia"/>
          <w:color w:val="auto"/>
          <w:sz w:val="21"/>
          <w:szCs w:val="21"/>
          <w:highlight w:val="none"/>
        </w:rPr>
        <w:t>招标人在踏勘现场中介绍的工程场地和相关的周边环境情况，供投标人在编制投标文件时参考，招标人不对投标人据此作出的判断和决策负责。</w:t>
      </w:r>
    </w:p>
    <w:p>
      <w:pPr>
        <w:spacing w:line="410" w:lineRule="exact"/>
        <w:outlineLvl w:val="2"/>
        <w:rPr>
          <w:rFonts w:cs="宋体" w:asciiTheme="minorEastAsia" w:hAnsiTheme="minorEastAsia" w:eastAsiaTheme="minorEastAsia"/>
          <w:b/>
          <w:bCs/>
          <w:color w:val="auto"/>
          <w:sz w:val="24"/>
          <w:szCs w:val="24"/>
          <w:highlight w:val="none"/>
        </w:rPr>
      </w:pPr>
      <w:bookmarkStart w:id="48" w:name="_Toc9853"/>
      <w:bookmarkStart w:id="49" w:name="_Toc14782"/>
      <w:bookmarkStart w:id="50" w:name="_Toc12793"/>
      <w:r>
        <w:rPr>
          <w:rFonts w:hint="eastAsia" w:cs="宋体" w:asciiTheme="minorEastAsia" w:hAnsiTheme="minorEastAsia" w:eastAsiaTheme="minorEastAsia"/>
          <w:b/>
          <w:bCs/>
          <w:color w:val="auto"/>
          <w:sz w:val="24"/>
          <w:szCs w:val="24"/>
          <w:highlight w:val="none"/>
        </w:rPr>
        <w:t>1.10  投标预备会</w:t>
      </w:r>
      <w:bookmarkEnd w:id="48"/>
      <w:bookmarkEnd w:id="49"/>
      <w:bookmarkEnd w:id="50"/>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1.10.</w:t>
      </w:r>
      <w:r>
        <w:rPr>
          <w:rFonts w:hint="eastAsia" w:asciiTheme="minorEastAsia" w:hAnsiTheme="minorEastAsia" w:eastAsiaTheme="minorEastAsia"/>
          <w:b/>
          <w:bCs/>
          <w:color w:val="auto"/>
          <w:sz w:val="21"/>
          <w:szCs w:val="21"/>
          <w:highlight w:val="none"/>
        </w:rPr>
        <w:t>1</w:t>
      </w:r>
      <w:r>
        <w:rPr>
          <w:rFonts w:hint="eastAsia" w:asciiTheme="minorEastAsia" w:hAnsiTheme="minorEastAsia" w:eastAsiaTheme="minorEastAsia"/>
          <w:b/>
          <w:bCs/>
          <w:color w:val="auto"/>
          <w:sz w:val="21"/>
          <w:szCs w:val="21"/>
          <w:highlight w:val="none"/>
          <w:lang w:val="en-US" w:eastAsia="zh-CN"/>
        </w:rPr>
        <w:t xml:space="preserve">  </w:t>
      </w:r>
      <w:r>
        <w:rPr>
          <w:rFonts w:hint="eastAsia" w:asciiTheme="minorEastAsia" w:hAnsiTheme="minorEastAsia" w:eastAsiaTheme="minorEastAsia"/>
          <w:color w:val="auto"/>
          <w:sz w:val="21"/>
          <w:szCs w:val="21"/>
          <w:highlight w:val="none"/>
        </w:rPr>
        <w:t>投标人须知前附表规定召开投标预备会的，招标人按照投标人须知前附表规定的时间和地点召开投标预备会。</w:t>
      </w:r>
    </w:p>
    <w:p>
      <w:pPr>
        <w:pStyle w:val="30"/>
        <w:tabs>
          <w:tab w:val="left" w:pos="1124"/>
        </w:tabs>
        <w:spacing w:after="0" w:line="410" w:lineRule="exact"/>
        <w:ind w:firstLine="422" w:firstLineChars="200"/>
        <w:rPr>
          <w:rFonts w:asciiTheme="minorEastAsia" w:hAnsiTheme="minorEastAsia" w:eastAsiaTheme="minorEastAsia"/>
          <w:color w:val="auto"/>
          <w:sz w:val="21"/>
          <w:szCs w:val="21"/>
          <w:highlight w:val="none"/>
        </w:rPr>
      </w:pPr>
      <w:bookmarkStart w:id="51" w:name="bookmark1"/>
      <w:bookmarkEnd w:id="51"/>
      <w:r>
        <w:rPr>
          <w:rFonts w:hint="eastAsia" w:asciiTheme="minorEastAsia" w:hAnsiTheme="minorEastAsia" w:eastAsiaTheme="minorEastAsia"/>
          <w:b/>
          <w:bCs/>
          <w:color w:val="auto"/>
          <w:sz w:val="21"/>
          <w:szCs w:val="21"/>
          <w:highlight w:val="none"/>
          <w:lang w:val="en-US" w:eastAsia="zh-CN" w:bidi="en-US"/>
        </w:rPr>
        <w:t>1.10.</w:t>
      </w:r>
      <w:r>
        <w:rPr>
          <w:rFonts w:hint="eastAsia" w:asciiTheme="minorEastAsia" w:hAnsiTheme="minorEastAsia" w:eastAsiaTheme="minorEastAsia"/>
          <w:b/>
          <w:bCs/>
          <w:color w:val="auto"/>
          <w:sz w:val="21"/>
          <w:szCs w:val="21"/>
          <w:highlight w:val="none"/>
        </w:rPr>
        <w:t>2</w:t>
      </w:r>
      <w:r>
        <w:rPr>
          <w:rFonts w:hint="eastAsia" w:asciiTheme="minorEastAsia" w:hAnsiTheme="minorEastAsia" w:eastAsiaTheme="minorEastAsia"/>
          <w:b/>
          <w:bCs/>
          <w:color w:val="auto"/>
          <w:sz w:val="21"/>
          <w:szCs w:val="21"/>
          <w:highlight w:val="none"/>
          <w:lang w:val="en-US" w:eastAsia="zh-CN"/>
        </w:rPr>
        <w:t xml:space="preserve">  </w:t>
      </w:r>
      <w:r>
        <w:rPr>
          <w:rFonts w:hint="eastAsia" w:asciiTheme="minorEastAsia" w:hAnsiTheme="minorEastAsia" w:eastAsiaTheme="minorEastAsia"/>
          <w:color w:val="auto"/>
          <w:sz w:val="21"/>
          <w:szCs w:val="21"/>
          <w:highlight w:val="none"/>
        </w:rPr>
        <w:t>在投标预备会召开前，投标人应按投标人须知前附表第</w:t>
      </w:r>
      <w:r>
        <w:rPr>
          <w:rFonts w:hint="eastAsia" w:asciiTheme="minorEastAsia" w:hAnsiTheme="minorEastAsia" w:eastAsiaTheme="minorEastAsia"/>
          <w:color w:val="auto"/>
          <w:sz w:val="21"/>
          <w:szCs w:val="21"/>
          <w:highlight w:val="none"/>
          <w:lang w:val="en-US" w:eastAsia="zh-CN" w:bidi="en-US"/>
        </w:rPr>
        <w:t>2.2.1</w:t>
      </w:r>
      <w:r>
        <w:rPr>
          <w:rFonts w:hint="eastAsia" w:asciiTheme="minorEastAsia" w:hAnsiTheme="minorEastAsia" w:eastAsiaTheme="minorEastAsia"/>
          <w:color w:val="auto"/>
          <w:sz w:val="21"/>
          <w:szCs w:val="21"/>
          <w:highlight w:val="none"/>
        </w:rPr>
        <w:t>项规定的形式将需要招标人澄清的问题送达招标人。</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1.10.</w:t>
      </w:r>
      <w:r>
        <w:rPr>
          <w:rFonts w:hint="eastAsia" w:asciiTheme="minorEastAsia" w:hAnsiTheme="minorEastAsia" w:eastAsiaTheme="minorEastAsia"/>
          <w:b/>
          <w:bCs/>
          <w:color w:val="auto"/>
          <w:sz w:val="21"/>
          <w:szCs w:val="21"/>
          <w:highlight w:val="none"/>
        </w:rPr>
        <w:t>3</w:t>
      </w:r>
      <w:r>
        <w:rPr>
          <w:rFonts w:hint="eastAsia" w:asciiTheme="minorEastAsia" w:hAnsiTheme="minorEastAsia" w:eastAsiaTheme="minorEastAsia"/>
          <w:b/>
          <w:bCs/>
          <w:color w:val="auto"/>
          <w:sz w:val="21"/>
          <w:szCs w:val="21"/>
          <w:highlight w:val="none"/>
          <w:lang w:val="en-US" w:eastAsia="zh-CN"/>
        </w:rPr>
        <w:t xml:space="preserve">  </w:t>
      </w:r>
      <w:r>
        <w:rPr>
          <w:rFonts w:hint="eastAsia" w:asciiTheme="minorEastAsia" w:hAnsiTheme="minorEastAsia" w:eastAsiaTheme="minorEastAsia"/>
          <w:color w:val="auto"/>
          <w:sz w:val="21"/>
          <w:szCs w:val="21"/>
          <w:highlight w:val="none"/>
        </w:rPr>
        <w:t>在投标人须知前附表规定的投标截止时间15日前，招标人将对投标人所提问题的澄清，以投标人须知前附表第2.2.2项规定的方式通知所有获取招标文件的投标人。该澄清通知为招标文件的组成部分。</w:t>
      </w:r>
    </w:p>
    <w:p>
      <w:pPr>
        <w:spacing w:line="410" w:lineRule="exact"/>
        <w:outlineLvl w:val="2"/>
        <w:rPr>
          <w:rFonts w:cs="宋体" w:asciiTheme="minorEastAsia" w:hAnsiTheme="minorEastAsia" w:eastAsiaTheme="minorEastAsia"/>
          <w:b/>
          <w:bCs/>
          <w:color w:val="auto"/>
          <w:sz w:val="24"/>
          <w:szCs w:val="24"/>
          <w:highlight w:val="none"/>
        </w:rPr>
      </w:pPr>
      <w:bookmarkStart w:id="52" w:name="_Toc674"/>
      <w:bookmarkStart w:id="53" w:name="_Toc29185"/>
      <w:bookmarkStart w:id="54" w:name="_Toc11802"/>
      <w:r>
        <w:rPr>
          <w:rFonts w:hint="eastAsia" w:cs="宋体" w:asciiTheme="minorEastAsia" w:hAnsiTheme="minorEastAsia" w:eastAsiaTheme="minorEastAsia"/>
          <w:b/>
          <w:bCs/>
          <w:color w:val="auto"/>
          <w:sz w:val="24"/>
          <w:szCs w:val="24"/>
          <w:highlight w:val="none"/>
        </w:rPr>
        <w:t>1.11  分包</w:t>
      </w:r>
      <w:bookmarkEnd w:id="52"/>
      <w:bookmarkEnd w:id="53"/>
      <w:bookmarkEnd w:id="54"/>
    </w:p>
    <w:p>
      <w:pPr>
        <w:pStyle w:val="30"/>
        <w:spacing w:after="0" w:line="410" w:lineRule="exact"/>
        <w:ind w:firstLine="420" w:firstLineChars="200"/>
        <w:rPr>
          <w:rFonts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rPr>
        <w:t>投标人须知前附表规定允许分包的，分包的内容、分包金额、接受分包的第三人资质要求见投标人须知前附表。投标人应在投标文件中明确是否在中标后将中标项目的部分非主体、非关键性工作进行分包。投标人拟分包时，分包人应具备与分包工程的标准和规模相适应的资质和业绩，在人力、设备、资金等方面具有承担分包工程施工的能力</w:t>
      </w:r>
      <w:r>
        <w:rPr>
          <w:rFonts w:hint="eastAsia" w:asciiTheme="minorEastAsia" w:hAnsiTheme="minorEastAsia" w:eastAsiaTheme="minorEastAsia"/>
          <w:color w:val="auto"/>
          <w:sz w:val="21"/>
          <w:szCs w:val="21"/>
          <w:highlight w:val="none"/>
          <w:lang w:val="en-US" w:eastAsia="zh-CN"/>
        </w:rPr>
        <w:t>.</w:t>
      </w:r>
    </w:p>
    <w:p>
      <w:pPr>
        <w:spacing w:line="410" w:lineRule="exact"/>
        <w:outlineLvl w:val="2"/>
        <w:rPr>
          <w:rFonts w:cs="宋体" w:asciiTheme="minorEastAsia" w:hAnsiTheme="minorEastAsia" w:eastAsiaTheme="minorEastAsia"/>
          <w:b/>
          <w:bCs/>
          <w:color w:val="auto"/>
          <w:sz w:val="24"/>
          <w:szCs w:val="24"/>
          <w:highlight w:val="none"/>
        </w:rPr>
      </w:pPr>
      <w:bookmarkStart w:id="55" w:name="_Toc27348"/>
      <w:bookmarkStart w:id="56" w:name="_Toc10599"/>
      <w:bookmarkStart w:id="57" w:name="_Toc6573"/>
      <w:r>
        <w:rPr>
          <w:rFonts w:hint="eastAsia" w:cs="宋体" w:asciiTheme="minorEastAsia" w:hAnsiTheme="minorEastAsia" w:eastAsiaTheme="minorEastAsia"/>
          <w:b/>
          <w:bCs/>
          <w:color w:val="auto"/>
          <w:sz w:val="24"/>
          <w:szCs w:val="24"/>
          <w:highlight w:val="none"/>
        </w:rPr>
        <w:t>1.12  偏离</w:t>
      </w:r>
      <w:bookmarkEnd w:id="55"/>
      <w:bookmarkEnd w:id="56"/>
      <w:bookmarkEnd w:id="57"/>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投标文件不允许偏离招标文件的实质性要求和条件。允许投标文件偏离招标文件的非实质性要求和条件的，其偏离内容、范围和幅度见投标人须知前附表。</w:t>
      </w:r>
    </w:p>
    <w:p>
      <w:pPr>
        <w:spacing w:line="410" w:lineRule="exact"/>
        <w:outlineLvl w:val="1"/>
        <w:rPr>
          <w:rFonts w:cs="宋体" w:asciiTheme="minorEastAsia" w:hAnsiTheme="minorEastAsia" w:eastAsiaTheme="minorEastAsia"/>
          <w:b/>
          <w:bCs/>
          <w:color w:val="auto"/>
          <w:sz w:val="28"/>
          <w:szCs w:val="28"/>
          <w:highlight w:val="none"/>
        </w:rPr>
      </w:pPr>
      <w:bookmarkStart w:id="58" w:name="bookmark2"/>
      <w:bookmarkStart w:id="59" w:name="bookmark4"/>
      <w:bookmarkStart w:id="60" w:name="bookmark3"/>
      <w:bookmarkStart w:id="61" w:name="_Toc20385"/>
      <w:r>
        <w:rPr>
          <w:rFonts w:hint="eastAsia" w:cs="宋体" w:asciiTheme="minorEastAsia" w:hAnsiTheme="minorEastAsia" w:eastAsiaTheme="minorEastAsia"/>
          <w:b/>
          <w:bCs/>
          <w:color w:val="auto"/>
          <w:sz w:val="28"/>
          <w:szCs w:val="28"/>
          <w:highlight w:val="none"/>
        </w:rPr>
        <w:t>2  招标文件</w:t>
      </w:r>
      <w:bookmarkEnd w:id="58"/>
      <w:bookmarkEnd w:id="59"/>
      <w:bookmarkEnd w:id="60"/>
      <w:bookmarkEnd w:id="61"/>
    </w:p>
    <w:p>
      <w:pPr>
        <w:spacing w:line="410" w:lineRule="exact"/>
        <w:outlineLvl w:val="2"/>
        <w:rPr>
          <w:rFonts w:cs="宋体" w:asciiTheme="minorEastAsia" w:hAnsiTheme="minorEastAsia" w:eastAsiaTheme="minorEastAsia"/>
          <w:b/>
          <w:bCs/>
          <w:color w:val="auto"/>
          <w:sz w:val="24"/>
          <w:szCs w:val="24"/>
          <w:highlight w:val="none"/>
        </w:rPr>
      </w:pPr>
      <w:bookmarkStart w:id="62" w:name="_Toc22480"/>
      <w:bookmarkStart w:id="63" w:name="_Toc7938"/>
      <w:bookmarkStart w:id="64" w:name="_Toc30983"/>
      <w:r>
        <w:rPr>
          <w:rFonts w:hint="eastAsia" w:cs="宋体" w:asciiTheme="minorEastAsia" w:hAnsiTheme="minorEastAsia" w:eastAsiaTheme="minorEastAsia"/>
          <w:b/>
          <w:bCs/>
          <w:color w:val="auto"/>
          <w:sz w:val="24"/>
          <w:szCs w:val="24"/>
          <w:highlight w:val="none"/>
        </w:rPr>
        <w:t>2.1  招标文件的组成</w:t>
      </w:r>
      <w:bookmarkEnd w:id="62"/>
      <w:bookmarkEnd w:id="63"/>
      <w:bookmarkEnd w:id="64"/>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本招标文件包括下列内容：</w:t>
      </w:r>
    </w:p>
    <w:p>
      <w:pPr>
        <w:pStyle w:val="30"/>
        <w:tabs>
          <w:tab w:val="left" w:pos="1300"/>
        </w:tabs>
        <w:spacing w:after="0" w:line="410" w:lineRule="exact"/>
        <w:ind w:left="420" w:leftChars="200" w:firstLine="0"/>
        <w:rPr>
          <w:rFonts w:asciiTheme="minorEastAsia" w:hAnsiTheme="minorEastAsia" w:eastAsiaTheme="minorEastAsia"/>
          <w:color w:val="auto"/>
          <w:sz w:val="21"/>
          <w:szCs w:val="21"/>
          <w:highlight w:val="none"/>
        </w:rPr>
      </w:pPr>
      <w:bookmarkStart w:id="65" w:name="bookmark5"/>
      <w:bookmarkEnd w:id="65"/>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1</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招标公告</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或投标邀请书</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w:t>
      </w:r>
    </w:p>
    <w:p>
      <w:pPr>
        <w:pStyle w:val="30"/>
        <w:tabs>
          <w:tab w:val="left" w:pos="1300"/>
        </w:tabs>
        <w:spacing w:after="0" w:line="410" w:lineRule="exact"/>
        <w:ind w:left="420" w:leftChars="200" w:firstLine="0"/>
        <w:rPr>
          <w:rFonts w:asciiTheme="minorEastAsia" w:hAnsiTheme="minorEastAsia" w:eastAsiaTheme="minorEastAsia"/>
          <w:color w:val="auto"/>
          <w:sz w:val="21"/>
          <w:szCs w:val="21"/>
          <w:highlight w:val="none"/>
        </w:rPr>
      </w:pPr>
      <w:bookmarkStart w:id="66" w:name="bookmark6"/>
      <w:bookmarkEnd w:id="66"/>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2</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投标人须知。</w:t>
      </w:r>
    </w:p>
    <w:p>
      <w:pPr>
        <w:pStyle w:val="30"/>
        <w:tabs>
          <w:tab w:val="left" w:pos="1300"/>
        </w:tabs>
        <w:spacing w:after="0" w:line="410" w:lineRule="exact"/>
        <w:ind w:left="420" w:leftChars="200" w:firstLine="0"/>
        <w:rPr>
          <w:rFonts w:asciiTheme="minorEastAsia" w:hAnsiTheme="minorEastAsia" w:eastAsiaTheme="minorEastAsia"/>
          <w:color w:val="auto"/>
          <w:sz w:val="21"/>
          <w:szCs w:val="21"/>
          <w:highlight w:val="none"/>
        </w:rPr>
      </w:pPr>
      <w:bookmarkStart w:id="67" w:name="bookmark7"/>
      <w:bookmarkEnd w:id="67"/>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3</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评标办法。</w:t>
      </w:r>
    </w:p>
    <w:p>
      <w:pPr>
        <w:pStyle w:val="30"/>
        <w:tabs>
          <w:tab w:val="left" w:pos="1300"/>
        </w:tabs>
        <w:spacing w:after="0" w:line="410" w:lineRule="exact"/>
        <w:ind w:left="420" w:leftChars="200" w:firstLine="0"/>
        <w:rPr>
          <w:rFonts w:asciiTheme="minorEastAsia" w:hAnsiTheme="minorEastAsia" w:eastAsiaTheme="minorEastAsia"/>
          <w:color w:val="auto"/>
          <w:sz w:val="21"/>
          <w:szCs w:val="21"/>
          <w:highlight w:val="none"/>
        </w:rPr>
      </w:pPr>
      <w:bookmarkStart w:id="68" w:name="bookmark8"/>
      <w:bookmarkEnd w:id="68"/>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4</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合同条款及格式。</w:t>
      </w:r>
    </w:p>
    <w:p>
      <w:pPr>
        <w:pStyle w:val="30"/>
        <w:tabs>
          <w:tab w:val="left" w:pos="1300"/>
        </w:tabs>
        <w:spacing w:after="0" w:line="410" w:lineRule="exact"/>
        <w:ind w:left="420" w:leftChars="200" w:firstLine="0"/>
        <w:rPr>
          <w:rFonts w:asciiTheme="minorEastAsia" w:hAnsiTheme="minorEastAsia" w:eastAsiaTheme="minorEastAsia"/>
          <w:color w:val="auto"/>
          <w:sz w:val="21"/>
          <w:szCs w:val="21"/>
          <w:highlight w:val="none"/>
        </w:rPr>
      </w:pPr>
      <w:bookmarkStart w:id="69" w:name="bookmark9"/>
      <w:bookmarkEnd w:id="69"/>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5</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工程量清单。</w:t>
      </w:r>
    </w:p>
    <w:p>
      <w:pPr>
        <w:pStyle w:val="30"/>
        <w:tabs>
          <w:tab w:val="left" w:pos="1300"/>
        </w:tabs>
        <w:spacing w:after="0" w:line="410" w:lineRule="exact"/>
        <w:ind w:left="420" w:leftChars="200" w:firstLine="0"/>
        <w:rPr>
          <w:rFonts w:asciiTheme="minorEastAsia" w:hAnsiTheme="minorEastAsia" w:eastAsiaTheme="minorEastAsia"/>
          <w:color w:val="auto"/>
          <w:sz w:val="21"/>
          <w:szCs w:val="21"/>
          <w:highlight w:val="none"/>
        </w:rPr>
      </w:pPr>
      <w:bookmarkStart w:id="70" w:name="bookmark10"/>
      <w:bookmarkEnd w:id="70"/>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6</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图纸。</w:t>
      </w:r>
    </w:p>
    <w:p>
      <w:pPr>
        <w:pStyle w:val="30"/>
        <w:tabs>
          <w:tab w:val="left" w:pos="1300"/>
        </w:tabs>
        <w:spacing w:after="0" w:line="410" w:lineRule="exact"/>
        <w:ind w:left="420" w:leftChars="200" w:firstLine="0"/>
        <w:rPr>
          <w:rFonts w:asciiTheme="minorEastAsia" w:hAnsiTheme="minorEastAsia" w:eastAsiaTheme="minorEastAsia"/>
          <w:color w:val="auto"/>
          <w:sz w:val="21"/>
          <w:szCs w:val="21"/>
          <w:highlight w:val="none"/>
        </w:rPr>
      </w:pPr>
      <w:bookmarkStart w:id="71" w:name="bookmark11"/>
      <w:bookmarkEnd w:id="71"/>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7</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技术标准和要求。</w:t>
      </w:r>
    </w:p>
    <w:p>
      <w:pPr>
        <w:pStyle w:val="30"/>
        <w:tabs>
          <w:tab w:val="left" w:pos="1300"/>
        </w:tabs>
        <w:spacing w:after="0" w:line="410" w:lineRule="exact"/>
        <w:ind w:left="420" w:leftChars="200" w:firstLine="0"/>
        <w:rPr>
          <w:rFonts w:asciiTheme="minorEastAsia" w:hAnsiTheme="minorEastAsia" w:eastAsiaTheme="minorEastAsia"/>
          <w:color w:val="auto"/>
          <w:sz w:val="21"/>
          <w:szCs w:val="21"/>
          <w:highlight w:val="none"/>
        </w:rPr>
      </w:pPr>
      <w:bookmarkStart w:id="72" w:name="bookmark12"/>
      <w:bookmarkEnd w:id="72"/>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8</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投标文件格式。</w:t>
      </w:r>
    </w:p>
    <w:p>
      <w:pPr>
        <w:pStyle w:val="30"/>
        <w:tabs>
          <w:tab w:val="left" w:pos="1300"/>
        </w:tabs>
        <w:spacing w:after="0" w:line="410" w:lineRule="exact"/>
        <w:ind w:left="420" w:leftChars="200" w:firstLine="0"/>
        <w:rPr>
          <w:rFonts w:asciiTheme="minorEastAsia" w:hAnsiTheme="minorEastAsia" w:eastAsiaTheme="minorEastAsia"/>
          <w:color w:val="auto"/>
          <w:sz w:val="21"/>
          <w:szCs w:val="21"/>
          <w:highlight w:val="none"/>
        </w:rPr>
      </w:pPr>
      <w:bookmarkStart w:id="73" w:name="bookmark13"/>
      <w:bookmarkEnd w:id="73"/>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9</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投标人须知前附表规定的其他材料。</w:t>
      </w:r>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根据本章第</w:t>
      </w:r>
      <w:r>
        <w:rPr>
          <w:rFonts w:hint="eastAsia" w:asciiTheme="minorEastAsia" w:hAnsiTheme="minorEastAsia" w:eastAsiaTheme="minorEastAsia"/>
          <w:color w:val="auto"/>
          <w:sz w:val="21"/>
          <w:szCs w:val="21"/>
          <w:highlight w:val="none"/>
          <w:lang w:val="en-US" w:eastAsia="zh-CN" w:bidi="en-US"/>
        </w:rPr>
        <w:t>1.</w:t>
      </w:r>
      <w:r>
        <w:rPr>
          <w:rFonts w:hint="eastAsia" w:asciiTheme="minorEastAsia" w:hAnsiTheme="minorEastAsia" w:eastAsiaTheme="minorEastAsia"/>
          <w:color w:val="auto"/>
          <w:sz w:val="21"/>
          <w:szCs w:val="21"/>
          <w:highlight w:val="none"/>
        </w:rPr>
        <w:t>10款、第</w:t>
      </w:r>
      <w:r>
        <w:rPr>
          <w:rFonts w:hint="eastAsia" w:asciiTheme="minorEastAsia" w:hAnsiTheme="minorEastAsia" w:eastAsiaTheme="minorEastAsia"/>
          <w:color w:val="auto"/>
          <w:sz w:val="21"/>
          <w:szCs w:val="21"/>
          <w:highlight w:val="none"/>
          <w:lang w:val="en-US" w:eastAsia="zh-CN" w:bidi="en-US"/>
        </w:rPr>
        <w:t>2.</w:t>
      </w:r>
      <w:r>
        <w:rPr>
          <w:rFonts w:hint="eastAsia" w:asciiTheme="minorEastAsia" w:hAnsiTheme="minorEastAsia" w:eastAsiaTheme="minorEastAsia"/>
          <w:color w:val="auto"/>
          <w:sz w:val="21"/>
          <w:szCs w:val="21"/>
          <w:highlight w:val="none"/>
        </w:rPr>
        <w:t>2款和第</w:t>
      </w:r>
      <w:r>
        <w:rPr>
          <w:rFonts w:hint="eastAsia" w:asciiTheme="minorEastAsia" w:hAnsiTheme="minorEastAsia" w:eastAsiaTheme="minorEastAsia"/>
          <w:color w:val="auto"/>
          <w:sz w:val="21"/>
          <w:szCs w:val="21"/>
          <w:highlight w:val="none"/>
          <w:lang w:val="en-US" w:eastAsia="zh-CN" w:bidi="en-US"/>
        </w:rPr>
        <w:t>2.</w:t>
      </w:r>
      <w:r>
        <w:rPr>
          <w:rFonts w:hint="eastAsia" w:asciiTheme="minorEastAsia" w:hAnsiTheme="minorEastAsia" w:eastAsiaTheme="minorEastAsia"/>
          <w:color w:val="auto"/>
          <w:sz w:val="21"/>
          <w:szCs w:val="21"/>
          <w:highlight w:val="none"/>
        </w:rPr>
        <w:t>3款对招标文件所作的澄清、修改</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构成招标文件的组成部分。</w:t>
      </w:r>
    </w:p>
    <w:p>
      <w:pPr>
        <w:spacing w:line="410" w:lineRule="exact"/>
        <w:outlineLvl w:val="2"/>
        <w:rPr>
          <w:rFonts w:cs="宋体" w:asciiTheme="minorEastAsia" w:hAnsiTheme="minorEastAsia" w:eastAsiaTheme="minorEastAsia"/>
          <w:b/>
          <w:bCs/>
          <w:color w:val="auto"/>
          <w:sz w:val="24"/>
          <w:szCs w:val="24"/>
          <w:highlight w:val="none"/>
        </w:rPr>
      </w:pPr>
      <w:bookmarkStart w:id="74" w:name="_Toc6704"/>
      <w:bookmarkStart w:id="75" w:name="_Toc2911"/>
      <w:bookmarkStart w:id="76" w:name="_Toc16993"/>
      <w:r>
        <w:rPr>
          <w:rFonts w:hint="eastAsia" w:cs="宋体" w:asciiTheme="minorEastAsia" w:hAnsiTheme="minorEastAsia" w:eastAsiaTheme="minorEastAsia"/>
          <w:b/>
          <w:bCs/>
          <w:color w:val="auto"/>
          <w:sz w:val="24"/>
          <w:szCs w:val="24"/>
          <w:highlight w:val="none"/>
        </w:rPr>
        <w:t>2.2  招标文件的澄清</w:t>
      </w:r>
      <w:bookmarkEnd w:id="74"/>
      <w:bookmarkEnd w:id="75"/>
      <w:bookmarkEnd w:id="76"/>
    </w:p>
    <w:p>
      <w:pPr>
        <w:pStyle w:val="30"/>
        <w:spacing w:after="0" w:line="410" w:lineRule="exact"/>
        <w:ind w:firstLine="422" w:firstLineChars="200"/>
        <w:rPr>
          <w:rFonts w:asciiTheme="minorEastAsia" w:hAnsiTheme="minorEastAsia" w:eastAsiaTheme="minorEastAsia"/>
          <w:color w:val="auto"/>
          <w:sz w:val="21"/>
          <w:szCs w:val="21"/>
          <w:highlight w:val="none"/>
        </w:rPr>
      </w:pPr>
      <w:bookmarkStart w:id="77" w:name="bookmark14"/>
      <w:bookmarkEnd w:id="77"/>
      <w:r>
        <w:rPr>
          <w:rFonts w:hint="eastAsia" w:asciiTheme="minorEastAsia" w:hAnsiTheme="minorEastAsia" w:eastAsiaTheme="minorEastAsia"/>
          <w:b/>
          <w:bCs/>
          <w:color w:val="auto"/>
          <w:sz w:val="21"/>
          <w:szCs w:val="21"/>
          <w:highlight w:val="none"/>
          <w:lang w:val="en-US" w:eastAsia="zh-CN"/>
        </w:rPr>
        <w:t xml:space="preserve">2.2.1  </w:t>
      </w:r>
      <w:r>
        <w:rPr>
          <w:rFonts w:hint="eastAsia" w:asciiTheme="minorEastAsia" w:hAnsiTheme="minorEastAsia" w:eastAsiaTheme="minorEastAsia"/>
          <w:color w:val="auto"/>
          <w:sz w:val="21"/>
          <w:szCs w:val="21"/>
          <w:highlight w:val="none"/>
        </w:rPr>
        <w:t>投标人应仔细阅读和检查招标文件的全部内容。如发现缺页或附件不全，应及时向招标人提出，以便补齐。如有疑问，应在投标人须知前附表规定的时间前以规定的形式提出澄清申请，要求招标人对招标文件予以澄清。</w:t>
      </w:r>
    </w:p>
    <w:p>
      <w:pPr>
        <w:pStyle w:val="30"/>
        <w:spacing w:after="0" w:line="410" w:lineRule="exact"/>
        <w:ind w:firstLine="422" w:firstLineChars="200"/>
        <w:rPr>
          <w:rFonts w:asciiTheme="minorEastAsia" w:hAnsiTheme="minorEastAsia" w:eastAsiaTheme="minorEastAsia"/>
          <w:color w:val="auto"/>
          <w:sz w:val="21"/>
          <w:szCs w:val="21"/>
          <w:highlight w:val="none"/>
        </w:rPr>
      </w:pPr>
      <w:bookmarkStart w:id="78" w:name="bookmark15"/>
      <w:bookmarkEnd w:id="78"/>
      <w:r>
        <w:rPr>
          <w:rFonts w:hint="eastAsia" w:asciiTheme="minorEastAsia" w:hAnsiTheme="minorEastAsia" w:eastAsiaTheme="minorEastAsia"/>
          <w:b/>
          <w:bCs/>
          <w:color w:val="auto"/>
          <w:sz w:val="21"/>
          <w:szCs w:val="21"/>
          <w:highlight w:val="none"/>
          <w:lang w:val="en-US" w:eastAsia="zh-CN"/>
        </w:rPr>
        <w:t xml:space="preserve">2.2.2  </w:t>
      </w:r>
      <w:r>
        <w:rPr>
          <w:rFonts w:hint="eastAsia" w:asciiTheme="minorEastAsia" w:hAnsiTheme="minorEastAsia" w:eastAsiaTheme="minorEastAsia"/>
          <w:color w:val="auto"/>
          <w:sz w:val="21"/>
          <w:szCs w:val="21"/>
          <w:highlight w:val="none"/>
        </w:rPr>
        <w:t>招标人可以对已发出的招标文件进行必要的澄清，但不指明澄清问题的来源。修改招标文件的时间距投标截止时间不足7日的，相应延长投标截止时间。澄清的内容可能影响投标文件编制的，招标人应当在投标截止时间至少15日前，以投标人须知前附表规定的形式通知所有获取招标文件的潜在投标人，不足15日的，招标人应当顺延提交投标文件的截止时间。</w:t>
      </w:r>
    </w:p>
    <w:p>
      <w:pPr>
        <w:pStyle w:val="30"/>
        <w:spacing w:after="0" w:line="410" w:lineRule="exact"/>
        <w:ind w:firstLine="422" w:firstLineChars="200"/>
        <w:rPr>
          <w:rFonts w:asciiTheme="minorEastAsia" w:hAnsiTheme="minorEastAsia" w:eastAsiaTheme="minorEastAsia"/>
          <w:color w:val="auto"/>
          <w:sz w:val="21"/>
          <w:szCs w:val="21"/>
          <w:highlight w:val="none"/>
        </w:rPr>
      </w:pPr>
      <w:bookmarkStart w:id="79" w:name="bookmark16"/>
      <w:bookmarkEnd w:id="79"/>
      <w:r>
        <w:rPr>
          <w:rFonts w:hint="eastAsia" w:asciiTheme="minorEastAsia" w:hAnsiTheme="minorEastAsia" w:eastAsiaTheme="minorEastAsia"/>
          <w:b/>
          <w:bCs/>
          <w:color w:val="auto"/>
          <w:sz w:val="21"/>
          <w:szCs w:val="21"/>
          <w:highlight w:val="none"/>
          <w:lang w:val="en-US" w:eastAsia="zh-CN"/>
        </w:rPr>
        <w:t xml:space="preserve">2.2.3  </w:t>
      </w:r>
      <w:r>
        <w:rPr>
          <w:rFonts w:hint="eastAsia" w:asciiTheme="minorEastAsia" w:hAnsiTheme="minorEastAsia" w:eastAsiaTheme="minorEastAsia"/>
          <w:color w:val="auto"/>
          <w:sz w:val="21"/>
          <w:szCs w:val="21"/>
          <w:highlight w:val="none"/>
        </w:rPr>
        <w:t>投标人在收到澄清通知后，无须确认。</w:t>
      </w:r>
    </w:p>
    <w:p>
      <w:pPr>
        <w:spacing w:line="410" w:lineRule="exact"/>
        <w:outlineLvl w:val="2"/>
        <w:rPr>
          <w:rFonts w:cs="宋体" w:asciiTheme="minorEastAsia" w:hAnsiTheme="minorEastAsia" w:eastAsiaTheme="minorEastAsia"/>
          <w:b/>
          <w:bCs/>
          <w:color w:val="auto"/>
          <w:sz w:val="24"/>
          <w:szCs w:val="24"/>
          <w:highlight w:val="none"/>
        </w:rPr>
      </w:pPr>
      <w:bookmarkStart w:id="80" w:name="_Toc5309"/>
      <w:bookmarkStart w:id="81" w:name="_Toc17582"/>
      <w:bookmarkStart w:id="82" w:name="_Toc8522"/>
      <w:r>
        <w:rPr>
          <w:rFonts w:hint="eastAsia" w:cs="宋体" w:asciiTheme="minorEastAsia" w:hAnsiTheme="minorEastAsia" w:eastAsiaTheme="minorEastAsia"/>
          <w:b/>
          <w:bCs/>
          <w:color w:val="auto"/>
          <w:sz w:val="24"/>
          <w:szCs w:val="24"/>
          <w:highlight w:val="none"/>
        </w:rPr>
        <w:t>2.3  招标文件的修改</w:t>
      </w:r>
      <w:bookmarkEnd w:id="80"/>
      <w:bookmarkEnd w:id="81"/>
      <w:bookmarkEnd w:id="82"/>
    </w:p>
    <w:p>
      <w:pPr>
        <w:pStyle w:val="30"/>
        <w:spacing w:after="0" w:line="410" w:lineRule="exact"/>
        <w:ind w:firstLine="422" w:firstLineChars="200"/>
        <w:rPr>
          <w:rFonts w:asciiTheme="minorEastAsia" w:hAnsiTheme="minorEastAsia" w:eastAsiaTheme="minorEastAsia"/>
          <w:color w:val="auto"/>
          <w:sz w:val="21"/>
          <w:szCs w:val="21"/>
          <w:highlight w:val="none"/>
          <w:lang w:val="en-US" w:eastAsia="zh-CN"/>
        </w:rPr>
      </w:pPr>
      <w:bookmarkStart w:id="83" w:name="bookmark17"/>
      <w:bookmarkEnd w:id="83"/>
      <w:r>
        <w:rPr>
          <w:rFonts w:hint="eastAsia" w:asciiTheme="minorEastAsia" w:hAnsiTheme="minorEastAsia" w:eastAsiaTheme="minorEastAsia"/>
          <w:b/>
          <w:bCs/>
          <w:color w:val="auto"/>
          <w:sz w:val="21"/>
          <w:szCs w:val="21"/>
          <w:highlight w:val="none"/>
          <w:lang w:val="en-US" w:eastAsia="zh-CN"/>
        </w:rPr>
        <w:t xml:space="preserve">2.3.1  </w:t>
      </w:r>
      <w:r>
        <w:rPr>
          <w:rFonts w:hint="eastAsia" w:asciiTheme="minorEastAsia" w:hAnsiTheme="minorEastAsia" w:eastAsiaTheme="minorEastAsia"/>
          <w:color w:val="auto"/>
          <w:sz w:val="21"/>
          <w:szCs w:val="21"/>
          <w:highlight w:val="none"/>
          <w:lang w:val="en-US" w:eastAsia="zh-CN"/>
        </w:rPr>
        <w:t>招标人可以对已发出的招标文件进行必要的修改。修改招标文件的时间距投标截止时间不足7日的，相应延长投标截止时间。修改的内容可能影响投标文件编制的，招标人应当在投标截止时间至少15日前，以投标人须知前附表规定的形式通知所有获取招标文件的潜在投标人，不足15日的，招标人应当顺延提交投标文件的截止时间。</w:t>
      </w:r>
    </w:p>
    <w:p>
      <w:pPr>
        <w:pStyle w:val="30"/>
        <w:spacing w:after="0" w:line="410" w:lineRule="exact"/>
        <w:ind w:firstLine="422" w:firstLineChars="200"/>
        <w:rPr>
          <w:rFonts w:asciiTheme="minorEastAsia" w:hAnsiTheme="minorEastAsia" w:eastAsiaTheme="minorEastAsia"/>
          <w:color w:val="auto"/>
          <w:sz w:val="21"/>
          <w:szCs w:val="21"/>
          <w:highlight w:val="none"/>
          <w:lang w:val="en-US" w:eastAsia="zh-CN"/>
        </w:rPr>
      </w:pPr>
      <w:bookmarkStart w:id="84" w:name="bookmark18"/>
      <w:bookmarkEnd w:id="84"/>
      <w:r>
        <w:rPr>
          <w:rFonts w:hint="eastAsia" w:asciiTheme="minorEastAsia" w:hAnsiTheme="minorEastAsia" w:eastAsiaTheme="minorEastAsia"/>
          <w:b/>
          <w:bCs/>
          <w:color w:val="auto"/>
          <w:sz w:val="21"/>
          <w:szCs w:val="21"/>
          <w:highlight w:val="none"/>
          <w:lang w:val="en-US" w:eastAsia="zh-CN"/>
        </w:rPr>
        <w:t xml:space="preserve">2.3.2  </w:t>
      </w:r>
      <w:r>
        <w:rPr>
          <w:rFonts w:hint="eastAsia" w:asciiTheme="minorEastAsia" w:hAnsiTheme="minorEastAsia" w:eastAsiaTheme="minorEastAsia"/>
          <w:color w:val="auto"/>
          <w:sz w:val="21"/>
          <w:szCs w:val="21"/>
          <w:highlight w:val="none"/>
          <w:lang w:val="en-US" w:eastAsia="zh-CN"/>
        </w:rPr>
        <w:t>投标人收到修改通知后，无须确认。</w:t>
      </w:r>
    </w:p>
    <w:p>
      <w:pPr>
        <w:pStyle w:val="30"/>
        <w:spacing w:after="0" w:line="410" w:lineRule="exact"/>
        <w:ind w:firstLine="422" w:firstLineChars="200"/>
        <w:rPr>
          <w:rFonts w:asciiTheme="minorEastAsia" w:hAnsiTheme="minorEastAsia" w:eastAsiaTheme="minorEastAsia"/>
          <w:color w:val="auto"/>
          <w:sz w:val="21"/>
          <w:szCs w:val="21"/>
          <w:highlight w:val="none"/>
          <w:lang w:val="en-US" w:eastAsia="zh-CN"/>
        </w:rPr>
      </w:pPr>
      <w:bookmarkStart w:id="85" w:name="bookmark19"/>
      <w:bookmarkEnd w:id="85"/>
      <w:r>
        <w:rPr>
          <w:rFonts w:hint="eastAsia" w:asciiTheme="minorEastAsia" w:hAnsiTheme="minorEastAsia" w:eastAsiaTheme="minorEastAsia"/>
          <w:b/>
          <w:bCs/>
          <w:color w:val="auto"/>
          <w:sz w:val="21"/>
          <w:szCs w:val="21"/>
          <w:highlight w:val="none"/>
          <w:lang w:val="en-US" w:eastAsia="zh-CN"/>
        </w:rPr>
        <w:t xml:space="preserve">2.3.3  </w:t>
      </w:r>
      <w:r>
        <w:rPr>
          <w:rFonts w:hint="eastAsia" w:asciiTheme="minorEastAsia" w:hAnsiTheme="minorEastAsia" w:eastAsiaTheme="minorEastAsia"/>
          <w:color w:val="auto"/>
          <w:sz w:val="21"/>
          <w:szCs w:val="21"/>
          <w:highlight w:val="none"/>
          <w:lang w:val="en-US" w:eastAsia="zh-CN"/>
        </w:rPr>
        <w:t>潜在投标人或者其他利害关系人对招标文件有异议的，应当在投标截止时间10日前提出。招标人应当自收到异议之日起3日内作出答复；作出答复前，应当暂停招标投标活动。提出异议与作出答复均应通过下载招标文件的电子招标投标交易平台完成。</w:t>
      </w:r>
    </w:p>
    <w:p>
      <w:pPr>
        <w:spacing w:line="410" w:lineRule="exact"/>
        <w:outlineLvl w:val="1"/>
        <w:rPr>
          <w:rFonts w:cs="宋体" w:asciiTheme="minorEastAsia" w:hAnsiTheme="minorEastAsia" w:eastAsiaTheme="minorEastAsia"/>
          <w:b/>
          <w:bCs/>
          <w:color w:val="auto"/>
          <w:sz w:val="28"/>
          <w:szCs w:val="28"/>
          <w:highlight w:val="none"/>
        </w:rPr>
      </w:pPr>
      <w:bookmarkStart w:id="86" w:name="bookmark21"/>
      <w:bookmarkStart w:id="87" w:name="bookmark20"/>
      <w:bookmarkStart w:id="88" w:name="_Toc13175"/>
      <w:bookmarkStart w:id="89" w:name="bookmark22"/>
      <w:r>
        <w:rPr>
          <w:rFonts w:hint="eastAsia" w:cs="宋体" w:asciiTheme="minorEastAsia" w:hAnsiTheme="minorEastAsia" w:eastAsiaTheme="minorEastAsia"/>
          <w:b/>
          <w:bCs/>
          <w:color w:val="auto"/>
          <w:sz w:val="28"/>
          <w:szCs w:val="28"/>
          <w:highlight w:val="none"/>
        </w:rPr>
        <w:t>3  投标文件</w:t>
      </w:r>
      <w:bookmarkEnd w:id="86"/>
      <w:bookmarkEnd w:id="87"/>
      <w:bookmarkEnd w:id="88"/>
      <w:bookmarkEnd w:id="89"/>
    </w:p>
    <w:p>
      <w:pPr>
        <w:spacing w:line="410" w:lineRule="exact"/>
        <w:outlineLvl w:val="2"/>
        <w:rPr>
          <w:rFonts w:cs="宋体" w:asciiTheme="minorEastAsia" w:hAnsiTheme="minorEastAsia" w:eastAsiaTheme="minorEastAsia"/>
          <w:b/>
          <w:bCs/>
          <w:color w:val="auto"/>
          <w:sz w:val="24"/>
          <w:szCs w:val="24"/>
          <w:highlight w:val="none"/>
        </w:rPr>
      </w:pPr>
      <w:bookmarkStart w:id="90" w:name="_Toc3377"/>
      <w:bookmarkStart w:id="91" w:name="_Toc29754"/>
      <w:bookmarkStart w:id="92" w:name="_Toc26343"/>
      <w:r>
        <w:rPr>
          <w:rFonts w:hint="eastAsia" w:cs="宋体" w:asciiTheme="minorEastAsia" w:hAnsiTheme="minorEastAsia" w:eastAsiaTheme="minorEastAsia"/>
          <w:b/>
          <w:bCs/>
          <w:color w:val="auto"/>
          <w:sz w:val="24"/>
          <w:szCs w:val="24"/>
          <w:highlight w:val="none"/>
          <w:lang w:val="zh-CN"/>
        </w:rPr>
        <w:t>3.1</w:t>
      </w:r>
      <w:r>
        <w:rPr>
          <w:rFonts w:hint="eastAsia" w:cs="宋体" w:asciiTheme="minorEastAsia" w:hAnsiTheme="minorEastAsia" w:eastAsiaTheme="minorEastAsia"/>
          <w:b/>
          <w:bCs/>
          <w:color w:val="auto"/>
          <w:sz w:val="24"/>
          <w:szCs w:val="24"/>
          <w:highlight w:val="none"/>
        </w:rPr>
        <w:t xml:space="preserve">  投标文件的组成</w:t>
      </w:r>
      <w:bookmarkEnd w:id="90"/>
      <w:bookmarkEnd w:id="91"/>
      <w:bookmarkEnd w:id="92"/>
    </w:p>
    <w:p>
      <w:pPr>
        <w:pStyle w:val="30"/>
        <w:tabs>
          <w:tab w:val="left" w:pos="1112"/>
        </w:tabs>
        <w:spacing w:after="0" w:line="410" w:lineRule="exact"/>
        <w:ind w:left="420" w:leftChars="200" w:firstLine="0"/>
        <w:rPr>
          <w:rFonts w:asciiTheme="minorEastAsia" w:hAnsiTheme="minorEastAsia" w:eastAsiaTheme="minorEastAsia"/>
          <w:color w:val="auto"/>
          <w:sz w:val="21"/>
          <w:szCs w:val="21"/>
          <w:highlight w:val="none"/>
        </w:rPr>
      </w:pPr>
      <w:bookmarkStart w:id="93" w:name="bookmark23"/>
      <w:bookmarkEnd w:id="93"/>
      <w:r>
        <w:rPr>
          <w:rFonts w:hint="eastAsia" w:asciiTheme="minorEastAsia" w:hAnsiTheme="minorEastAsia" w:eastAsiaTheme="minorEastAsia"/>
          <w:b/>
          <w:bCs/>
          <w:color w:val="auto"/>
          <w:sz w:val="21"/>
          <w:szCs w:val="21"/>
          <w:highlight w:val="none"/>
          <w:lang w:val="en-US" w:eastAsia="zh-CN" w:bidi="en-US"/>
        </w:rPr>
        <w:t xml:space="preserve">3.1.1  </w:t>
      </w:r>
      <w:r>
        <w:rPr>
          <w:rFonts w:hint="eastAsia" w:asciiTheme="minorEastAsia" w:hAnsiTheme="minorEastAsia" w:eastAsiaTheme="minorEastAsia"/>
          <w:color w:val="auto"/>
          <w:sz w:val="21"/>
          <w:szCs w:val="21"/>
          <w:highlight w:val="none"/>
        </w:rPr>
        <w:t>投标文件应包括下列内容，投标文件的成册要求见投标人须知前附表。</w:t>
      </w:r>
    </w:p>
    <w:p>
      <w:pPr>
        <w:spacing w:line="410" w:lineRule="exact"/>
        <w:ind w:firstLine="420" w:firstLineChars="200"/>
        <w:rPr>
          <w:rFonts w:cs="宋体" w:asciiTheme="minorEastAsia" w:hAnsiTheme="minorEastAsia" w:eastAsiaTheme="minorEastAsia"/>
          <w:bCs/>
          <w:color w:val="auto"/>
          <w:highlight w:val="none"/>
        </w:rPr>
      </w:pPr>
      <w:bookmarkStart w:id="94" w:name="bookmark24"/>
      <w:bookmarkEnd w:id="94"/>
      <w:r>
        <w:rPr>
          <w:rFonts w:hint="eastAsia" w:cs="宋体" w:asciiTheme="minorEastAsia" w:hAnsiTheme="minorEastAsia" w:eastAsiaTheme="minorEastAsia"/>
          <w:bCs/>
          <w:color w:val="auto"/>
          <w:highlight w:val="none"/>
        </w:rPr>
        <w:t>（一）商务标</w:t>
      </w:r>
    </w:p>
    <w:p>
      <w:pPr>
        <w:pStyle w:val="30"/>
        <w:tabs>
          <w:tab w:val="left" w:pos="1373"/>
        </w:tabs>
        <w:spacing w:after="0" w:line="410" w:lineRule="exact"/>
        <w:ind w:left="420" w:leftChars="200" w:firstLine="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1</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投标函及投标函附录。</w:t>
      </w:r>
    </w:p>
    <w:p>
      <w:pPr>
        <w:pStyle w:val="30"/>
        <w:tabs>
          <w:tab w:val="left" w:pos="1373"/>
        </w:tabs>
        <w:spacing w:after="0" w:line="410" w:lineRule="exact"/>
        <w:ind w:left="420" w:leftChars="200" w:firstLine="0"/>
        <w:rPr>
          <w:rFonts w:asciiTheme="minorEastAsia" w:hAnsiTheme="minorEastAsia" w:eastAsiaTheme="minorEastAsia"/>
          <w:color w:val="auto"/>
          <w:sz w:val="21"/>
          <w:szCs w:val="21"/>
          <w:highlight w:val="none"/>
        </w:rPr>
      </w:pPr>
      <w:bookmarkStart w:id="95" w:name="bookmark25"/>
      <w:bookmarkEnd w:id="95"/>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2</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已标价工程量清单。</w:t>
      </w:r>
    </w:p>
    <w:p>
      <w:pPr>
        <w:pStyle w:val="30"/>
        <w:tabs>
          <w:tab w:val="left" w:pos="1373"/>
        </w:tabs>
        <w:spacing w:after="0" w:line="410" w:lineRule="exact"/>
        <w:ind w:left="420" w:leftChars="200" w:firstLine="0"/>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3）</w:t>
      </w:r>
      <w:r>
        <w:rPr>
          <w:rFonts w:hint="eastAsia" w:asciiTheme="minorEastAsia" w:hAnsiTheme="minorEastAsia" w:eastAsiaTheme="minorEastAsia"/>
          <w:color w:val="auto"/>
          <w:sz w:val="21"/>
          <w:szCs w:val="21"/>
          <w:highlight w:val="none"/>
        </w:rPr>
        <w:t>其他材料</w:t>
      </w:r>
      <w:r>
        <w:rPr>
          <w:rFonts w:hint="eastAsia" w:asciiTheme="minorEastAsia" w:hAnsiTheme="minorEastAsia" w:eastAsiaTheme="minorEastAsia"/>
          <w:color w:val="auto"/>
          <w:sz w:val="21"/>
          <w:szCs w:val="21"/>
          <w:highlight w:val="none"/>
          <w:lang w:eastAsia="zh-CN"/>
        </w:rPr>
        <w:t>。</w:t>
      </w:r>
    </w:p>
    <w:p>
      <w:pPr>
        <w:spacing w:line="410" w:lineRule="exact"/>
        <w:ind w:firstLine="422" w:firstLineChars="200"/>
        <w:rPr>
          <w:rFonts w:asciiTheme="minorEastAsia" w:hAnsiTheme="minorEastAsia" w:eastAsiaTheme="minorEastAsia"/>
          <w:color w:val="auto"/>
          <w:highlight w:val="none"/>
        </w:rPr>
      </w:pPr>
      <w:r>
        <w:rPr>
          <w:rFonts w:hint="eastAsia" w:asciiTheme="minorEastAsia" w:hAnsiTheme="minorEastAsia" w:eastAsiaTheme="minorEastAsia"/>
          <w:b/>
          <w:color w:val="auto"/>
          <w:highlight w:val="none"/>
        </w:rPr>
        <w:t>（二</w:t>
      </w:r>
      <w:r>
        <w:rPr>
          <w:rFonts w:hint="eastAsia" w:asciiTheme="minorEastAsia" w:hAnsiTheme="minorEastAsia" w:eastAsiaTheme="minorEastAsia"/>
          <w:color w:val="auto"/>
          <w:highlight w:val="none"/>
        </w:rPr>
        <w:t>）资信标</w:t>
      </w:r>
    </w:p>
    <w:p>
      <w:pPr>
        <w:pStyle w:val="30"/>
        <w:tabs>
          <w:tab w:val="left" w:pos="1124"/>
        </w:tabs>
        <w:spacing w:after="0" w:line="410" w:lineRule="exact"/>
        <w:ind w:firstLine="420" w:firstLineChars="200"/>
        <w:rPr>
          <w:rFonts w:hint="eastAsia" w:asciiTheme="minorEastAsia" w:hAnsiTheme="minorEastAsia" w:eastAsiaTheme="minorEastAsia"/>
          <w:color w:val="auto"/>
          <w:sz w:val="21"/>
          <w:szCs w:val="21"/>
          <w:highlight w:val="none"/>
          <w:lang w:eastAsia="zh-CN"/>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1</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法定代表人身份证明</w:t>
      </w:r>
      <w:r>
        <w:rPr>
          <w:rFonts w:hint="eastAsia" w:asciiTheme="minorEastAsia" w:hAnsiTheme="minorEastAsia" w:eastAsiaTheme="minorEastAsia"/>
          <w:color w:val="auto"/>
          <w:sz w:val="21"/>
          <w:szCs w:val="21"/>
          <w:highlight w:val="none"/>
          <w:lang w:eastAsia="zh-CN"/>
        </w:rPr>
        <w:t>。</w:t>
      </w:r>
    </w:p>
    <w:p>
      <w:pPr>
        <w:pStyle w:val="30"/>
        <w:tabs>
          <w:tab w:val="left" w:pos="1124"/>
        </w:tabs>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2）</w:t>
      </w:r>
      <w:r>
        <w:rPr>
          <w:rFonts w:hint="eastAsia"/>
          <w:color w:val="auto"/>
          <w:sz w:val="21"/>
          <w:szCs w:val="21"/>
          <w:highlight w:val="none"/>
        </w:rPr>
        <w:t>法定代表人身份证明的</w:t>
      </w:r>
      <w:r>
        <w:rPr>
          <w:rFonts w:hint="eastAsia" w:asciiTheme="minorEastAsia" w:hAnsiTheme="minorEastAsia" w:eastAsiaTheme="minorEastAsia"/>
          <w:color w:val="auto"/>
          <w:sz w:val="21"/>
          <w:szCs w:val="21"/>
          <w:highlight w:val="none"/>
        </w:rPr>
        <w:t>授权委托书。</w:t>
      </w:r>
    </w:p>
    <w:p>
      <w:pPr>
        <w:pStyle w:val="30"/>
        <w:tabs>
          <w:tab w:val="left" w:pos="1124"/>
        </w:tabs>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3</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联合体协议书。</w:t>
      </w:r>
    </w:p>
    <w:p>
      <w:pPr>
        <w:pStyle w:val="30"/>
        <w:tabs>
          <w:tab w:val="left" w:pos="1124"/>
        </w:tabs>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4</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投标保证金。</w:t>
      </w:r>
      <w:r>
        <w:rPr>
          <w:rFonts w:hint="eastAsia" w:asciiTheme="minorEastAsia" w:hAnsiTheme="minorEastAsia" w:eastAsiaTheme="minorEastAsia"/>
          <w:color w:val="auto"/>
          <w:sz w:val="21"/>
          <w:szCs w:val="21"/>
          <w:highlight w:val="none"/>
          <w:lang w:eastAsia="zh-CN"/>
        </w:rPr>
        <w:t xml:space="preserve">       </w:t>
      </w:r>
    </w:p>
    <w:p>
      <w:pPr>
        <w:pStyle w:val="30"/>
        <w:tabs>
          <w:tab w:val="left" w:pos="1124"/>
        </w:tabs>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5</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项目管理机构</w:t>
      </w:r>
      <w:r>
        <w:rPr>
          <w:rFonts w:hint="eastAsia" w:asciiTheme="minorEastAsia" w:hAnsiTheme="minorEastAsia" w:eastAsiaTheme="minorEastAsia"/>
          <w:color w:val="auto"/>
          <w:sz w:val="21"/>
          <w:szCs w:val="21"/>
          <w:highlight w:val="none"/>
          <w:lang w:eastAsia="zh-CN"/>
        </w:rPr>
        <w:t xml:space="preserve">。         </w:t>
      </w:r>
    </w:p>
    <w:p>
      <w:pPr>
        <w:pStyle w:val="30"/>
        <w:tabs>
          <w:tab w:val="left" w:pos="1124"/>
        </w:tabs>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6</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拟分包项目情况表。</w:t>
      </w:r>
    </w:p>
    <w:p>
      <w:pPr>
        <w:pStyle w:val="30"/>
        <w:tabs>
          <w:tab w:val="left" w:pos="1124"/>
        </w:tabs>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7</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资格审查资料。</w:t>
      </w:r>
    </w:p>
    <w:p>
      <w:pPr>
        <w:pStyle w:val="30"/>
        <w:tabs>
          <w:tab w:val="left" w:pos="1124"/>
        </w:tabs>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8</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原件的复制件。</w:t>
      </w:r>
    </w:p>
    <w:p>
      <w:pPr>
        <w:pStyle w:val="30"/>
        <w:tabs>
          <w:tab w:val="left" w:pos="1124"/>
        </w:tabs>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9</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其他材料。</w:t>
      </w:r>
    </w:p>
    <w:p>
      <w:pPr>
        <w:spacing w:line="410" w:lineRule="exact"/>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（三）技术标</w:t>
      </w:r>
    </w:p>
    <w:p>
      <w:pPr>
        <w:spacing w:line="410" w:lineRule="exact"/>
        <w:ind w:firstLine="625" w:firstLineChars="298"/>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施工组织设计</w:t>
      </w:r>
    </w:p>
    <w:p>
      <w:pPr>
        <w:pStyle w:val="30"/>
        <w:tabs>
          <w:tab w:val="left" w:pos="1124"/>
        </w:tabs>
        <w:spacing w:after="0" w:line="410" w:lineRule="exact"/>
        <w:ind w:firstLine="422" w:firstLineChars="200"/>
        <w:rPr>
          <w:rFonts w:asciiTheme="minorEastAsia" w:hAnsiTheme="minorEastAsia" w:eastAsiaTheme="minorEastAsia"/>
          <w:color w:val="auto"/>
          <w:sz w:val="21"/>
          <w:szCs w:val="21"/>
          <w:highlight w:val="none"/>
          <w:lang w:eastAsia="zh-CN"/>
        </w:rPr>
      </w:pPr>
      <w:bookmarkStart w:id="96" w:name="bookmark35"/>
      <w:bookmarkEnd w:id="96"/>
      <w:r>
        <w:rPr>
          <w:rFonts w:hint="eastAsia" w:asciiTheme="minorEastAsia" w:hAnsiTheme="minorEastAsia" w:eastAsiaTheme="minorEastAsia"/>
          <w:b/>
          <w:bCs/>
          <w:color w:val="auto"/>
          <w:sz w:val="21"/>
          <w:szCs w:val="21"/>
          <w:highlight w:val="none"/>
          <w:lang w:val="en-US" w:eastAsia="zh-CN" w:bidi="en-US"/>
        </w:rPr>
        <w:t xml:space="preserve">3.1.2  </w:t>
      </w:r>
      <w:r>
        <w:rPr>
          <w:rFonts w:hint="eastAsia" w:asciiTheme="minorEastAsia" w:hAnsiTheme="minorEastAsia" w:eastAsiaTheme="minorEastAsia"/>
          <w:color w:val="auto"/>
          <w:sz w:val="21"/>
          <w:szCs w:val="21"/>
          <w:highlight w:val="none"/>
        </w:rPr>
        <w:t>投标人须知前附表规定不接受联合体投标的，或投标人没有组成联合体的，投标文件不包括本章第</w:t>
      </w:r>
      <w:r>
        <w:rPr>
          <w:rFonts w:hint="eastAsia" w:asciiTheme="minorEastAsia" w:hAnsiTheme="minorEastAsia" w:eastAsiaTheme="minorEastAsia"/>
          <w:color w:val="auto"/>
          <w:sz w:val="21"/>
          <w:szCs w:val="21"/>
          <w:highlight w:val="none"/>
          <w:lang w:val="en-US" w:eastAsia="zh-CN" w:bidi="en-US"/>
        </w:rPr>
        <w:t>3.1.1</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3</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目所指的联合体协议书。</w:t>
      </w:r>
    </w:p>
    <w:p>
      <w:pPr>
        <w:spacing w:line="410" w:lineRule="exact"/>
        <w:outlineLvl w:val="2"/>
        <w:rPr>
          <w:rFonts w:cs="宋体" w:asciiTheme="minorEastAsia" w:hAnsiTheme="minorEastAsia" w:eastAsiaTheme="minorEastAsia"/>
          <w:b/>
          <w:bCs/>
          <w:color w:val="auto"/>
          <w:sz w:val="24"/>
          <w:szCs w:val="24"/>
          <w:highlight w:val="none"/>
          <w:lang w:val="zh-CN"/>
        </w:rPr>
      </w:pPr>
      <w:bookmarkStart w:id="97" w:name="_Toc13002"/>
      <w:bookmarkStart w:id="98" w:name="_Toc1882"/>
      <w:bookmarkStart w:id="99" w:name="_Toc29461"/>
      <w:r>
        <w:rPr>
          <w:rFonts w:hint="eastAsia" w:cs="宋体" w:asciiTheme="minorEastAsia" w:hAnsiTheme="minorEastAsia" w:eastAsiaTheme="minorEastAsia"/>
          <w:b/>
          <w:bCs/>
          <w:color w:val="auto"/>
          <w:sz w:val="24"/>
          <w:szCs w:val="24"/>
          <w:highlight w:val="none"/>
        </w:rPr>
        <w:t xml:space="preserve">3.2  </w:t>
      </w:r>
      <w:r>
        <w:rPr>
          <w:rFonts w:hint="eastAsia" w:cs="宋体" w:asciiTheme="minorEastAsia" w:hAnsiTheme="minorEastAsia" w:eastAsiaTheme="minorEastAsia"/>
          <w:b/>
          <w:bCs/>
          <w:color w:val="auto"/>
          <w:sz w:val="24"/>
          <w:szCs w:val="24"/>
          <w:highlight w:val="none"/>
          <w:lang w:val="zh-CN"/>
        </w:rPr>
        <w:t>投标报价</w:t>
      </w:r>
      <w:bookmarkEnd w:id="97"/>
      <w:bookmarkEnd w:id="98"/>
      <w:bookmarkEnd w:id="99"/>
    </w:p>
    <w:p>
      <w:pPr>
        <w:pStyle w:val="30"/>
        <w:tabs>
          <w:tab w:val="left" w:pos="1128"/>
        </w:tabs>
        <w:spacing w:after="0" w:line="410" w:lineRule="exact"/>
        <w:ind w:firstLine="422" w:firstLineChars="200"/>
        <w:rPr>
          <w:rFonts w:asciiTheme="minorEastAsia" w:hAnsiTheme="minorEastAsia" w:eastAsiaTheme="minorEastAsia"/>
          <w:color w:val="auto"/>
          <w:sz w:val="21"/>
          <w:szCs w:val="21"/>
          <w:highlight w:val="none"/>
        </w:rPr>
      </w:pPr>
      <w:bookmarkStart w:id="100" w:name="bookmark36"/>
      <w:bookmarkEnd w:id="100"/>
      <w:r>
        <w:rPr>
          <w:rFonts w:hint="eastAsia" w:asciiTheme="minorEastAsia" w:hAnsiTheme="minorEastAsia" w:eastAsiaTheme="minorEastAsia"/>
          <w:b/>
          <w:bCs/>
          <w:color w:val="auto"/>
          <w:sz w:val="21"/>
          <w:szCs w:val="21"/>
          <w:highlight w:val="none"/>
          <w:lang w:val="en-US" w:eastAsia="zh-CN" w:bidi="en-US"/>
        </w:rPr>
        <w:t xml:space="preserve">3.2.1  </w:t>
      </w:r>
      <w:r>
        <w:rPr>
          <w:rFonts w:hint="eastAsia" w:asciiTheme="minorEastAsia" w:hAnsiTheme="minorEastAsia" w:eastAsiaTheme="minorEastAsia"/>
          <w:color w:val="auto"/>
          <w:sz w:val="21"/>
          <w:szCs w:val="21"/>
          <w:highlight w:val="none"/>
        </w:rPr>
        <w:t>投标人应按本书第五章</w:t>
      </w:r>
      <w:r>
        <w:rPr>
          <w:rFonts w:hint="eastAsia" w:asciiTheme="minorEastAsia" w:hAnsiTheme="minorEastAsia" w:eastAsiaTheme="minorEastAsia"/>
          <w:color w:val="auto"/>
          <w:sz w:val="21"/>
          <w:szCs w:val="21"/>
          <w:highlight w:val="none"/>
          <w:lang w:val="zh-CN" w:eastAsia="zh-CN" w:bidi="zh-CN"/>
        </w:rPr>
        <w:t>“工</w:t>
      </w:r>
      <w:r>
        <w:rPr>
          <w:rFonts w:hint="eastAsia" w:asciiTheme="minorEastAsia" w:hAnsiTheme="minorEastAsia" w:eastAsiaTheme="minorEastAsia"/>
          <w:color w:val="auto"/>
          <w:sz w:val="21"/>
          <w:szCs w:val="21"/>
          <w:highlight w:val="none"/>
        </w:rPr>
        <w:t>程量清单”的要求填写相应表格。</w:t>
      </w:r>
    </w:p>
    <w:p>
      <w:pPr>
        <w:pStyle w:val="30"/>
        <w:tabs>
          <w:tab w:val="left" w:pos="1136"/>
        </w:tabs>
        <w:spacing w:after="0" w:line="410" w:lineRule="exact"/>
        <w:ind w:firstLine="422" w:firstLineChars="200"/>
        <w:rPr>
          <w:rFonts w:asciiTheme="minorEastAsia" w:hAnsiTheme="minorEastAsia" w:eastAsiaTheme="minorEastAsia"/>
          <w:color w:val="auto"/>
          <w:sz w:val="21"/>
          <w:szCs w:val="21"/>
          <w:highlight w:val="none"/>
          <w:lang w:eastAsia="zh-CN"/>
        </w:rPr>
      </w:pPr>
      <w:bookmarkStart w:id="101" w:name="bookmark37"/>
      <w:bookmarkEnd w:id="101"/>
      <w:r>
        <w:rPr>
          <w:rFonts w:hint="eastAsia" w:asciiTheme="minorEastAsia" w:hAnsiTheme="minorEastAsia" w:eastAsiaTheme="minorEastAsia"/>
          <w:b/>
          <w:bCs/>
          <w:color w:val="auto"/>
          <w:sz w:val="21"/>
          <w:szCs w:val="21"/>
          <w:highlight w:val="none"/>
          <w:lang w:val="en-US" w:eastAsia="zh-CN" w:bidi="en-US"/>
        </w:rPr>
        <w:t xml:space="preserve">3.2.2  </w:t>
      </w:r>
      <w:r>
        <w:rPr>
          <w:rFonts w:hint="eastAsia" w:asciiTheme="minorEastAsia" w:hAnsiTheme="minorEastAsia" w:eastAsiaTheme="minorEastAsia"/>
          <w:color w:val="auto"/>
          <w:sz w:val="21"/>
          <w:szCs w:val="21"/>
          <w:highlight w:val="none"/>
        </w:rPr>
        <w:t>投标人在投标截止时间前修改投标函中的投标总报价，应同时修改第五章“工程量清单”中的相应报价。此修改须符合本章第</w:t>
      </w:r>
      <w:r>
        <w:rPr>
          <w:rFonts w:hint="eastAsia" w:asciiTheme="minorEastAsia" w:hAnsiTheme="minorEastAsia" w:eastAsiaTheme="minorEastAsia"/>
          <w:color w:val="auto"/>
          <w:sz w:val="21"/>
          <w:szCs w:val="21"/>
          <w:highlight w:val="none"/>
          <w:lang w:val="en-US" w:eastAsia="zh-CN" w:bidi="en-US"/>
        </w:rPr>
        <w:t>4.</w:t>
      </w:r>
      <w:r>
        <w:rPr>
          <w:rFonts w:hint="eastAsia" w:asciiTheme="minorEastAsia" w:hAnsiTheme="minorEastAsia" w:eastAsiaTheme="minorEastAsia"/>
          <w:color w:val="auto"/>
          <w:sz w:val="21"/>
          <w:szCs w:val="21"/>
          <w:highlight w:val="none"/>
        </w:rPr>
        <w:t>3款的有关要求。</w:t>
      </w:r>
    </w:p>
    <w:p>
      <w:pPr>
        <w:spacing w:line="410" w:lineRule="exact"/>
        <w:outlineLvl w:val="2"/>
        <w:rPr>
          <w:rFonts w:cs="宋体" w:asciiTheme="minorEastAsia" w:hAnsiTheme="minorEastAsia" w:eastAsiaTheme="minorEastAsia"/>
          <w:b/>
          <w:bCs/>
          <w:color w:val="auto"/>
          <w:sz w:val="24"/>
          <w:szCs w:val="24"/>
          <w:highlight w:val="none"/>
        </w:rPr>
      </w:pPr>
      <w:bookmarkStart w:id="102" w:name="_Toc11645"/>
      <w:bookmarkStart w:id="103" w:name="_Toc1869"/>
      <w:bookmarkStart w:id="104" w:name="_Toc15532"/>
      <w:r>
        <w:rPr>
          <w:rFonts w:hint="eastAsia" w:cs="宋体" w:asciiTheme="minorEastAsia" w:hAnsiTheme="minorEastAsia" w:eastAsiaTheme="minorEastAsia"/>
          <w:b/>
          <w:bCs/>
          <w:color w:val="auto"/>
          <w:sz w:val="24"/>
          <w:szCs w:val="24"/>
          <w:highlight w:val="none"/>
        </w:rPr>
        <w:t>3.3  投标有效期</w:t>
      </w:r>
      <w:bookmarkEnd w:id="102"/>
      <w:bookmarkEnd w:id="103"/>
      <w:bookmarkEnd w:id="104"/>
    </w:p>
    <w:p>
      <w:pPr>
        <w:pStyle w:val="30"/>
        <w:spacing w:after="0" w:line="410" w:lineRule="exact"/>
        <w:ind w:firstLine="422" w:firstLineChars="200"/>
        <w:rPr>
          <w:rFonts w:asciiTheme="minorEastAsia" w:hAnsiTheme="minorEastAsia" w:eastAsiaTheme="minorEastAsia"/>
          <w:color w:val="auto"/>
          <w:sz w:val="21"/>
          <w:szCs w:val="21"/>
          <w:highlight w:val="none"/>
          <w:lang w:val="en-US" w:eastAsia="zh-CN" w:bidi="en-US"/>
        </w:rPr>
      </w:pPr>
      <w:r>
        <w:rPr>
          <w:rFonts w:hint="eastAsia" w:asciiTheme="minorEastAsia" w:hAnsiTheme="minorEastAsia" w:eastAsiaTheme="minorEastAsia"/>
          <w:b/>
          <w:bCs/>
          <w:color w:val="auto"/>
          <w:sz w:val="21"/>
          <w:szCs w:val="21"/>
          <w:highlight w:val="none"/>
          <w:lang w:val="en-US" w:eastAsia="zh-CN" w:bidi="en-US"/>
        </w:rPr>
        <w:t xml:space="preserve">3.3.1  </w:t>
      </w:r>
      <w:r>
        <w:rPr>
          <w:rFonts w:hint="eastAsia" w:asciiTheme="minorEastAsia" w:hAnsiTheme="minorEastAsia" w:eastAsiaTheme="minorEastAsia"/>
          <w:color w:val="auto"/>
          <w:sz w:val="21"/>
          <w:szCs w:val="21"/>
          <w:highlight w:val="none"/>
          <w:lang w:val="en-US" w:eastAsia="zh-CN" w:bidi="en-US"/>
        </w:rPr>
        <w:t>在投标人须知前附表规定的投标有效期内，投标人不得要求撤销或修改其投标文件。</w:t>
      </w:r>
    </w:p>
    <w:p>
      <w:pPr>
        <w:pStyle w:val="30"/>
        <w:spacing w:after="0" w:line="410" w:lineRule="exact"/>
        <w:ind w:firstLine="422" w:firstLineChars="200"/>
        <w:rPr>
          <w:rFonts w:hint="eastAsia" w:asciiTheme="minorEastAsia" w:hAnsiTheme="minorEastAsia" w:eastAsiaTheme="minorEastAsia"/>
          <w:color w:val="auto"/>
          <w:sz w:val="21"/>
          <w:szCs w:val="21"/>
          <w:highlight w:val="none"/>
          <w:lang w:val="en-US" w:eastAsia="zh-CN"/>
        </w:rPr>
      </w:pPr>
      <w:bookmarkStart w:id="105" w:name="bookmark38"/>
      <w:bookmarkEnd w:id="105"/>
      <w:r>
        <w:rPr>
          <w:rFonts w:hint="eastAsia" w:asciiTheme="minorEastAsia" w:hAnsiTheme="minorEastAsia" w:eastAsiaTheme="minorEastAsia"/>
          <w:b/>
          <w:bCs/>
          <w:color w:val="auto"/>
          <w:sz w:val="21"/>
          <w:szCs w:val="21"/>
          <w:highlight w:val="none"/>
          <w:lang w:val="en-US" w:eastAsia="zh-CN" w:bidi="en-US"/>
        </w:rPr>
        <w:t xml:space="preserve">3.3.2  </w:t>
      </w:r>
      <w:r>
        <w:rPr>
          <w:rFonts w:hint="eastAsia" w:asciiTheme="minorEastAsia" w:hAnsiTheme="minorEastAsia" w:eastAsiaTheme="minorEastAsia"/>
          <w:color w:val="auto"/>
          <w:sz w:val="21"/>
          <w:szCs w:val="21"/>
          <w:highlight w:val="none"/>
          <w:lang w:val="en-US" w:eastAsia="zh-CN" w:bidi="en-US"/>
        </w:rPr>
        <w:t>出现特殊情况</w:t>
      </w:r>
      <w:r>
        <w:rPr>
          <w:rFonts w:hint="eastAsia" w:asciiTheme="minorEastAsia" w:hAnsiTheme="minorEastAsia" w:eastAsiaTheme="minorEastAsia"/>
          <w:color w:val="auto"/>
          <w:sz w:val="21"/>
          <w:szCs w:val="21"/>
          <w:highlight w:val="none"/>
          <w:lang w:val="en-US" w:eastAsia="zh-CN"/>
        </w:rPr>
        <w:t>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spacing w:line="410" w:lineRule="exact"/>
        <w:outlineLvl w:val="2"/>
        <w:rPr>
          <w:rFonts w:cs="宋体" w:asciiTheme="minorEastAsia" w:hAnsiTheme="minorEastAsia" w:eastAsiaTheme="minorEastAsia"/>
          <w:b/>
          <w:bCs/>
          <w:color w:val="auto"/>
          <w:sz w:val="24"/>
          <w:szCs w:val="24"/>
          <w:highlight w:val="none"/>
        </w:rPr>
      </w:pPr>
      <w:bookmarkStart w:id="106" w:name="_Toc964"/>
      <w:bookmarkStart w:id="107" w:name="_Toc15563"/>
      <w:bookmarkStart w:id="108" w:name="_Toc12138"/>
      <w:r>
        <w:rPr>
          <w:rFonts w:hint="eastAsia" w:cs="宋体" w:asciiTheme="minorEastAsia" w:hAnsiTheme="minorEastAsia" w:eastAsiaTheme="minorEastAsia"/>
          <w:b/>
          <w:bCs/>
          <w:color w:val="auto"/>
          <w:sz w:val="24"/>
          <w:szCs w:val="24"/>
          <w:highlight w:val="none"/>
        </w:rPr>
        <w:t>3.4  投标保证金</w:t>
      </w:r>
      <w:bookmarkEnd w:id="106"/>
      <w:bookmarkEnd w:id="107"/>
      <w:bookmarkEnd w:id="108"/>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3.4.1  </w:t>
      </w:r>
      <w:r>
        <w:rPr>
          <w:rFonts w:hint="eastAsia" w:asciiTheme="minorEastAsia" w:hAnsiTheme="minorEastAsia" w:eastAsiaTheme="minorEastAsia"/>
          <w:color w:val="auto"/>
          <w:sz w:val="21"/>
          <w:szCs w:val="21"/>
          <w:highlight w:val="none"/>
        </w:rPr>
        <w:t>投标人在递交投标文件的同时，应按投标人须知前附表规定的金额、担保形式和第八章</w:t>
      </w:r>
      <w:r>
        <w:rPr>
          <w:rFonts w:hint="eastAsia" w:asciiTheme="minorEastAsia" w:hAnsiTheme="minorEastAsia" w:eastAsiaTheme="minorEastAsia"/>
          <w:color w:val="auto"/>
          <w:sz w:val="21"/>
          <w:szCs w:val="21"/>
          <w:highlight w:val="none"/>
          <w:lang w:val="zh-CN" w:eastAsia="zh-CN" w:bidi="zh-CN"/>
        </w:rPr>
        <w:t>“投</w:t>
      </w:r>
      <w:r>
        <w:rPr>
          <w:rFonts w:hint="eastAsia" w:asciiTheme="minorEastAsia" w:hAnsiTheme="minorEastAsia" w:eastAsiaTheme="minorEastAsia"/>
          <w:color w:val="auto"/>
          <w:sz w:val="21"/>
          <w:szCs w:val="21"/>
          <w:highlight w:val="none"/>
        </w:rPr>
        <w:t>标文件格式”规定的投标保证金格式递交投标保证金，并作为其投标文件的组成部分。联合体投标的，其投标保证金由牵头人递交，并应符合投标人须知前附表的规定。</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3.4.2  </w:t>
      </w:r>
      <w:r>
        <w:rPr>
          <w:rFonts w:hint="eastAsia" w:asciiTheme="minorEastAsia" w:hAnsiTheme="minorEastAsia" w:eastAsiaTheme="minorEastAsia"/>
          <w:color w:val="auto"/>
          <w:sz w:val="21"/>
          <w:szCs w:val="21"/>
          <w:highlight w:val="none"/>
        </w:rPr>
        <w:t>投标人不按本章第3.4.1项要求提交投标保证金，或不是通过投标人的基本账户缴纳的，其投标文件将被否决。</w:t>
      </w:r>
    </w:p>
    <w:p>
      <w:pPr>
        <w:spacing w:line="410" w:lineRule="exact"/>
        <w:ind w:firstLine="480"/>
        <w:jc w:val="both"/>
        <w:rPr>
          <w:rFonts w:asciiTheme="minorEastAsia" w:hAnsiTheme="minorEastAsia" w:eastAsiaTheme="minorEastAsia"/>
          <w:color w:val="auto"/>
          <w:highlight w:val="none"/>
        </w:rPr>
      </w:pPr>
      <w:bookmarkStart w:id="109" w:name="bookmark39"/>
      <w:bookmarkEnd w:id="109"/>
      <w:r>
        <w:rPr>
          <w:rFonts w:hint="eastAsia" w:asciiTheme="minorEastAsia" w:hAnsiTheme="minorEastAsia" w:eastAsiaTheme="minorEastAsia"/>
          <w:color w:val="auto"/>
          <w:highlight w:val="none"/>
          <w:lang w:bidi="en-US"/>
        </w:rPr>
        <w:t xml:space="preserve">3.4.3  </w:t>
      </w:r>
      <w:r>
        <w:rPr>
          <w:rFonts w:hint="eastAsia" w:cs="宋体" w:asciiTheme="minorEastAsia" w:hAnsiTheme="minorEastAsia" w:eastAsiaTheme="minorEastAsia"/>
          <w:color w:val="auto"/>
          <w:spacing w:val="-1"/>
          <w:highlight w:val="none"/>
        </w:rPr>
        <w:t xml:space="preserve">非中标候选人的投标保证金将在中标通知书发出后5日内退还，中标候选人的投标保证金在招标人与中标人签订书面合同后5日内退回。 </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3.4.4  </w:t>
      </w:r>
      <w:r>
        <w:rPr>
          <w:rFonts w:hint="eastAsia" w:asciiTheme="minorEastAsia" w:hAnsiTheme="minorEastAsia" w:eastAsiaTheme="minorEastAsia"/>
          <w:color w:val="auto"/>
          <w:sz w:val="21"/>
          <w:szCs w:val="21"/>
          <w:highlight w:val="none"/>
        </w:rPr>
        <w:t>有下列情形之一的，投标保证金将不予退还：</w:t>
      </w:r>
    </w:p>
    <w:p>
      <w:pPr>
        <w:pStyle w:val="30"/>
        <w:tabs>
          <w:tab w:val="left" w:pos="1339"/>
        </w:tabs>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1）投标人在规定的投标有效期内撤销或修改其投标文件。</w:t>
      </w:r>
    </w:p>
    <w:p>
      <w:pPr>
        <w:pStyle w:val="30"/>
        <w:tabs>
          <w:tab w:val="left" w:pos="1352"/>
        </w:tabs>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2）中标人在收到中标通知书后，无正当理由拒签合同协议书或未按招标文件规定提交履约担保。</w:t>
      </w:r>
    </w:p>
    <w:p>
      <w:pPr>
        <w:pStyle w:val="30"/>
        <w:tabs>
          <w:tab w:val="left" w:pos="1339"/>
        </w:tabs>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3）投标人须知前附表规定的其他情形。</w:t>
      </w:r>
    </w:p>
    <w:p>
      <w:pPr>
        <w:spacing w:line="410" w:lineRule="exact"/>
        <w:outlineLvl w:val="2"/>
        <w:rPr>
          <w:rFonts w:cs="宋体" w:asciiTheme="minorEastAsia" w:hAnsiTheme="minorEastAsia" w:eastAsiaTheme="minorEastAsia"/>
          <w:b/>
          <w:bCs/>
          <w:color w:val="auto"/>
          <w:sz w:val="24"/>
          <w:szCs w:val="24"/>
          <w:highlight w:val="none"/>
        </w:rPr>
      </w:pPr>
      <w:bookmarkStart w:id="110" w:name="_Toc31154"/>
      <w:bookmarkStart w:id="111" w:name="_Toc30939"/>
      <w:bookmarkStart w:id="112" w:name="_Toc21506"/>
      <w:r>
        <w:rPr>
          <w:rFonts w:hint="eastAsia" w:cs="宋体" w:asciiTheme="minorEastAsia" w:hAnsiTheme="minorEastAsia" w:eastAsiaTheme="minorEastAsia"/>
          <w:b/>
          <w:bCs/>
          <w:color w:val="auto"/>
          <w:sz w:val="24"/>
          <w:szCs w:val="24"/>
          <w:highlight w:val="none"/>
        </w:rPr>
        <w:t>3.5  资格审查资料（适用于未进行资格预审的）</w:t>
      </w:r>
      <w:bookmarkEnd w:id="110"/>
      <w:bookmarkEnd w:id="111"/>
      <w:bookmarkEnd w:id="112"/>
    </w:p>
    <w:p>
      <w:pPr>
        <w:pStyle w:val="51"/>
        <w:keepNext w:val="0"/>
        <w:keepLines w:val="0"/>
        <w:pageBreakBefore w:val="0"/>
        <w:numPr>
          <w:ilvl w:val="0"/>
          <w:numId w:val="0"/>
        </w:numPr>
        <w:wordWrap/>
        <w:overflowPunct/>
        <w:bidi w:val="0"/>
        <w:snapToGrid w:val="0"/>
        <w:spacing w:line="380" w:lineRule="exact"/>
        <w:ind w:firstLine="422" w:firstLineChars="200"/>
        <w:textAlignment w:val="auto"/>
        <w:rPr>
          <w:rFonts w:asciiTheme="minorEastAsia" w:hAnsiTheme="minorEastAsia" w:eastAsiaTheme="minorEastAsia"/>
          <w:color w:val="auto"/>
          <w:sz w:val="21"/>
          <w:szCs w:val="21"/>
          <w:highlight w:val="none"/>
        </w:rPr>
      </w:pPr>
      <w:bookmarkStart w:id="113" w:name="bookmark43"/>
      <w:bookmarkEnd w:id="113"/>
      <w:r>
        <w:rPr>
          <w:rFonts w:hint="eastAsia" w:asciiTheme="minorEastAsia" w:hAnsiTheme="minorEastAsia" w:eastAsiaTheme="minorEastAsia"/>
          <w:b/>
          <w:bCs/>
          <w:color w:val="auto"/>
          <w:sz w:val="21"/>
          <w:szCs w:val="21"/>
          <w:highlight w:val="none"/>
          <w:lang w:val="en-US" w:eastAsia="zh-CN" w:bidi="en-US"/>
        </w:rPr>
        <w:t xml:space="preserve">3.5.1  </w:t>
      </w:r>
      <w:r>
        <w:rPr>
          <w:rFonts w:hint="eastAsia" w:asciiTheme="minorEastAsia" w:hAnsiTheme="minorEastAsia" w:eastAsiaTheme="minorEastAsia"/>
          <w:color w:val="auto"/>
          <w:sz w:val="21"/>
          <w:szCs w:val="21"/>
          <w:highlight w:val="none"/>
          <w:lang w:val="zh-CN" w:eastAsia="zh-CN" w:bidi="zh-CN"/>
        </w:rPr>
        <w:t>“投</w:t>
      </w:r>
      <w:r>
        <w:rPr>
          <w:rFonts w:hint="eastAsia" w:asciiTheme="minorEastAsia" w:hAnsiTheme="minorEastAsia" w:eastAsiaTheme="minorEastAsia"/>
          <w:color w:val="auto"/>
          <w:sz w:val="21"/>
          <w:szCs w:val="21"/>
          <w:highlight w:val="none"/>
        </w:rPr>
        <w:t>标人基本情况表”应附投标人营业执照副本、资质证书副本和安全生产许可证副本等材料的复制件。</w:t>
      </w:r>
      <w:r>
        <w:rPr>
          <w:rFonts w:hint="eastAsia" w:ascii="宋体" w:hAnsi="宋体" w:eastAsia="宋体" w:cs="宋体"/>
          <w:i w:val="0"/>
          <w:iCs w:val="0"/>
          <w:snapToGrid w:val="0"/>
          <w:color w:val="auto"/>
          <w:spacing w:val="0"/>
          <w:sz w:val="21"/>
          <w:szCs w:val="21"/>
          <w:highlight w:val="none"/>
          <w:lang w:val="en-US" w:eastAsia="zh-CN" w:bidi="ar-SA"/>
        </w:rPr>
        <w:t>提供投标人</w:t>
      </w:r>
      <w:r>
        <w:rPr>
          <w:rFonts w:hint="eastAsia" w:ascii="宋体" w:hAnsi="宋体" w:eastAsia="宋体" w:cs="宋体"/>
          <w:i w:val="0"/>
          <w:iCs w:val="0"/>
          <w:snapToGrid w:val="0"/>
          <w:color w:val="auto"/>
          <w:spacing w:val="0"/>
          <w:sz w:val="21"/>
          <w:szCs w:val="21"/>
          <w:highlight w:val="none"/>
          <w:lang w:val="en-US" w:eastAsia="zh-CN" w:bidi="ar-SA"/>
        </w:rPr>
        <w:t>202</w:t>
      </w:r>
      <w:r>
        <w:rPr>
          <w:rFonts w:hint="eastAsia" w:eastAsia="宋体" w:cs="宋体"/>
          <w:i w:val="0"/>
          <w:iCs w:val="0"/>
          <w:snapToGrid w:val="0"/>
          <w:color w:val="auto"/>
          <w:spacing w:val="0"/>
          <w:sz w:val="21"/>
          <w:szCs w:val="21"/>
          <w:highlight w:val="none"/>
          <w:lang w:val="en-US" w:eastAsia="zh-CN" w:bidi="ar-SA"/>
        </w:rPr>
        <w:t>4</w:t>
      </w:r>
      <w:r>
        <w:rPr>
          <w:rFonts w:hint="eastAsia" w:ascii="宋体" w:hAnsi="宋体" w:eastAsia="宋体" w:cs="宋体"/>
          <w:i w:val="0"/>
          <w:iCs w:val="0"/>
          <w:snapToGrid w:val="0"/>
          <w:color w:val="auto"/>
          <w:spacing w:val="0"/>
          <w:sz w:val="21"/>
          <w:szCs w:val="21"/>
          <w:highlight w:val="none"/>
          <w:lang w:val="en-US" w:eastAsia="zh-CN" w:bidi="ar-SA"/>
        </w:rPr>
        <w:t xml:space="preserve">年 </w:t>
      </w:r>
      <w:r>
        <w:rPr>
          <w:rFonts w:hint="eastAsia" w:eastAsia="宋体" w:cs="宋体"/>
          <w:i w:val="0"/>
          <w:iCs w:val="0"/>
          <w:snapToGrid w:val="0"/>
          <w:color w:val="auto"/>
          <w:spacing w:val="0"/>
          <w:sz w:val="21"/>
          <w:szCs w:val="21"/>
          <w:highlight w:val="none"/>
          <w:lang w:val="en-US" w:eastAsia="zh-CN" w:bidi="ar-SA"/>
        </w:rPr>
        <w:t>01</w:t>
      </w:r>
      <w:r>
        <w:rPr>
          <w:rFonts w:hint="eastAsia" w:ascii="宋体" w:hAnsi="宋体" w:eastAsia="宋体" w:cs="宋体"/>
          <w:i w:val="0"/>
          <w:iCs w:val="0"/>
          <w:snapToGrid w:val="0"/>
          <w:color w:val="auto"/>
          <w:spacing w:val="0"/>
          <w:sz w:val="21"/>
          <w:szCs w:val="21"/>
          <w:highlight w:val="none"/>
          <w:lang w:val="en-US" w:eastAsia="zh-CN" w:bidi="ar-SA"/>
        </w:rPr>
        <w:t xml:space="preserve"> 月 </w:t>
      </w:r>
      <w:r>
        <w:rPr>
          <w:rFonts w:hint="eastAsia" w:eastAsia="宋体" w:cs="宋体"/>
          <w:i w:val="0"/>
          <w:iCs w:val="0"/>
          <w:snapToGrid w:val="0"/>
          <w:color w:val="auto"/>
          <w:spacing w:val="0"/>
          <w:sz w:val="21"/>
          <w:szCs w:val="21"/>
          <w:highlight w:val="none"/>
          <w:lang w:val="en-US" w:eastAsia="zh-CN" w:bidi="ar-SA"/>
        </w:rPr>
        <w:t xml:space="preserve">29 </w:t>
      </w:r>
      <w:r>
        <w:rPr>
          <w:rFonts w:hint="eastAsia" w:ascii="宋体" w:hAnsi="宋体" w:eastAsia="宋体" w:cs="宋体"/>
          <w:i w:val="0"/>
          <w:iCs w:val="0"/>
          <w:snapToGrid w:val="0"/>
          <w:color w:val="auto"/>
          <w:spacing w:val="0"/>
          <w:sz w:val="21"/>
          <w:szCs w:val="21"/>
          <w:highlight w:val="none"/>
          <w:lang w:val="en-US" w:eastAsia="zh-CN" w:bidi="ar-SA"/>
        </w:rPr>
        <w:t>日（周一）</w:t>
      </w:r>
      <w:r>
        <w:rPr>
          <w:rFonts w:hint="eastAsia" w:ascii="宋体" w:hAnsi="宋体" w:eastAsia="宋体" w:cs="宋体"/>
          <w:i w:val="0"/>
          <w:iCs w:val="0"/>
          <w:snapToGrid w:val="0"/>
          <w:color w:val="auto"/>
          <w:spacing w:val="0"/>
          <w:sz w:val="21"/>
          <w:szCs w:val="21"/>
          <w:highlight w:val="none"/>
          <w:lang w:val="en-US" w:eastAsia="zh-CN" w:bidi="ar-SA"/>
        </w:rPr>
        <w:t>在“浙江省建筑市场监管公共服务系统”上参与投标资质的“资质动态核查</w:t>
      </w:r>
      <w:r>
        <w:rPr>
          <w:rFonts w:hint="eastAsia" w:eastAsia="宋体" w:cs="宋体"/>
          <w:i w:val="0"/>
          <w:iCs w:val="0"/>
          <w:snapToGrid w:val="0"/>
          <w:color w:val="auto"/>
          <w:spacing w:val="0"/>
          <w:sz w:val="21"/>
          <w:szCs w:val="21"/>
          <w:highlight w:val="none"/>
          <w:lang w:val="en-US" w:eastAsia="zh-CN" w:bidi="ar-SA"/>
        </w:rPr>
        <w:t>合格</w:t>
      </w:r>
      <w:r>
        <w:rPr>
          <w:rFonts w:hint="eastAsia" w:ascii="宋体" w:hAnsi="宋体" w:eastAsia="宋体" w:cs="宋体"/>
          <w:i w:val="0"/>
          <w:iCs w:val="0"/>
          <w:snapToGrid w:val="0"/>
          <w:color w:val="auto"/>
          <w:spacing w:val="0"/>
          <w:sz w:val="21"/>
          <w:szCs w:val="21"/>
          <w:highlight w:val="none"/>
          <w:lang w:val="en-US" w:eastAsia="zh-CN" w:bidi="ar-SA"/>
        </w:rPr>
        <w:t>证明”</w:t>
      </w:r>
      <w:r>
        <w:rPr>
          <w:rFonts w:hint="eastAsia" w:eastAsia="宋体" w:cs="宋体"/>
          <w:i w:val="0"/>
          <w:iCs w:val="0"/>
          <w:snapToGrid w:val="0"/>
          <w:color w:val="auto"/>
          <w:spacing w:val="0"/>
          <w:sz w:val="21"/>
          <w:szCs w:val="21"/>
          <w:highlight w:val="none"/>
          <w:lang w:val="en-US" w:eastAsia="zh-CN" w:bidi="ar-SA"/>
        </w:rPr>
        <w:t>。</w:t>
      </w:r>
    </w:p>
    <w:p>
      <w:pPr>
        <w:pStyle w:val="30"/>
        <w:tabs>
          <w:tab w:val="left" w:pos="1136"/>
        </w:tabs>
        <w:spacing w:after="0" w:line="410" w:lineRule="exact"/>
        <w:ind w:firstLine="422" w:firstLineChars="200"/>
        <w:rPr>
          <w:rFonts w:asciiTheme="minorEastAsia" w:hAnsiTheme="minorEastAsia" w:eastAsiaTheme="minorEastAsia"/>
          <w:color w:val="auto"/>
          <w:sz w:val="21"/>
          <w:szCs w:val="21"/>
          <w:highlight w:val="none"/>
        </w:rPr>
      </w:pPr>
      <w:bookmarkStart w:id="114" w:name="bookmark44"/>
      <w:bookmarkEnd w:id="114"/>
      <w:r>
        <w:rPr>
          <w:rFonts w:hint="eastAsia" w:asciiTheme="minorEastAsia" w:hAnsiTheme="minorEastAsia" w:eastAsiaTheme="minorEastAsia"/>
          <w:b/>
          <w:bCs/>
          <w:color w:val="auto"/>
          <w:sz w:val="21"/>
          <w:szCs w:val="21"/>
          <w:highlight w:val="none"/>
          <w:lang w:val="en-US" w:eastAsia="zh-CN" w:bidi="en-US"/>
        </w:rPr>
        <w:t>3.5.</w:t>
      </w:r>
      <w:r>
        <w:rPr>
          <w:rFonts w:hint="eastAsia" w:asciiTheme="minorEastAsia" w:hAnsiTheme="minorEastAsia" w:eastAsiaTheme="minorEastAsia"/>
          <w:b/>
          <w:bCs/>
          <w:color w:val="auto"/>
          <w:sz w:val="21"/>
          <w:szCs w:val="21"/>
          <w:highlight w:val="none"/>
        </w:rPr>
        <w:t>2</w:t>
      </w:r>
      <w:r>
        <w:rPr>
          <w:rFonts w:hint="eastAsia" w:asciiTheme="minorEastAsia" w:hAnsiTheme="minorEastAsia" w:eastAsiaTheme="minorEastAsia"/>
          <w:b/>
          <w:bCs/>
          <w:color w:val="auto"/>
          <w:sz w:val="21"/>
          <w:szCs w:val="21"/>
          <w:highlight w:val="none"/>
          <w:lang w:val="en-US" w:eastAsia="zh-CN"/>
        </w:rPr>
        <w:t xml:space="preserve">  </w:t>
      </w:r>
      <w:r>
        <w:rPr>
          <w:rFonts w:hint="eastAsia" w:asciiTheme="minorEastAsia" w:hAnsiTheme="minorEastAsia" w:eastAsiaTheme="minorEastAsia"/>
          <w:color w:val="auto"/>
          <w:sz w:val="21"/>
          <w:szCs w:val="21"/>
          <w:highlight w:val="none"/>
          <w:lang w:val="zh-CN" w:eastAsia="zh-CN" w:bidi="zh-CN"/>
        </w:rPr>
        <w:t>“近</w:t>
      </w:r>
      <w:r>
        <w:rPr>
          <w:rFonts w:hint="eastAsia" w:asciiTheme="minorEastAsia" w:hAnsiTheme="minorEastAsia" w:eastAsiaTheme="minorEastAsia"/>
          <w:color w:val="auto"/>
          <w:sz w:val="21"/>
          <w:szCs w:val="21"/>
          <w:highlight w:val="none"/>
        </w:rPr>
        <w:t>年财务状况”应附经会计师事务所或审计机构审计的财务会计报表，包括资产负债表、现金流量表、利润表和财务情况说明书</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或财务报表附注）的复制件，具体年份要求见投标人须知前附表。删除本条款</w:t>
      </w:r>
    </w:p>
    <w:p>
      <w:pPr>
        <w:pStyle w:val="30"/>
        <w:tabs>
          <w:tab w:val="left" w:pos="1136"/>
        </w:tabs>
        <w:spacing w:after="0" w:line="410" w:lineRule="exact"/>
        <w:ind w:firstLine="422" w:firstLineChars="200"/>
        <w:rPr>
          <w:rFonts w:asciiTheme="minorEastAsia" w:hAnsiTheme="minorEastAsia" w:eastAsiaTheme="minorEastAsia"/>
          <w:color w:val="auto"/>
          <w:sz w:val="21"/>
          <w:szCs w:val="21"/>
          <w:highlight w:val="none"/>
        </w:rPr>
      </w:pPr>
      <w:bookmarkStart w:id="115" w:name="bookmark45"/>
      <w:bookmarkEnd w:id="115"/>
      <w:r>
        <w:rPr>
          <w:rFonts w:hint="eastAsia" w:asciiTheme="minorEastAsia" w:hAnsiTheme="minorEastAsia" w:eastAsiaTheme="minorEastAsia"/>
          <w:b/>
          <w:bCs/>
          <w:color w:val="auto"/>
          <w:sz w:val="21"/>
          <w:szCs w:val="21"/>
          <w:highlight w:val="none"/>
          <w:lang w:val="en-US" w:eastAsia="zh-CN" w:bidi="en-US"/>
        </w:rPr>
        <w:t xml:space="preserve">3.5.3  </w:t>
      </w:r>
      <w:r>
        <w:rPr>
          <w:rFonts w:hint="eastAsia" w:asciiTheme="minorEastAsia" w:hAnsiTheme="minorEastAsia" w:eastAsiaTheme="minorEastAsia"/>
          <w:color w:val="auto"/>
          <w:sz w:val="21"/>
          <w:szCs w:val="21"/>
          <w:highlight w:val="none"/>
          <w:lang w:val="zh-CN" w:eastAsia="zh-CN" w:bidi="zh-CN"/>
        </w:rPr>
        <w:t>“近</w:t>
      </w:r>
      <w:r>
        <w:rPr>
          <w:rFonts w:hint="eastAsia" w:asciiTheme="minorEastAsia" w:hAnsiTheme="minorEastAsia" w:eastAsiaTheme="minorEastAsia"/>
          <w:color w:val="auto"/>
          <w:sz w:val="21"/>
          <w:szCs w:val="21"/>
          <w:highlight w:val="none"/>
        </w:rPr>
        <w:t>年完成的类似项目情况表”应附招标公告规定的业绩证明材料复制件，具体年份要求见投标人须知前附表。每张表格只填写一个项目，并标明序号。删除本条款</w:t>
      </w:r>
    </w:p>
    <w:p>
      <w:pPr>
        <w:pStyle w:val="30"/>
        <w:tabs>
          <w:tab w:val="left" w:pos="1112"/>
        </w:tabs>
        <w:spacing w:after="0" w:line="410" w:lineRule="exact"/>
        <w:ind w:firstLine="422" w:firstLineChars="200"/>
        <w:rPr>
          <w:rFonts w:asciiTheme="minorEastAsia" w:hAnsiTheme="minorEastAsia" w:eastAsiaTheme="minorEastAsia"/>
          <w:color w:val="auto"/>
          <w:sz w:val="21"/>
          <w:szCs w:val="21"/>
          <w:highlight w:val="none"/>
        </w:rPr>
      </w:pPr>
      <w:bookmarkStart w:id="116" w:name="bookmark46"/>
      <w:bookmarkEnd w:id="116"/>
      <w:r>
        <w:rPr>
          <w:rFonts w:hint="eastAsia" w:asciiTheme="minorEastAsia" w:hAnsiTheme="minorEastAsia" w:eastAsiaTheme="minorEastAsia"/>
          <w:b/>
          <w:bCs/>
          <w:color w:val="auto"/>
          <w:sz w:val="21"/>
          <w:szCs w:val="21"/>
          <w:highlight w:val="none"/>
          <w:lang w:val="en-US" w:eastAsia="zh-CN" w:bidi="en-US"/>
        </w:rPr>
        <w:t xml:space="preserve">3.5.4  </w:t>
      </w:r>
      <w:r>
        <w:rPr>
          <w:rFonts w:hint="eastAsia" w:asciiTheme="minorEastAsia" w:hAnsiTheme="minorEastAsia" w:eastAsiaTheme="minorEastAsia"/>
          <w:color w:val="auto"/>
          <w:sz w:val="21"/>
          <w:szCs w:val="21"/>
          <w:highlight w:val="none"/>
          <w:lang w:val="zh-CN" w:eastAsia="zh-CN" w:bidi="zh-CN"/>
        </w:rPr>
        <w:t>“正在</w:t>
      </w:r>
      <w:r>
        <w:rPr>
          <w:rFonts w:hint="eastAsia" w:asciiTheme="minorEastAsia" w:hAnsiTheme="minorEastAsia" w:eastAsiaTheme="minorEastAsia"/>
          <w:color w:val="auto"/>
          <w:sz w:val="21"/>
          <w:szCs w:val="21"/>
          <w:highlight w:val="none"/>
        </w:rPr>
        <w:t>施工和新承接的项目情况表</w:t>
      </w:r>
      <w:r>
        <w:rPr>
          <w:rFonts w:hint="eastAsia" w:asciiTheme="minorEastAsia" w:hAnsiTheme="minorEastAsia" w:eastAsiaTheme="minorEastAsia"/>
          <w:color w:val="auto"/>
          <w:sz w:val="21"/>
          <w:szCs w:val="21"/>
          <w:highlight w:val="none"/>
          <w:lang w:val="zh-CN" w:eastAsia="zh-CN" w:bidi="zh-CN"/>
        </w:rPr>
        <w:t>”应</w:t>
      </w:r>
      <w:r>
        <w:rPr>
          <w:rFonts w:hint="eastAsia" w:asciiTheme="minorEastAsia" w:hAnsiTheme="minorEastAsia" w:eastAsiaTheme="minorEastAsia"/>
          <w:color w:val="auto"/>
          <w:sz w:val="21"/>
          <w:szCs w:val="21"/>
          <w:highlight w:val="none"/>
        </w:rPr>
        <w:t>附中标通知书或合同协议书复制件。每张表格只填写一个项目，并标明序号。</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3.5.5  </w:t>
      </w:r>
      <w:r>
        <w:rPr>
          <w:rFonts w:hint="eastAsia" w:asciiTheme="minorEastAsia" w:hAnsiTheme="minorEastAsia" w:eastAsiaTheme="minorEastAsia"/>
          <w:color w:val="auto"/>
          <w:sz w:val="21"/>
          <w:szCs w:val="21"/>
          <w:highlight w:val="none"/>
          <w:lang w:val="zh-CN" w:eastAsia="zh-CN" w:bidi="zh-CN"/>
        </w:rPr>
        <w:t>“近年</w:t>
      </w:r>
      <w:r>
        <w:rPr>
          <w:rFonts w:hint="eastAsia" w:asciiTheme="minorEastAsia" w:hAnsiTheme="minorEastAsia" w:eastAsiaTheme="minorEastAsia"/>
          <w:color w:val="auto"/>
          <w:sz w:val="21"/>
          <w:szCs w:val="21"/>
          <w:highlight w:val="none"/>
        </w:rPr>
        <w:t>发生的诉讼及仲裁情况表”应说明相关情况，并附法院或仲裁机构作出的判决、裁决等</w:t>
      </w:r>
      <w:r>
        <w:rPr>
          <w:rFonts w:hint="eastAsia" w:asciiTheme="minorEastAsia" w:hAnsiTheme="minorEastAsia" w:eastAsiaTheme="minorEastAsia"/>
          <w:color w:val="auto"/>
          <w:sz w:val="21"/>
          <w:szCs w:val="21"/>
          <w:highlight w:val="none"/>
          <w:lang w:eastAsia="zh-CN"/>
        </w:rPr>
        <w:t>有关</w:t>
      </w:r>
      <w:r>
        <w:rPr>
          <w:rFonts w:hint="eastAsia" w:asciiTheme="minorEastAsia" w:hAnsiTheme="minorEastAsia" w:eastAsiaTheme="minorEastAsia"/>
          <w:color w:val="auto"/>
          <w:sz w:val="21"/>
          <w:szCs w:val="21"/>
          <w:highlight w:val="none"/>
        </w:rPr>
        <w:t>法律文书复制件，具体年份要求见投标人须知前附表。</w:t>
      </w:r>
    </w:p>
    <w:p>
      <w:pPr>
        <w:pStyle w:val="30"/>
        <w:tabs>
          <w:tab w:val="left" w:pos="1128"/>
        </w:tabs>
        <w:spacing w:after="0" w:line="410" w:lineRule="exact"/>
        <w:ind w:firstLine="422" w:firstLineChars="200"/>
        <w:rPr>
          <w:rFonts w:asciiTheme="minorEastAsia" w:hAnsiTheme="minorEastAsia" w:eastAsiaTheme="minorEastAsia"/>
          <w:color w:val="auto"/>
          <w:sz w:val="21"/>
          <w:szCs w:val="21"/>
          <w:highlight w:val="none"/>
        </w:rPr>
      </w:pPr>
      <w:bookmarkStart w:id="117" w:name="bookmark47"/>
      <w:bookmarkEnd w:id="117"/>
      <w:r>
        <w:rPr>
          <w:rFonts w:hint="eastAsia" w:asciiTheme="minorEastAsia" w:hAnsiTheme="minorEastAsia" w:eastAsiaTheme="minorEastAsia"/>
          <w:b/>
          <w:bCs/>
          <w:color w:val="auto"/>
          <w:sz w:val="21"/>
          <w:szCs w:val="21"/>
          <w:highlight w:val="none"/>
          <w:shd w:val="clear" w:color="auto" w:fill="FFFFFF"/>
          <w:lang w:val="en-US" w:eastAsia="zh-CN" w:bidi="en-US"/>
        </w:rPr>
        <w:t xml:space="preserve">3.5.6  </w:t>
      </w:r>
      <w:r>
        <w:rPr>
          <w:rFonts w:hint="eastAsia" w:asciiTheme="minorEastAsia" w:hAnsiTheme="minorEastAsia" w:eastAsiaTheme="minorEastAsia"/>
          <w:color w:val="auto"/>
          <w:sz w:val="21"/>
          <w:szCs w:val="21"/>
          <w:highlight w:val="none"/>
          <w:shd w:val="clear" w:color="auto" w:fill="FFFFFF"/>
        </w:rPr>
        <w:t>投标人须知前附表规定接受联合体投标的，本章第3.5.1项〜第</w:t>
      </w:r>
      <w:bookmarkStart w:id="118" w:name="bookmark48"/>
      <w:bookmarkEnd w:id="118"/>
      <w:r>
        <w:rPr>
          <w:rFonts w:hint="eastAsia" w:asciiTheme="minorEastAsia" w:hAnsiTheme="minorEastAsia" w:eastAsiaTheme="minorEastAsia"/>
          <w:color w:val="auto"/>
          <w:sz w:val="21"/>
          <w:szCs w:val="21"/>
          <w:highlight w:val="none"/>
          <w:lang w:val="en-US" w:eastAsia="zh-CN" w:bidi="en-US"/>
        </w:rPr>
        <w:t>3.5.</w:t>
      </w:r>
      <w:r>
        <w:rPr>
          <w:rFonts w:hint="eastAsia" w:asciiTheme="minorEastAsia" w:hAnsiTheme="minorEastAsia" w:eastAsiaTheme="minorEastAsia"/>
          <w:color w:val="auto"/>
          <w:sz w:val="21"/>
          <w:szCs w:val="21"/>
          <w:highlight w:val="none"/>
        </w:rPr>
        <w:t>5项规定的表格和资料应包括联合体各方相关</w:t>
      </w:r>
      <w:r>
        <w:rPr>
          <w:rFonts w:hint="eastAsia" w:asciiTheme="minorEastAsia" w:hAnsiTheme="minorEastAsia" w:eastAsiaTheme="minorEastAsia"/>
          <w:color w:val="auto"/>
          <w:sz w:val="21"/>
          <w:szCs w:val="21"/>
          <w:highlight w:val="none"/>
          <w:lang w:eastAsia="zh-CN"/>
        </w:rPr>
        <w:t>情况</w:t>
      </w:r>
      <w:r>
        <w:rPr>
          <w:rFonts w:hint="eastAsia" w:asciiTheme="minorEastAsia" w:hAnsiTheme="minorEastAsia" w:eastAsiaTheme="minorEastAsia"/>
          <w:color w:val="auto"/>
          <w:sz w:val="21"/>
          <w:szCs w:val="21"/>
          <w:highlight w:val="none"/>
        </w:rPr>
        <w:t>。</w:t>
      </w:r>
    </w:p>
    <w:p>
      <w:pPr>
        <w:spacing w:line="410" w:lineRule="exact"/>
        <w:outlineLvl w:val="2"/>
        <w:rPr>
          <w:rFonts w:cs="宋体" w:asciiTheme="minorEastAsia" w:hAnsiTheme="minorEastAsia" w:eastAsiaTheme="minorEastAsia"/>
          <w:b/>
          <w:bCs/>
          <w:color w:val="auto"/>
          <w:sz w:val="24"/>
          <w:szCs w:val="24"/>
          <w:highlight w:val="none"/>
        </w:rPr>
      </w:pPr>
      <w:bookmarkStart w:id="119" w:name="_Toc31696"/>
      <w:bookmarkStart w:id="120" w:name="_Toc9675"/>
      <w:bookmarkStart w:id="121" w:name="_Toc20325"/>
      <w:r>
        <w:rPr>
          <w:rFonts w:hint="eastAsia" w:cs="宋体" w:asciiTheme="minorEastAsia" w:hAnsiTheme="minorEastAsia" w:eastAsiaTheme="minorEastAsia"/>
          <w:b/>
          <w:bCs/>
          <w:color w:val="auto"/>
          <w:sz w:val="24"/>
          <w:szCs w:val="24"/>
          <w:highlight w:val="none"/>
        </w:rPr>
        <w:t>3.6  备选投标方案</w:t>
      </w:r>
      <w:bookmarkEnd w:id="119"/>
      <w:bookmarkEnd w:id="120"/>
      <w:bookmarkEnd w:id="121"/>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除投标人须知前附表另有规定外，投标人不得递交备选投标方案。允许投标人递交备选投标方案，只有中标人所递交的备选投标方案方可予以考虑。评标委员会认为中标人递交的备选投标方案优于其按照招标文件要求编制的投标方案时，招标人可以接受该备选投标方案。</w:t>
      </w:r>
    </w:p>
    <w:p>
      <w:pPr>
        <w:spacing w:line="410" w:lineRule="exact"/>
        <w:outlineLvl w:val="2"/>
        <w:rPr>
          <w:rFonts w:cs="宋体" w:asciiTheme="minorEastAsia" w:hAnsiTheme="minorEastAsia" w:eastAsiaTheme="minorEastAsia"/>
          <w:b/>
          <w:bCs/>
          <w:color w:val="auto"/>
          <w:sz w:val="24"/>
          <w:szCs w:val="24"/>
          <w:highlight w:val="none"/>
        </w:rPr>
      </w:pPr>
      <w:bookmarkStart w:id="122" w:name="_Toc30128"/>
      <w:bookmarkStart w:id="123" w:name="_Toc10035"/>
      <w:bookmarkStart w:id="124" w:name="_Toc7305"/>
      <w:r>
        <w:rPr>
          <w:rFonts w:hint="eastAsia" w:cs="宋体" w:asciiTheme="minorEastAsia" w:hAnsiTheme="minorEastAsia" w:eastAsiaTheme="minorEastAsia"/>
          <w:b/>
          <w:bCs/>
          <w:color w:val="auto"/>
          <w:sz w:val="24"/>
          <w:szCs w:val="24"/>
          <w:highlight w:val="none"/>
        </w:rPr>
        <w:t>3.7  投标文件的编制</w:t>
      </w:r>
      <w:bookmarkEnd w:id="122"/>
      <w:bookmarkEnd w:id="123"/>
      <w:bookmarkEnd w:id="124"/>
    </w:p>
    <w:p>
      <w:pPr>
        <w:pStyle w:val="30"/>
        <w:spacing w:after="0" w:line="410" w:lineRule="exact"/>
        <w:ind w:firstLine="422" w:firstLineChars="200"/>
        <w:rPr>
          <w:rFonts w:asciiTheme="minorEastAsia" w:hAnsiTheme="minorEastAsia" w:eastAsiaTheme="minorEastAsia"/>
          <w:color w:val="auto"/>
          <w:sz w:val="21"/>
          <w:szCs w:val="21"/>
          <w:highlight w:val="none"/>
          <w:lang w:eastAsia="zh-CN"/>
        </w:rPr>
      </w:pPr>
      <w:r>
        <w:rPr>
          <w:rFonts w:hint="eastAsia" w:asciiTheme="minorEastAsia" w:hAnsiTheme="minorEastAsia" w:eastAsiaTheme="minorEastAsia"/>
          <w:b/>
          <w:bCs/>
          <w:color w:val="auto"/>
          <w:sz w:val="21"/>
          <w:szCs w:val="21"/>
          <w:highlight w:val="none"/>
          <w:lang w:val="en-US" w:eastAsia="zh-CN" w:bidi="en-US"/>
        </w:rPr>
        <w:t xml:space="preserve">3.7.1  </w:t>
      </w:r>
      <w:r>
        <w:rPr>
          <w:rFonts w:hint="eastAsia" w:asciiTheme="minorEastAsia" w:hAnsiTheme="minorEastAsia" w:eastAsiaTheme="minorEastAsia"/>
          <w:color w:val="auto"/>
          <w:sz w:val="21"/>
          <w:szCs w:val="21"/>
          <w:highlight w:val="none"/>
        </w:rPr>
        <w:t>投标文件应按第八章</w:t>
      </w:r>
      <w:r>
        <w:rPr>
          <w:rFonts w:hint="eastAsia" w:asciiTheme="minorEastAsia" w:hAnsiTheme="minorEastAsia" w:eastAsiaTheme="minorEastAsia"/>
          <w:color w:val="auto"/>
          <w:sz w:val="21"/>
          <w:szCs w:val="21"/>
          <w:highlight w:val="none"/>
          <w:lang w:val="zh-CN" w:eastAsia="zh-CN" w:bidi="zh-CN"/>
        </w:rPr>
        <w:t>“投</w:t>
      </w:r>
      <w:r>
        <w:rPr>
          <w:rFonts w:hint="eastAsia" w:asciiTheme="minorEastAsia" w:hAnsiTheme="minorEastAsia" w:eastAsiaTheme="minorEastAsia"/>
          <w:color w:val="auto"/>
          <w:sz w:val="21"/>
          <w:szCs w:val="21"/>
          <w:highlight w:val="none"/>
        </w:rPr>
        <w:t>标文件格式”进行编写，如有必要，可以增加附页，作为投标文件的组成部分。其中，投标函附录在满足招标文件实质性要求的基础上，可以提出比招标文件要求更有利于招标人的承诺</w:t>
      </w:r>
      <w:r>
        <w:rPr>
          <w:rFonts w:hint="eastAsia" w:asciiTheme="minorEastAsia" w:hAnsiTheme="minorEastAsia" w:eastAsiaTheme="minorEastAsia"/>
          <w:color w:val="auto"/>
          <w:sz w:val="21"/>
          <w:szCs w:val="21"/>
          <w:highlight w:val="none"/>
          <w:lang w:eastAsia="zh-CN"/>
        </w:rPr>
        <w:t xml:space="preserve">。         </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3.7.2  </w:t>
      </w:r>
      <w:r>
        <w:rPr>
          <w:rFonts w:hint="eastAsia" w:asciiTheme="minorEastAsia" w:hAnsiTheme="minorEastAsia" w:eastAsiaTheme="minorEastAsia"/>
          <w:color w:val="auto"/>
          <w:sz w:val="21"/>
          <w:szCs w:val="21"/>
          <w:highlight w:val="none"/>
        </w:rPr>
        <w:t>投标文件应当对招标文件有关工期、投标有效期、质量要求、技术标准和要求、招标范围等实质性内容作出响应。</w:t>
      </w:r>
    </w:p>
    <w:p>
      <w:pPr>
        <w:pStyle w:val="30"/>
        <w:tabs>
          <w:tab w:val="left" w:pos="1108"/>
        </w:tabs>
        <w:spacing w:after="0" w:line="410" w:lineRule="exact"/>
        <w:ind w:firstLine="422" w:firstLineChars="200"/>
        <w:rPr>
          <w:rFonts w:asciiTheme="minorEastAsia" w:hAnsiTheme="minorEastAsia" w:eastAsiaTheme="minorEastAsia"/>
          <w:color w:val="auto"/>
          <w:sz w:val="21"/>
          <w:szCs w:val="21"/>
          <w:highlight w:val="none"/>
        </w:rPr>
      </w:pPr>
      <w:bookmarkStart w:id="125" w:name="bookmark49"/>
      <w:bookmarkEnd w:id="125"/>
      <w:r>
        <w:rPr>
          <w:rFonts w:hint="eastAsia" w:asciiTheme="minorEastAsia" w:hAnsiTheme="minorEastAsia" w:eastAsiaTheme="minorEastAsia"/>
          <w:b/>
          <w:bCs/>
          <w:color w:val="auto"/>
          <w:sz w:val="21"/>
          <w:szCs w:val="21"/>
          <w:highlight w:val="none"/>
          <w:lang w:val="en-US" w:eastAsia="zh-CN" w:bidi="en-US"/>
        </w:rPr>
        <w:t xml:space="preserve">3.7.3  </w:t>
      </w:r>
      <w:r>
        <w:rPr>
          <w:rFonts w:hint="eastAsia" w:asciiTheme="minorEastAsia" w:hAnsiTheme="minorEastAsia" w:eastAsiaTheme="minorEastAsia"/>
          <w:color w:val="auto"/>
          <w:sz w:val="21"/>
          <w:szCs w:val="21"/>
          <w:highlight w:val="none"/>
        </w:rPr>
        <w:t>投标文件签字或盖章的具体要求见投标人须知前附表。</w:t>
      </w:r>
    </w:p>
    <w:p>
      <w:pPr>
        <w:pStyle w:val="30"/>
        <w:tabs>
          <w:tab w:val="left" w:pos="1108"/>
        </w:tabs>
        <w:spacing w:after="0" w:line="410" w:lineRule="exact"/>
        <w:ind w:firstLine="422" w:firstLineChars="200"/>
        <w:rPr>
          <w:rFonts w:asciiTheme="minorEastAsia" w:hAnsiTheme="minorEastAsia" w:eastAsiaTheme="minorEastAsia"/>
          <w:color w:val="auto"/>
          <w:sz w:val="21"/>
          <w:szCs w:val="21"/>
          <w:highlight w:val="none"/>
        </w:rPr>
      </w:pPr>
      <w:bookmarkStart w:id="126" w:name="bookmark50"/>
      <w:bookmarkEnd w:id="126"/>
      <w:r>
        <w:rPr>
          <w:rFonts w:hint="eastAsia" w:asciiTheme="minorEastAsia" w:hAnsiTheme="minorEastAsia" w:eastAsiaTheme="minorEastAsia"/>
          <w:b/>
          <w:bCs/>
          <w:color w:val="auto"/>
          <w:sz w:val="21"/>
          <w:szCs w:val="21"/>
          <w:highlight w:val="none"/>
          <w:lang w:val="en-US" w:eastAsia="zh-CN" w:bidi="en-US"/>
        </w:rPr>
        <w:t xml:space="preserve">3.7.4  </w:t>
      </w:r>
      <w:r>
        <w:rPr>
          <w:rFonts w:hint="eastAsia" w:asciiTheme="minorEastAsia" w:hAnsiTheme="minorEastAsia" w:eastAsiaTheme="minorEastAsia"/>
          <w:color w:val="auto"/>
          <w:sz w:val="21"/>
          <w:szCs w:val="21"/>
          <w:highlight w:val="none"/>
        </w:rPr>
        <w:t>投标文件份数的具体要求见投标人须知前附表。</w:t>
      </w:r>
    </w:p>
    <w:p>
      <w:pPr>
        <w:spacing w:line="410" w:lineRule="exact"/>
        <w:ind w:firstLine="422" w:firstLineChars="200"/>
        <w:rPr>
          <w:rFonts w:asciiTheme="minorEastAsia" w:hAnsiTheme="minorEastAsia" w:eastAsiaTheme="minorEastAsia"/>
          <w:color w:val="auto"/>
          <w:highlight w:val="none"/>
        </w:rPr>
      </w:pPr>
      <w:r>
        <w:rPr>
          <w:rFonts w:hint="eastAsia" w:asciiTheme="minorEastAsia" w:hAnsiTheme="minorEastAsia" w:eastAsiaTheme="minorEastAsia"/>
          <w:b/>
          <w:bCs/>
          <w:color w:val="auto"/>
          <w:highlight w:val="none"/>
        </w:rPr>
        <w:t>3.7.5  投标文件正本一份，副本份数见投标人须知前附表。正本和副本的封面上应清楚地标记“正本”或“副本”的字样。当副本和正本不一致时，以正本为准。</w:t>
      </w:r>
    </w:p>
    <w:p>
      <w:pPr>
        <w:spacing w:line="410" w:lineRule="exact"/>
        <w:outlineLvl w:val="1"/>
        <w:rPr>
          <w:rFonts w:cs="宋体" w:asciiTheme="minorEastAsia" w:hAnsiTheme="minorEastAsia" w:eastAsiaTheme="minorEastAsia"/>
          <w:b/>
          <w:bCs/>
          <w:color w:val="auto"/>
          <w:sz w:val="28"/>
          <w:szCs w:val="28"/>
          <w:highlight w:val="none"/>
        </w:rPr>
      </w:pPr>
      <w:bookmarkStart w:id="127" w:name="bookmark53"/>
      <w:bookmarkStart w:id="128" w:name="bookmark51"/>
      <w:bookmarkStart w:id="129" w:name="_Toc27251"/>
      <w:bookmarkStart w:id="130" w:name="bookmark52"/>
      <w:r>
        <w:rPr>
          <w:rFonts w:hint="eastAsia" w:cs="宋体" w:asciiTheme="minorEastAsia" w:hAnsiTheme="minorEastAsia" w:eastAsiaTheme="minorEastAsia"/>
          <w:b/>
          <w:bCs/>
          <w:color w:val="auto"/>
          <w:sz w:val="28"/>
          <w:szCs w:val="28"/>
          <w:highlight w:val="none"/>
        </w:rPr>
        <w:t>4  投标</w:t>
      </w:r>
      <w:bookmarkEnd w:id="127"/>
      <w:bookmarkEnd w:id="128"/>
      <w:bookmarkEnd w:id="129"/>
      <w:bookmarkEnd w:id="130"/>
    </w:p>
    <w:p>
      <w:pPr>
        <w:spacing w:line="410" w:lineRule="exact"/>
        <w:outlineLvl w:val="2"/>
        <w:rPr>
          <w:rFonts w:cs="宋体" w:asciiTheme="minorEastAsia" w:hAnsiTheme="minorEastAsia" w:eastAsiaTheme="minorEastAsia"/>
          <w:b/>
          <w:bCs/>
          <w:color w:val="auto"/>
          <w:sz w:val="24"/>
          <w:szCs w:val="24"/>
          <w:highlight w:val="none"/>
        </w:rPr>
      </w:pPr>
      <w:bookmarkStart w:id="131" w:name="_Toc4990"/>
      <w:bookmarkStart w:id="132" w:name="_Toc579"/>
      <w:bookmarkStart w:id="133" w:name="_Toc480"/>
      <w:r>
        <w:rPr>
          <w:rFonts w:hint="eastAsia" w:cs="宋体" w:asciiTheme="minorEastAsia" w:hAnsiTheme="minorEastAsia" w:eastAsiaTheme="minorEastAsia"/>
          <w:b/>
          <w:bCs/>
          <w:color w:val="auto"/>
          <w:sz w:val="24"/>
          <w:szCs w:val="24"/>
          <w:highlight w:val="none"/>
        </w:rPr>
        <w:t>4.1  投标文件的密封和标识</w:t>
      </w:r>
      <w:bookmarkEnd w:id="131"/>
      <w:bookmarkEnd w:id="132"/>
      <w:bookmarkEnd w:id="133"/>
    </w:p>
    <w:p>
      <w:pPr>
        <w:spacing w:line="410" w:lineRule="exact"/>
        <w:ind w:left="42" w:leftChars="20" w:right="42" w:rightChars="20" w:firstLine="420" w:firstLineChars="200"/>
        <w:jc w:val="both"/>
        <w:rPr>
          <w:rFonts w:asciiTheme="minorEastAsia" w:hAnsiTheme="minorEastAsia" w:eastAsiaTheme="minorEastAsia"/>
          <w:color w:val="auto"/>
          <w:highlight w:val="none"/>
        </w:rPr>
      </w:pPr>
      <w:bookmarkStart w:id="134" w:name="bookmark54"/>
      <w:bookmarkEnd w:id="134"/>
      <w:bookmarkStart w:id="135" w:name="_Toc8783"/>
      <w:bookmarkStart w:id="136" w:name="_Toc22968"/>
      <w:bookmarkStart w:id="137" w:name="_Toc11832"/>
      <w:r>
        <w:rPr>
          <w:rFonts w:hint="eastAsia" w:asciiTheme="minorEastAsia" w:hAnsiTheme="minorEastAsia" w:eastAsiaTheme="minorEastAsia"/>
          <w:color w:val="auto"/>
          <w:highlight w:val="none"/>
        </w:rPr>
        <w:t>4.1.1 投标文件的商务标、资信标、技术标应分开包装，加贴封条，并在封套的封口处加盖投标人单位章。</w:t>
      </w:r>
    </w:p>
    <w:p>
      <w:pPr>
        <w:spacing w:line="410" w:lineRule="exact"/>
        <w:ind w:left="42" w:leftChars="20" w:right="42" w:rightChars="20" w:firstLine="420" w:firstLineChars="20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投标文件封套标记要求：招标人地址：</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pPr>
        <w:spacing w:line="410" w:lineRule="exact"/>
        <w:ind w:left="42" w:leftChars="20" w:right="42" w:rightChars="20" w:firstLine="2730" w:firstLineChars="130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招标人名称：</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pPr>
        <w:spacing w:line="41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投标文件</w:t>
      </w:r>
    </w:p>
    <w:p>
      <w:pPr>
        <w:spacing w:line="410" w:lineRule="exact"/>
        <w:ind w:firstLine="2730" w:firstLineChars="1300"/>
        <w:rPr>
          <w:rFonts w:asciiTheme="minorEastAsia" w:hAnsiTheme="minorEastAsia" w:eastAsiaTheme="minorEastAsia"/>
          <w:color w:val="auto"/>
          <w:highlight w:val="none"/>
        </w:rPr>
      </w:pPr>
      <w:r>
        <w:rPr>
          <w:rFonts w:hint="eastAsia" w:asciiTheme="minorEastAsia" w:hAnsiTheme="minorEastAsia" w:eastAsiaTheme="minorEastAsia" w:cstheme="minorEastAsia"/>
          <w:color w:val="auto"/>
          <w:highlight w:val="none"/>
        </w:rPr>
        <w:t>在    年   月   日  时  分前不得开启</w:t>
      </w:r>
    </w:p>
    <w:p>
      <w:pPr>
        <w:spacing w:line="410" w:lineRule="exact"/>
        <w:ind w:firstLine="420" w:firstLineChars="200"/>
        <w:outlineLvl w:val="2"/>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4.1.2 投标文件的封套上应清楚地标记“商务标”或“资信标”或“技术标”字样。</w:t>
      </w:r>
    </w:p>
    <w:p>
      <w:pPr>
        <w:spacing w:line="410" w:lineRule="exact"/>
        <w:outlineLvl w:val="2"/>
        <w:rPr>
          <w:rFonts w:cs="宋体" w:asciiTheme="minorEastAsia" w:hAnsiTheme="minorEastAsia" w:eastAsiaTheme="minorEastAsia"/>
          <w:b/>
          <w:bCs/>
          <w:color w:val="auto"/>
          <w:sz w:val="24"/>
          <w:szCs w:val="24"/>
          <w:highlight w:val="none"/>
        </w:rPr>
      </w:pPr>
      <w:r>
        <w:rPr>
          <w:rFonts w:hint="eastAsia" w:cs="宋体" w:asciiTheme="minorEastAsia" w:hAnsiTheme="minorEastAsia" w:eastAsiaTheme="minorEastAsia"/>
          <w:b/>
          <w:bCs/>
          <w:color w:val="auto"/>
          <w:sz w:val="24"/>
          <w:szCs w:val="24"/>
          <w:highlight w:val="none"/>
        </w:rPr>
        <w:t>4.2  投标文件的递交</w:t>
      </w:r>
      <w:bookmarkEnd w:id="135"/>
      <w:bookmarkEnd w:id="136"/>
      <w:bookmarkEnd w:id="137"/>
    </w:p>
    <w:p>
      <w:pPr>
        <w:pStyle w:val="30"/>
        <w:tabs>
          <w:tab w:val="left" w:pos="1120"/>
        </w:tabs>
        <w:spacing w:after="0" w:line="410" w:lineRule="exact"/>
        <w:ind w:firstLine="422" w:firstLineChars="200"/>
        <w:rPr>
          <w:rFonts w:asciiTheme="minorEastAsia" w:hAnsiTheme="minorEastAsia" w:eastAsiaTheme="minorEastAsia"/>
          <w:color w:val="auto"/>
          <w:sz w:val="21"/>
          <w:szCs w:val="21"/>
          <w:highlight w:val="none"/>
        </w:rPr>
      </w:pPr>
      <w:bookmarkStart w:id="138" w:name="bookmark55"/>
      <w:bookmarkEnd w:id="138"/>
      <w:r>
        <w:rPr>
          <w:rFonts w:hint="eastAsia" w:asciiTheme="minorEastAsia" w:hAnsiTheme="minorEastAsia" w:eastAsiaTheme="minorEastAsia"/>
          <w:b/>
          <w:bCs/>
          <w:color w:val="auto"/>
          <w:sz w:val="21"/>
          <w:szCs w:val="21"/>
          <w:highlight w:val="none"/>
          <w:lang w:val="en-US" w:eastAsia="zh-CN" w:bidi="en-US"/>
        </w:rPr>
        <w:t>4.2.</w:t>
      </w:r>
      <w:r>
        <w:rPr>
          <w:rFonts w:hint="eastAsia" w:asciiTheme="minorEastAsia" w:hAnsiTheme="minorEastAsia" w:eastAsiaTheme="minorEastAsia"/>
          <w:b/>
          <w:bCs/>
          <w:color w:val="auto"/>
          <w:sz w:val="21"/>
          <w:szCs w:val="21"/>
          <w:highlight w:val="none"/>
        </w:rPr>
        <w:t>1</w:t>
      </w:r>
      <w:r>
        <w:rPr>
          <w:rFonts w:hint="eastAsia" w:asciiTheme="minorEastAsia" w:hAnsiTheme="minorEastAsia" w:eastAsiaTheme="minorEastAsia"/>
          <w:b/>
          <w:bCs/>
          <w:color w:val="auto"/>
          <w:sz w:val="21"/>
          <w:szCs w:val="21"/>
          <w:highlight w:val="none"/>
          <w:lang w:val="en-US" w:eastAsia="zh-CN"/>
        </w:rPr>
        <w:t xml:space="preserve">  </w:t>
      </w:r>
      <w:r>
        <w:rPr>
          <w:rFonts w:hint="eastAsia" w:asciiTheme="minorEastAsia" w:hAnsiTheme="minorEastAsia" w:eastAsiaTheme="minorEastAsia"/>
          <w:color w:val="auto"/>
          <w:sz w:val="21"/>
          <w:szCs w:val="21"/>
          <w:highlight w:val="none"/>
        </w:rPr>
        <w:t>投标人应在本章第</w:t>
      </w:r>
      <w:r>
        <w:rPr>
          <w:rFonts w:hint="eastAsia" w:asciiTheme="minorEastAsia" w:hAnsiTheme="minorEastAsia" w:eastAsiaTheme="minorEastAsia"/>
          <w:color w:val="auto"/>
          <w:sz w:val="21"/>
          <w:szCs w:val="21"/>
          <w:highlight w:val="none"/>
          <w:lang w:val="en-US" w:eastAsia="zh-CN" w:bidi="en-US"/>
        </w:rPr>
        <w:t>1.10.</w:t>
      </w:r>
      <w:r>
        <w:rPr>
          <w:rFonts w:hint="eastAsia" w:asciiTheme="minorEastAsia" w:hAnsiTheme="minorEastAsia" w:eastAsiaTheme="minorEastAsia"/>
          <w:color w:val="auto"/>
          <w:sz w:val="21"/>
          <w:szCs w:val="21"/>
          <w:highlight w:val="none"/>
        </w:rPr>
        <w:t>3项规定的投标截止时间前递交投标文件。</w:t>
      </w:r>
    </w:p>
    <w:p>
      <w:pPr>
        <w:pStyle w:val="30"/>
        <w:tabs>
          <w:tab w:val="left" w:pos="1120"/>
        </w:tabs>
        <w:spacing w:after="0" w:line="410" w:lineRule="exact"/>
        <w:ind w:firstLine="422" w:firstLineChars="200"/>
        <w:rPr>
          <w:rFonts w:asciiTheme="minorEastAsia" w:hAnsiTheme="minorEastAsia" w:eastAsiaTheme="minorEastAsia"/>
          <w:color w:val="auto"/>
          <w:sz w:val="21"/>
          <w:szCs w:val="21"/>
          <w:highlight w:val="none"/>
        </w:rPr>
      </w:pPr>
      <w:bookmarkStart w:id="139" w:name="bookmark56"/>
      <w:bookmarkEnd w:id="139"/>
      <w:r>
        <w:rPr>
          <w:rFonts w:hint="eastAsia" w:asciiTheme="minorEastAsia" w:hAnsiTheme="minorEastAsia" w:eastAsiaTheme="minorEastAsia"/>
          <w:b/>
          <w:bCs/>
          <w:color w:val="auto"/>
          <w:sz w:val="21"/>
          <w:szCs w:val="21"/>
          <w:highlight w:val="none"/>
          <w:lang w:val="en-US" w:eastAsia="zh-CN" w:bidi="en-US"/>
        </w:rPr>
        <w:t xml:space="preserve">4.2.2  </w:t>
      </w:r>
      <w:r>
        <w:rPr>
          <w:rFonts w:hint="eastAsia" w:asciiTheme="minorEastAsia" w:hAnsiTheme="minorEastAsia" w:eastAsiaTheme="minorEastAsia"/>
          <w:color w:val="auto"/>
          <w:sz w:val="21"/>
          <w:szCs w:val="21"/>
          <w:highlight w:val="none"/>
        </w:rPr>
        <w:t>投标人递交投标文件的方式和地点见投标人须知前附表。</w:t>
      </w:r>
    </w:p>
    <w:p>
      <w:pPr>
        <w:pStyle w:val="30"/>
        <w:tabs>
          <w:tab w:val="left" w:pos="1108"/>
        </w:tabs>
        <w:spacing w:after="0" w:line="410" w:lineRule="exact"/>
        <w:ind w:firstLine="422" w:firstLineChars="200"/>
        <w:rPr>
          <w:rFonts w:asciiTheme="minorEastAsia" w:hAnsiTheme="minorEastAsia" w:eastAsiaTheme="minorEastAsia"/>
          <w:color w:val="auto"/>
          <w:sz w:val="21"/>
          <w:szCs w:val="21"/>
          <w:highlight w:val="none"/>
        </w:rPr>
      </w:pPr>
      <w:bookmarkStart w:id="140" w:name="bookmark57"/>
      <w:bookmarkEnd w:id="140"/>
      <w:r>
        <w:rPr>
          <w:rFonts w:hint="eastAsia" w:asciiTheme="minorEastAsia" w:hAnsiTheme="minorEastAsia" w:eastAsiaTheme="minorEastAsia"/>
          <w:b/>
          <w:bCs/>
          <w:color w:val="auto"/>
          <w:sz w:val="21"/>
          <w:szCs w:val="21"/>
          <w:highlight w:val="none"/>
          <w:lang w:val="en-US" w:eastAsia="zh-CN" w:bidi="en-US"/>
        </w:rPr>
        <w:t xml:space="preserve">4.2.3  </w:t>
      </w:r>
      <w:r>
        <w:rPr>
          <w:rFonts w:hint="eastAsia" w:asciiTheme="minorEastAsia" w:hAnsiTheme="minorEastAsia" w:eastAsiaTheme="minorEastAsia"/>
          <w:color w:val="auto"/>
          <w:sz w:val="21"/>
          <w:szCs w:val="21"/>
          <w:highlight w:val="none"/>
        </w:rPr>
        <w:t>投标人所递交的投标文件不予退还。</w:t>
      </w:r>
    </w:p>
    <w:p>
      <w:pPr>
        <w:pStyle w:val="30"/>
        <w:tabs>
          <w:tab w:val="left" w:pos="1124"/>
        </w:tabs>
        <w:spacing w:after="0" w:line="410" w:lineRule="exact"/>
        <w:ind w:firstLine="422" w:firstLineChars="200"/>
        <w:rPr>
          <w:rFonts w:asciiTheme="minorEastAsia" w:hAnsiTheme="minorEastAsia" w:eastAsiaTheme="minorEastAsia"/>
          <w:color w:val="auto"/>
          <w:sz w:val="21"/>
          <w:szCs w:val="21"/>
          <w:highlight w:val="none"/>
        </w:rPr>
      </w:pPr>
      <w:bookmarkStart w:id="141" w:name="bookmark58"/>
      <w:bookmarkEnd w:id="141"/>
      <w:bookmarkStart w:id="142" w:name="bookmark59"/>
      <w:bookmarkEnd w:id="142"/>
      <w:r>
        <w:rPr>
          <w:rFonts w:hint="eastAsia" w:asciiTheme="minorEastAsia" w:hAnsiTheme="minorEastAsia" w:eastAsiaTheme="minorEastAsia"/>
          <w:b/>
          <w:bCs/>
          <w:color w:val="auto"/>
          <w:sz w:val="21"/>
          <w:szCs w:val="21"/>
          <w:highlight w:val="none"/>
          <w:lang w:val="en-US" w:eastAsia="zh-CN" w:bidi="en-US"/>
        </w:rPr>
        <w:t xml:space="preserve">4.2.4  </w:t>
      </w:r>
      <w:r>
        <w:rPr>
          <w:rFonts w:hint="eastAsia" w:asciiTheme="minorEastAsia" w:hAnsiTheme="minorEastAsia" w:eastAsiaTheme="minorEastAsia"/>
          <w:color w:val="auto"/>
          <w:sz w:val="21"/>
          <w:szCs w:val="21"/>
          <w:highlight w:val="none"/>
        </w:rPr>
        <w:t>当出现投标人须知前附表规定的任何一种情形的，其投标文件将被拒收。</w:t>
      </w:r>
    </w:p>
    <w:p>
      <w:pPr>
        <w:spacing w:line="410" w:lineRule="exact"/>
        <w:outlineLvl w:val="2"/>
        <w:rPr>
          <w:rFonts w:cs="宋体" w:asciiTheme="minorEastAsia" w:hAnsiTheme="minorEastAsia" w:eastAsiaTheme="minorEastAsia"/>
          <w:b/>
          <w:bCs/>
          <w:color w:val="auto"/>
          <w:sz w:val="24"/>
          <w:szCs w:val="24"/>
          <w:highlight w:val="none"/>
        </w:rPr>
      </w:pPr>
      <w:bookmarkStart w:id="143" w:name="_Toc3871"/>
      <w:bookmarkStart w:id="144" w:name="_Toc29399"/>
      <w:bookmarkStart w:id="145" w:name="_Toc20767"/>
      <w:r>
        <w:rPr>
          <w:rFonts w:hint="eastAsia" w:cs="宋体" w:asciiTheme="minorEastAsia" w:hAnsiTheme="minorEastAsia" w:eastAsiaTheme="minorEastAsia"/>
          <w:b/>
          <w:bCs/>
          <w:color w:val="auto"/>
          <w:sz w:val="24"/>
          <w:szCs w:val="24"/>
          <w:highlight w:val="none"/>
        </w:rPr>
        <w:t>4.3  投标文件的修改与撤回</w:t>
      </w:r>
      <w:bookmarkEnd w:id="143"/>
      <w:bookmarkEnd w:id="144"/>
      <w:bookmarkEnd w:id="145"/>
    </w:p>
    <w:p>
      <w:pPr>
        <w:pStyle w:val="30"/>
        <w:tabs>
          <w:tab w:val="left" w:pos="1088"/>
        </w:tabs>
        <w:spacing w:after="0" w:line="410" w:lineRule="exact"/>
        <w:ind w:firstLine="422" w:firstLineChars="200"/>
        <w:rPr>
          <w:rFonts w:asciiTheme="minorEastAsia" w:hAnsiTheme="minorEastAsia" w:eastAsiaTheme="minorEastAsia"/>
          <w:color w:val="auto"/>
          <w:sz w:val="21"/>
          <w:szCs w:val="21"/>
          <w:highlight w:val="none"/>
        </w:rPr>
      </w:pPr>
      <w:bookmarkStart w:id="146" w:name="bookmark60"/>
      <w:bookmarkEnd w:id="146"/>
      <w:r>
        <w:rPr>
          <w:rFonts w:hint="eastAsia" w:asciiTheme="minorEastAsia" w:hAnsiTheme="minorEastAsia" w:eastAsiaTheme="minorEastAsia"/>
          <w:b/>
          <w:bCs/>
          <w:color w:val="auto"/>
          <w:sz w:val="21"/>
          <w:szCs w:val="21"/>
          <w:highlight w:val="none"/>
          <w:lang w:val="en-US" w:eastAsia="zh-CN" w:bidi="en-US"/>
        </w:rPr>
        <w:t xml:space="preserve">4.3.1  </w:t>
      </w:r>
      <w:r>
        <w:rPr>
          <w:rFonts w:hint="eastAsia" w:asciiTheme="minorEastAsia" w:hAnsiTheme="minorEastAsia" w:eastAsiaTheme="minorEastAsia"/>
          <w:color w:val="auto"/>
          <w:sz w:val="21"/>
          <w:szCs w:val="21"/>
          <w:highlight w:val="none"/>
        </w:rPr>
        <w:t>在本章第</w:t>
      </w:r>
      <w:r>
        <w:rPr>
          <w:rFonts w:hint="eastAsia" w:asciiTheme="minorEastAsia" w:hAnsiTheme="minorEastAsia" w:eastAsiaTheme="minorEastAsia"/>
          <w:color w:val="auto"/>
          <w:sz w:val="21"/>
          <w:szCs w:val="21"/>
          <w:highlight w:val="none"/>
          <w:lang w:val="en-US" w:eastAsia="zh-CN" w:bidi="en-US"/>
        </w:rPr>
        <w:t>1.10.</w:t>
      </w:r>
      <w:r>
        <w:rPr>
          <w:rFonts w:hint="eastAsia" w:asciiTheme="minorEastAsia" w:hAnsiTheme="minorEastAsia" w:eastAsiaTheme="minorEastAsia"/>
          <w:color w:val="auto"/>
          <w:sz w:val="21"/>
          <w:szCs w:val="21"/>
          <w:highlight w:val="none"/>
        </w:rPr>
        <w:t>3项规定的投标截止时间前，投标人可以修改或撤回已递交的投标文件。</w:t>
      </w:r>
    </w:p>
    <w:p>
      <w:pPr>
        <w:spacing w:line="410" w:lineRule="exact"/>
        <w:ind w:firstLine="422" w:firstLineChars="200"/>
        <w:rPr>
          <w:rFonts w:asciiTheme="minorEastAsia" w:hAnsiTheme="minorEastAsia" w:eastAsiaTheme="minorEastAsia"/>
          <w:color w:val="auto"/>
          <w:highlight w:val="none"/>
        </w:rPr>
      </w:pPr>
      <w:bookmarkStart w:id="147" w:name="bookmark61"/>
      <w:bookmarkEnd w:id="147"/>
      <w:r>
        <w:rPr>
          <w:rFonts w:hint="eastAsia" w:cs="宋体" w:asciiTheme="minorEastAsia" w:hAnsiTheme="minorEastAsia" w:eastAsiaTheme="minorEastAsia"/>
          <w:b/>
          <w:bCs/>
          <w:snapToGrid/>
          <w:color w:val="auto"/>
          <w:highlight w:val="none"/>
          <w:lang w:bidi="zh-TW"/>
        </w:rPr>
        <w:t xml:space="preserve">4.3.2  </w:t>
      </w:r>
      <w:r>
        <w:rPr>
          <w:rFonts w:hint="eastAsia" w:asciiTheme="minorEastAsia" w:hAnsiTheme="minorEastAsia" w:eastAsiaTheme="minorEastAsia"/>
          <w:color w:val="auto"/>
          <w:highlight w:val="none"/>
        </w:rPr>
        <w:t>投标人修改或撤回已递交的投标文件，应以书面形式通知招标人。</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4.3.3  </w:t>
      </w:r>
      <w:r>
        <w:rPr>
          <w:rFonts w:hint="eastAsia" w:asciiTheme="minorEastAsia" w:hAnsiTheme="minorEastAsia" w:eastAsiaTheme="minorEastAsia"/>
          <w:color w:val="auto"/>
          <w:sz w:val="21"/>
          <w:szCs w:val="21"/>
          <w:highlight w:val="none"/>
        </w:rPr>
        <w:t>修改的内容为投标文件的组成部分</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修改的投标文件应按照本章第3节、第4节规定进行编制并递交。</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4.3.4  </w:t>
      </w:r>
      <w:r>
        <w:rPr>
          <w:rFonts w:hint="eastAsia" w:asciiTheme="minorEastAsia" w:hAnsiTheme="minorEastAsia" w:eastAsiaTheme="minorEastAsia"/>
          <w:color w:val="auto"/>
          <w:sz w:val="21"/>
          <w:szCs w:val="21"/>
          <w:highlight w:val="none"/>
        </w:rPr>
        <w:t>投标人撤回投标文件的，招标人自收到投标人书面撤回通知之日起5日内退还已收取的投标保证金及银行活期存款利息。</w:t>
      </w:r>
    </w:p>
    <w:p>
      <w:pPr>
        <w:spacing w:line="410" w:lineRule="exact"/>
        <w:outlineLvl w:val="1"/>
        <w:rPr>
          <w:rFonts w:cs="宋体" w:asciiTheme="minorEastAsia" w:hAnsiTheme="minorEastAsia" w:eastAsiaTheme="minorEastAsia"/>
          <w:b/>
          <w:bCs/>
          <w:color w:val="auto"/>
          <w:sz w:val="28"/>
          <w:szCs w:val="28"/>
          <w:highlight w:val="none"/>
        </w:rPr>
      </w:pPr>
      <w:bookmarkStart w:id="148" w:name="bookmark62"/>
      <w:bookmarkStart w:id="149" w:name="_Toc16710"/>
      <w:bookmarkStart w:id="150" w:name="bookmark63"/>
      <w:bookmarkStart w:id="151" w:name="bookmark64"/>
      <w:r>
        <w:rPr>
          <w:rFonts w:hint="eastAsia" w:cs="宋体" w:asciiTheme="minorEastAsia" w:hAnsiTheme="minorEastAsia" w:eastAsiaTheme="minorEastAsia"/>
          <w:b/>
          <w:bCs/>
          <w:color w:val="auto"/>
          <w:sz w:val="28"/>
          <w:szCs w:val="28"/>
          <w:highlight w:val="none"/>
        </w:rPr>
        <w:t>5  开标</w:t>
      </w:r>
      <w:bookmarkEnd w:id="148"/>
      <w:bookmarkEnd w:id="149"/>
      <w:bookmarkEnd w:id="150"/>
      <w:bookmarkEnd w:id="151"/>
    </w:p>
    <w:p>
      <w:pPr>
        <w:spacing w:line="410" w:lineRule="exact"/>
        <w:outlineLvl w:val="2"/>
        <w:rPr>
          <w:rFonts w:cs="宋体" w:asciiTheme="minorEastAsia" w:hAnsiTheme="minorEastAsia" w:eastAsiaTheme="minorEastAsia"/>
          <w:snapToGrid/>
          <w:color w:val="auto"/>
          <w:highlight w:val="none"/>
          <w:lang w:val="zh-TW" w:eastAsia="zh-TW" w:bidi="zh-TW"/>
        </w:rPr>
      </w:pPr>
      <w:bookmarkStart w:id="152" w:name="_Toc25263"/>
      <w:bookmarkStart w:id="153" w:name="_Toc16842"/>
      <w:bookmarkStart w:id="154" w:name="_Toc7536"/>
      <w:r>
        <w:rPr>
          <w:rFonts w:hint="eastAsia" w:cs="宋体" w:asciiTheme="minorEastAsia" w:hAnsiTheme="minorEastAsia" w:eastAsiaTheme="minorEastAsia"/>
          <w:b/>
          <w:bCs/>
          <w:color w:val="auto"/>
          <w:sz w:val="24"/>
          <w:szCs w:val="24"/>
          <w:highlight w:val="none"/>
        </w:rPr>
        <w:t>5.1  开标时间和地点</w:t>
      </w:r>
      <w:bookmarkEnd w:id="152"/>
      <w:bookmarkEnd w:id="153"/>
      <w:bookmarkEnd w:id="154"/>
    </w:p>
    <w:p>
      <w:pPr>
        <w:pStyle w:val="30"/>
        <w:spacing w:after="0" w:line="410" w:lineRule="exact"/>
        <w:ind w:firstLine="420" w:firstLineChars="200"/>
        <w:rPr>
          <w:rFonts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rPr>
        <w:t>招标人在本章第</w:t>
      </w:r>
      <w:r>
        <w:rPr>
          <w:rFonts w:hint="eastAsia" w:asciiTheme="minorEastAsia" w:hAnsiTheme="minorEastAsia" w:eastAsiaTheme="minorEastAsia"/>
          <w:color w:val="auto"/>
          <w:sz w:val="21"/>
          <w:szCs w:val="21"/>
          <w:highlight w:val="none"/>
          <w:lang w:val="en-US" w:eastAsia="zh-CN"/>
        </w:rPr>
        <w:t>1.10.3</w:t>
      </w:r>
      <w:r>
        <w:rPr>
          <w:rFonts w:hint="eastAsia" w:asciiTheme="minorEastAsia" w:hAnsiTheme="minorEastAsia" w:eastAsiaTheme="minorEastAsia"/>
          <w:color w:val="auto"/>
          <w:sz w:val="21"/>
          <w:szCs w:val="21"/>
          <w:highlight w:val="none"/>
        </w:rPr>
        <w:t>项规定的投标截止时间</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开标时间）</w:t>
      </w:r>
      <w:r>
        <w:rPr>
          <w:rFonts w:hint="eastAsia" w:asciiTheme="minorEastAsia" w:hAnsiTheme="minorEastAsia" w:eastAsiaTheme="minorEastAsia"/>
          <w:color w:val="auto"/>
          <w:sz w:val="21"/>
          <w:szCs w:val="21"/>
          <w:highlight w:val="none"/>
          <w:lang w:val="en-US" w:eastAsia="zh-CN"/>
        </w:rPr>
        <w:t>和</w:t>
      </w:r>
      <w:r>
        <w:rPr>
          <w:rFonts w:hint="eastAsia" w:asciiTheme="minorEastAsia" w:hAnsiTheme="minorEastAsia" w:eastAsiaTheme="minorEastAsia"/>
          <w:color w:val="auto"/>
          <w:sz w:val="21"/>
          <w:szCs w:val="21"/>
          <w:highlight w:val="none"/>
        </w:rPr>
        <w:t>“投标人须知前附表”规定的地点</w:t>
      </w:r>
      <w:r>
        <w:rPr>
          <w:rFonts w:hint="eastAsia" w:asciiTheme="minorEastAsia" w:hAnsiTheme="minorEastAsia" w:eastAsiaTheme="minorEastAsia"/>
          <w:color w:val="auto"/>
          <w:sz w:val="21"/>
          <w:szCs w:val="21"/>
          <w:highlight w:val="none"/>
          <w:lang w:val="en-US" w:eastAsia="zh-CN"/>
        </w:rPr>
        <w:t>进行开标。</w:t>
      </w:r>
    </w:p>
    <w:p>
      <w:pPr>
        <w:spacing w:line="410" w:lineRule="exact"/>
        <w:outlineLvl w:val="2"/>
        <w:rPr>
          <w:rFonts w:cs="宋体" w:asciiTheme="minorEastAsia" w:hAnsiTheme="minorEastAsia" w:eastAsiaTheme="minorEastAsia"/>
          <w:b/>
          <w:bCs/>
          <w:color w:val="auto"/>
          <w:sz w:val="24"/>
          <w:szCs w:val="24"/>
          <w:highlight w:val="none"/>
        </w:rPr>
      </w:pPr>
      <w:bookmarkStart w:id="155" w:name="_Toc1317"/>
      <w:bookmarkStart w:id="156" w:name="_Toc14932"/>
      <w:bookmarkStart w:id="157" w:name="_Toc29576"/>
      <w:r>
        <w:rPr>
          <w:rFonts w:hint="eastAsia" w:cs="宋体" w:asciiTheme="minorEastAsia" w:hAnsiTheme="minorEastAsia" w:eastAsiaTheme="minorEastAsia"/>
          <w:b/>
          <w:bCs/>
          <w:color w:val="auto"/>
          <w:sz w:val="24"/>
          <w:szCs w:val="24"/>
          <w:highlight w:val="none"/>
        </w:rPr>
        <w:t>5.2  开标程序</w:t>
      </w:r>
      <w:bookmarkEnd w:id="155"/>
      <w:bookmarkEnd w:id="156"/>
      <w:bookmarkEnd w:id="157"/>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开标程序见投标人须知前附表。</w:t>
      </w:r>
    </w:p>
    <w:p>
      <w:pPr>
        <w:spacing w:line="410" w:lineRule="exact"/>
        <w:outlineLvl w:val="2"/>
        <w:rPr>
          <w:rFonts w:cs="宋体" w:asciiTheme="minorEastAsia" w:hAnsiTheme="minorEastAsia" w:eastAsiaTheme="minorEastAsia"/>
          <w:b/>
          <w:bCs/>
          <w:color w:val="auto"/>
          <w:sz w:val="24"/>
          <w:szCs w:val="24"/>
          <w:highlight w:val="none"/>
        </w:rPr>
      </w:pPr>
      <w:bookmarkStart w:id="158" w:name="_Toc27069"/>
      <w:bookmarkStart w:id="159" w:name="_Toc19383"/>
      <w:bookmarkStart w:id="160" w:name="_Toc4939"/>
      <w:r>
        <w:rPr>
          <w:rFonts w:hint="eastAsia" w:cs="宋体" w:asciiTheme="minorEastAsia" w:hAnsiTheme="minorEastAsia" w:eastAsiaTheme="minorEastAsia"/>
          <w:b/>
          <w:bCs/>
          <w:color w:val="auto"/>
          <w:sz w:val="24"/>
          <w:szCs w:val="24"/>
          <w:highlight w:val="none"/>
        </w:rPr>
        <w:t>5.3  特殊情况处置</w:t>
      </w:r>
      <w:bookmarkEnd w:id="158"/>
      <w:bookmarkEnd w:id="159"/>
      <w:bookmarkEnd w:id="160"/>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特殊情况处置见投标人须知前附表。</w:t>
      </w:r>
    </w:p>
    <w:p>
      <w:pPr>
        <w:spacing w:line="410" w:lineRule="exact"/>
        <w:outlineLvl w:val="2"/>
        <w:rPr>
          <w:rFonts w:cs="宋体" w:asciiTheme="minorEastAsia" w:hAnsiTheme="minorEastAsia" w:eastAsiaTheme="minorEastAsia"/>
          <w:b/>
          <w:bCs/>
          <w:color w:val="auto"/>
          <w:sz w:val="24"/>
          <w:szCs w:val="24"/>
          <w:highlight w:val="none"/>
        </w:rPr>
      </w:pPr>
      <w:bookmarkStart w:id="161" w:name="_Toc15721"/>
      <w:bookmarkStart w:id="162" w:name="_Toc27892"/>
      <w:bookmarkStart w:id="163" w:name="_Toc9511"/>
      <w:r>
        <w:rPr>
          <w:rFonts w:hint="eastAsia" w:cs="宋体" w:asciiTheme="minorEastAsia" w:hAnsiTheme="minorEastAsia" w:eastAsiaTheme="minorEastAsia"/>
          <w:b/>
          <w:bCs/>
          <w:color w:val="auto"/>
          <w:sz w:val="24"/>
          <w:szCs w:val="24"/>
          <w:highlight w:val="none"/>
        </w:rPr>
        <w:t>5.4  开标异议</w:t>
      </w:r>
      <w:bookmarkEnd w:id="161"/>
      <w:bookmarkEnd w:id="162"/>
      <w:bookmarkEnd w:id="163"/>
    </w:p>
    <w:p>
      <w:pPr>
        <w:spacing w:line="410" w:lineRule="exact"/>
        <w:ind w:firstLine="481"/>
        <w:jc w:val="both"/>
        <w:rPr>
          <w:rFonts w:cs="宋体" w:asciiTheme="minorEastAsia" w:hAnsiTheme="minorEastAsia" w:eastAsiaTheme="minorEastAsia"/>
          <w:color w:val="auto"/>
          <w:highlight w:val="none"/>
        </w:rPr>
      </w:pPr>
      <w:bookmarkStart w:id="164" w:name="bookmark65"/>
      <w:bookmarkStart w:id="165" w:name="_Toc11337"/>
      <w:bookmarkStart w:id="166" w:name="bookmark67"/>
      <w:bookmarkStart w:id="167" w:name="bookmark66"/>
      <w:r>
        <w:rPr>
          <w:rFonts w:hint="eastAsia" w:cs="宋体" w:asciiTheme="minorEastAsia" w:hAnsiTheme="minorEastAsia" w:eastAsiaTheme="minorEastAsia"/>
          <w:color w:val="auto"/>
          <w:spacing w:val="-18"/>
          <w:highlight w:val="none"/>
        </w:rPr>
        <w:t>投标人对开标有异议的，应在开标现场提出，招标人当场作出答复，并制作记录，</w:t>
      </w:r>
      <w:r>
        <w:rPr>
          <w:rFonts w:hint="eastAsia" w:cs="宋体" w:asciiTheme="minorEastAsia" w:hAnsiTheme="minorEastAsia" w:eastAsiaTheme="minorEastAsia"/>
          <w:color w:val="auto"/>
          <w:spacing w:val="-1"/>
          <w:highlight w:val="none"/>
        </w:rPr>
        <w:t>有异议的投标人代表、招标人代表、记录人等有关人员在记录上签字确认。</w:t>
      </w:r>
    </w:p>
    <w:p>
      <w:pPr>
        <w:spacing w:line="410" w:lineRule="exact"/>
        <w:outlineLvl w:val="1"/>
        <w:rPr>
          <w:rFonts w:cs="宋体" w:asciiTheme="minorEastAsia" w:hAnsiTheme="minorEastAsia" w:eastAsiaTheme="minorEastAsia"/>
          <w:b/>
          <w:bCs/>
          <w:color w:val="auto"/>
          <w:sz w:val="28"/>
          <w:szCs w:val="28"/>
          <w:highlight w:val="none"/>
        </w:rPr>
      </w:pPr>
      <w:r>
        <w:rPr>
          <w:rFonts w:hint="eastAsia" w:cs="宋体" w:asciiTheme="minorEastAsia" w:hAnsiTheme="minorEastAsia" w:eastAsiaTheme="minorEastAsia"/>
          <w:b/>
          <w:bCs/>
          <w:color w:val="auto"/>
          <w:sz w:val="28"/>
          <w:szCs w:val="28"/>
          <w:highlight w:val="none"/>
        </w:rPr>
        <w:t>6  评标</w:t>
      </w:r>
      <w:bookmarkEnd w:id="164"/>
      <w:bookmarkEnd w:id="165"/>
      <w:bookmarkEnd w:id="166"/>
      <w:bookmarkEnd w:id="167"/>
    </w:p>
    <w:p>
      <w:pPr>
        <w:spacing w:line="410" w:lineRule="exact"/>
        <w:outlineLvl w:val="2"/>
        <w:rPr>
          <w:rFonts w:cs="宋体" w:asciiTheme="minorEastAsia" w:hAnsiTheme="minorEastAsia" w:eastAsiaTheme="minorEastAsia"/>
          <w:b/>
          <w:bCs/>
          <w:color w:val="auto"/>
          <w:sz w:val="24"/>
          <w:szCs w:val="24"/>
          <w:highlight w:val="none"/>
        </w:rPr>
      </w:pPr>
      <w:bookmarkStart w:id="168" w:name="_Toc7769"/>
      <w:bookmarkStart w:id="169" w:name="_Toc11012"/>
      <w:bookmarkStart w:id="170" w:name="_Toc28737"/>
      <w:r>
        <w:rPr>
          <w:rFonts w:hint="eastAsia" w:cs="宋体" w:asciiTheme="minorEastAsia" w:hAnsiTheme="minorEastAsia" w:eastAsiaTheme="minorEastAsia"/>
          <w:b/>
          <w:bCs/>
          <w:color w:val="auto"/>
          <w:sz w:val="24"/>
          <w:szCs w:val="24"/>
          <w:highlight w:val="none"/>
        </w:rPr>
        <w:t>6.1  评标委员会</w:t>
      </w:r>
      <w:bookmarkEnd w:id="168"/>
      <w:bookmarkEnd w:id="169"/>
      <w:bookmarkEnd w:id="170"/>
    </w:p>
    <w:p>
      <w:pPr>
        <w:pStyle w:val="30"/>
        <w:tabs>
          <w:tab w:val="left" w:pos="1124"/>
        </w:tabs>
        <w:spacing w:after="0" w:line="410" w:lineRule="exact"/>
        <w:ind w:firstLine="422" w:firstLineChars="200"/>
        <w:rPr>
          <w:rFonts w:asciiTheme="minorEastAsia" w:hAnsiTheme="minorEastAsia" w:eastAsiaTheme="minorEastAsia"/>
          <w:color w:val="auto"/>
          <w:sz w:val="21"/>
          <w:szCs w:val="21"/>
          <w:highlight w:val="none"/>
        </w:rPr>
      </w:pPr>
      <w:bookmarkStart w:id="171" w:name="bookmark68"/>
      <w:bookmarkEnd w:id="171"/>
      <w:r>
        <w:rPr>
          <w:rFonts w:hint="eastAsia" w:asciiTheme="minorEastAsia" w:hAnsiTheme="minorEastAsia" w:eastAsiaTheme="minorEastAsia"/>
          <w:b/>
          <w:bCs/>
          <w:color w:val="auto"/>
          <w:sz w:val="21"/>
          <w:szCs w:val="21"/>
          <w:highlight w:val="none"/>
          <w:lang w:val="en-US" w:eastAsia="zh-CN" w:bidi="en-US"/>
        </w:rPr>
        <w:t xml:space="preserve">6.1.1  </w:t>
      </w:r>
      <w:r>
        <w:rPr>
          <w:rFonts w:hint="eastAsia" w:asciiTheme="minorEastAsia" w:hAnsiTheme="minorEastAsia" w:eastAsiaTheme="minorEastAsia"/>
          <w:color w:val="auto"/>
          <w:sz w:val="21"/>
          <w:szCs w:val="21"/>
          <w:highlight w:val="none"/>
        </w:rPr>
        <w:t>评标由招标人依法组建的评标委员会负责。评标委员会由招标人或其委托的招标代理机构熟悉相关业务的代表，以及有关技术、经济等方面的专家组成</w:t>
      </w:r>
      <w:r>
        <w:rPr>
          <w:rFonts w:hint="eastAsia" w:asciiTheme="minorEastAsia" w:hAnsiTheme="minorEastAsia" w:eastAsiaTheme="minorEastAsia"/>
          <w:color w:val="auto"/>
          <w:sz w:val="21"/>
          <w:szCs w:val="21"/>
          <w:highlight w:val="none"/>
          <w:lang w:val="en-US" w:eastAsia="zh-CN"/>
        </w:rPr>
        <w:t>。</w:t>
      </w:r>
      <w:r>
        <w:rPr>
          <w:rFonts w:hint="eastAsia" w:asciiTheme="minorEastAsia" w:hAnsiTheme="minorEastAsia" w:eastAsiaTheme="minorEastAsia"/>
          <w:color w:val="auto"/>
          <w:sz w:val="21"/>
          <w:szCs w:val="21"/>
          <w:highlight w:val="none"/>
        </w:rPr>
        <w:t>评标委员会成员人数以及技术、经济等方面专家的确定方式见投标人须知前附表。</w:t>
      </w:r>
    </w:p>
    <w:p>
      <w:pPr>
        <w:pStyle w:val="30"/>
        <w:tabs>
          <w:tab w:val="left" w:pos="1148"/>
        </w:tabs>
        <w:spacing w:after="0" w:line="410" w:lineRule="exact"/>
        <w:ind w:firstLine="422" w:firstLineChars="200"/>
        <w:rPr>
          <w:rFonts w:asciiTheme="minorEastAsia" w:hAnsiTheme="minorEastAsia" w:eastAsiaTheme="minorEastAsia"/>
          <w:color w:val="auto"/>
          <w:sz w:val="21"/>
          <w:szCs w:val="21"/>
          <w:highlight w:val="none"/>
        </w:rPr>
      </w:pPr>
      <w:bookmarkStart w:id="172" w:name="bookmark69"/>
      <w:bookmarkEnd w:id="172"/>
      <w:r>
        <w:rPr>
          <w:rFonts w:hint="eastAsia" w:asciiTheme="minorEastAsia" w:hAnsiTheme="minorEastAsia" w:eastAsiaTheme="minorEastAsia"/>
          <w:b/>
          <w:bCs/>
          <w:color w:val="auto"/>
          <w:sz w:val="21"/>
          <w:szCs w:val="21"/>
          <w:highlight w:val="none"/>
          <w:lang w:val="en-US" w:eastAsia="zh-CN" w:bidi="en-US"/>
        </w:rPr>
        <w:t xml:space="preserve">6.1.2  </w:t>
      </w:r>
      <w:r>
        <w:rPr>
          <w:rFonts w:hint="eastAsia" w:asciiTheme="minorEastAsia" w:hAnsiTheme="minorEastAsia" w:eastAsiaTheme="minorEastAsia"/>
          <w:color w:val="auto"/>
          <w:sz w:val="21"/>
          <w:szCs w:val="21"/>
          <w:highlight w:val="none"/>
        </w:rPr>
        <w:t>评标委员会成员有下列情形之一的，应当回避：</w:t>
      </w:r>
    </w:p>
    <w:p>
      <w:pPr>
        <w:pStyle w:val="30"/>
        <w:tabs>
          <w:tab w:val="left" w:pos="1352"/>
        </w:tabs>
        <w:spacing w:after="0" w:line="410" w:lineRule="exact"/>
        <w:ind w:firstLine="420" w:firstLineChars="200"/>
        <w:rPr>
          <w:rFonts w:asciiTheme="minorEastAsia" w:hAnsiTheme="minorEastAsia" w:eastAsiaTheme="minorEastAsia"/>
          <w:color w:val="auto"/>
          <w:sz w:val="21"/>
          <w:szCs w:val="21"/>
          <w:highlight w:val="none"/>
        </w:rPr>
      </w:pPr>
      <w:bookmarkStart w:id="173" w:name="bookmark70"/>
      <w:bookmarkEnd w:id="173"/>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1</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投标人或投标人的主要负责人的近亲属。</w:t>
      </w:r>
    </w:p>
    <w:p>
      <w:pPr>
        <w:pStyle w:val="30"/>
        <w:tabs>
          <w:tab w:val="left" w:pos="1352"/>
        </w:tabs>
        <w:spacing w:after="0" w:line="410" w:lineRule="exact"/>
        <w:ind w:firstLine="420" w:firstLineChars="200"/>
        <w:rPr>
          <w:rFonts w:asciiTheme="minorEastAsia" w:hAnsiTheme="minorEastAsia" w:eastAsiaTheme="minorEastAsia"/>
          <w:color w:val="auto"/>
          <w:sz w:val="21"/>
          <w:szCs w:val="21"/>
          <w:highlight w:val="none"/>
        </w:rPr>
      </w:pPr>
      <w:bookmarkStart w:id="174" w:name="bookmark71"/>
      <w:bookmarkEnd w:id="174"/>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2</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项目主管部门或者行政监督部门的</w:t>
      </w:r>
      <w:r>
        <w:rPr>
          <w:rFonts w:hint="eastAsia" w:asciiTheme="minorEastAsia" w:hAnsiTheme="minorEastAsia" w:eastAsiaTheme="minorEastAsia"/>
          <w:color w:val="auto"/>
          <w:sz w:val="21"/>
          <w:szCs w:val="21"/>
          <w:highlight w:val="none"/>
          <w:lang w:val="zh-CN" w:eastAsia="zh-CN" w:bidi="zh-CN"/>
        </w:rPr>
        <w:t>人员。</w:t>
      </w:r>
    </w:p>
    <w:p>
      <w:pPr>
        <w:pStyle w:val="30"/>
        <w:tabs>
          <w:tab w:val="left" w:pos="1364"/>
        </w:tabs>
        <w:spacing w:after="0" w:line="410" w:lineRule="exact"/>
        <w:ind w:firstLine="420" w:firstLineChars="200"/>
        <w:rPr>
          <w:rFonts w:asciiTheme="minorEastAsia" w:hAnsiTheme="minorEastAsia" w:eastAsiaTheme="minorEastAsia"/>
          <w:color w:val="auto"/>
          <w:sz w:val="21"/>
          <w:szCs w:val="21"/>
          <w:highlight w:val="none"/>
        </w:rPr>
      </w:pPr>
      <w:bookmarkStart w:id="175" w:name="bookmark72"/>
      <w:bookmarkEnd w:id="175"/>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3</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与投标人有经济利益关系，可能影响投标公正评审的。</w:t>
      </w:r>
    </w:p>
    <w:p>
      <w:pPr>
        <w:pStyle w:val="30"/>
        <w:tabs>
          <w:tab w:val="left" w:pos="1364"/>
        </w:tabs>
        <w:spacing w:after="0" w:line="410" w:lineRule="exact"/>
        <w:ind w:firstLine="420" w:firstLineChars="200"/>
        <w:rPr>
          <w:rFonts w:asciiTheme="minorEastAsia" w:hAnsiTheme="minorEastAsia" w:eastAsiaTheme="minorEastAsia"/>
          <w:color w:val="auto"/>
          <w:sz w:val="21"/>
          <w:szCs w:val="21"/>
          <w:highlight w:val="none"/>
        </w:rPr>
      </w:pPr>
      <w:bookmarkStart w:id="176" w:name="bookmark73"/>
      <w:bookmarkEnd w:id="176"/>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4</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曾因在招标、评标以及其他与招标投标有关活动中从事违法行为而受过行政处罚或刑事处罚的。</w:t>
      </w:r>
    </w:p>
    <w:p>
      <w:pPr>
        <w:pStyle w:val="30"/>
        <w:tabs>
          <w:tab w:val="left" w:pos="1345"/>
        </w:tabs>
        <w:spacing w:after="0" w:line="410" w:lineRule="exact"/>
        <w:ind w:firstLine="420" w:firstLineChars="200"/>
        <w:rPr>
          <w:rFonts w:asciiTheme="minorEastAsia" w:hAnsiTheme="minorEastAsia" w:eastAsiaTheme="minorEastAsia"/>
          <w:color w:val="auto"/>
          <w:sz w:val="21"/>
          <w:szCs w:val="21"/>
          <w:highlight w:val="none"/>
        </w:rPr>
      </w:pPr>
      <w:bookmarkStart w:id="177" w:name="bookmark74"/>
      <w:bookmarkEnd w:id="177"/>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5</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法律、法规、规章规定应当回避的其他情形。</w:t>
      </w:r>
    </w:p>
    <w:p>
      <w:pPr>
        <w:spacing w:line="410" w:lineRule="exact"/>
        <w:outlineLvl w:val="2"/>
        <w:rPr>
          <w:rFonts w:cs="宋体" w:asciiTheme="minorEastAsia" w:hAnsiTheme="minorEastAsia" w:eastAsiaTheme="minorEastAsia"/>
          <w:b/>
          <w:bCs/>
          <w:color w:val="auto"/>
          <w:sz w:val="24"/>
          <w:szCs w:val="24"/>
          <w:highlight w:val="none"/>
        </w:rPr>
      </w:pPr>
      <w:bookmarkStart w:id="178" w:name="_Toc7474"/>
      <w:bookmarkStart w:id="179" w:name="_Toc28"/>
      <w:bookmarkStart w:id="180" w:name="_Toc11652"/>
      <w:r>
        <w:rPr>
          <w:rFonts w:hint="eastAsia" w:cs="宋体" w:asciiTheme="minorEastAsia" w:hAnsiTheme="minorEastAsia" w:eastAsiaTheme="minorEastAsia"/>
          <w:b/>
          <w:bCs/>
          <w:color w:val="auto"/>
          <w:sz w:val="24"/>
          <w:szCs w:val="24"/>
          <w:highlight w:val="none"/>
        </w:rPr>
        <w:t>6.2  评标原则</w:t>
      </w:r>
      <w:bookmarkEnd w:id="178"/>
      <w:bookmarkEnd w:id="179"/>
      <w:bookmarkEnd w:id="180"/>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评标活动遵循公平、公正、科学和择优的原则。</w:t>
      </w:r>
    </w:p>
    <w:p>
      <w:pPr>
        <w:spacing w:line="410" w:lineRule="exact"/>
        <w:outlineLvl w:val="2"/>
        <w:rPr>
          <w:rFonts w:cs="宋体" w:asciiTheme="minorEastAsia" w:hAnsiTheme="minorEastAsia" w:eastAsiaTheme="minorEastAsia"/>
          <w:b/>
          <w:bCs/>
          <w:color w:val="auto"/>
          <w:sz w:val="24"/>
          <w:szCs w:val="24"/>
          <w:highlight w:val="none"/>
        </w:rPr>
      </w:pPr>
      <w:bookmarkStart w:id="181" w:name="_Toc12122"/>
      <w:bookmarkStart w:id="182" w:name="_Toc23807"/>
      <w:bookmarkStart w:id="183" w:name="_Toc13039"/>
      <w:r>
        <w:rPr>
          <w:rFonts w:hint="eastAsia" w:cs="宋体" w:asciiTheme="minorEastAsia" w:hAnsiTheme="minorEastAsia" w:eastAsiaTheme="minorEastAsia"/>
          <w:b/>
          <w:bCs/>
          <w:color w:val="auto"/>
          <w:sz w:val="24"/>
          <w:szCs w:val="24"/>
          <w:highlight w:val="none"/>
        </w:rPr>
        <w:t>6.3  评标办法与中标候选人推荐</w:t>
      </w:r>
      <w:bookmarkEnd w:id="181"/>
      <w:bookmarkEnd w:id="182"/>
      <w:bookmarkEnd w:id="183"/>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评标委员会按照第三章</w:t>
      </w:r>
      <w:r>
        <w:rPr>
          <w:rFonts w:hint="eastAsia" w:asciiTheme="minorEastAsia" w:hAnsiTheme="minorEastAsia" w:eastAsiaTheme="minorEastAsia"/>
          <w:color w:val="auto"/>
          <w:sz w:val="21"/>
          <w:szCs w:val="21"/>
          <w:highlight w:val="none"/>
          <w:lang w:val="zh-CN" w:eastAsia="zh-CN" w:bidi="zh-CN"/>
        </w:rPr>
        <w:t>“评标</w:t>
      </w:r>
      <w:r>
        <w:rPr>
          <w:rFonts w:hint="eastAsia" w:asciiTheme="minorEastAsia" w:hAnsiTheme="minorEastAsia" w:eastAsiaTheme="minorEastAsia"/>
          <w:color w:val="auto"/>
          <w:sz w:val="21"/>
          <w:szCs w:val="21"/>
          <w:highlight w:val="none"/>
        </w:rPr>
        <w:t>办法”规定的方法、评审因素、标准和程序对投标文件进行评审并推荐中标候选人，中标候选人数量详见投标人须知前附表。第三章</w:t>
      </w:r>
      <w:r>
        <w:rPr>
          <w:rFonts w:hint="eastAsia" w:asciiTheme="minorEastAsia" w:hAnsiTheme="minorEastAsia" w:eastAsiaTheme="minorEastAsia"/>
          <w:color w:val="auto"/>
          <w:sz w:val="21"/>
          <w:szCs w:val="21"/>
          <w:highlight w:val="none"/>
          <w:lang w:val="zh-CN" w:eastAsia="zh-CN" w:bidi="zh-CN"/>
        </w:rPr>
        <w:t>“评标</w:t>
      </w:r>
      <w:r>
        <w:rPr>
          <w:rFonts w:hint="eastAsia" w:asciiTheme="minorEastAsia" w:hAnsiTheme="minorEastAsia" w:eastAsiaTheme="minorEastAsia"/>
          <w:color w:val="auto"/>
          <w:sz w:val="21"/>
          <w:szCs w:val="21"/>
          <w:highlight w:val="none"/>
        </w:rPr>
        <w:t>办法"没有规定的方法、评审因素和标准，不作为评标依据。</w:t>
      </w:r>
    </w:p>
    <w:p>
      <w:pPr>
        <w:spacing w:line="410" w:lineRule="exact"/>
        <w:outlineLvl w:val="2"/>
        <w:rPr>
          <w:rFonts w:cs="宋体" w:asciiTheme="minorEastAsia" w:hAnsiTheme="minorEastAsia" w:eastAsiaTheme="minorEastAsia"/>
          <w:b/>
          <w:bCs/>
          <w:color w:val="auto"/>
          <w:sz w:val="24"/>
          <w:szCs w:val="24"/>
          <w:highlight w:val="none"/>
        </w:rPr>
      </w:pPr>
      <w:bookmarkStart w:id="184" w:name="_Toc20369"/>
      <w:bookmarkStart w:id="185" w:name="_Toc31683"/>
      <w:bookmarkStart w:id="186" w:name="_Toc30247"/>
      <w:r>
        <w:rPr>
          <w:rFonts w:hint="eastAsia" w:cs="宋体" w:asciiTheme="minorEastAsia" w:hAnsiTheme="minorEastAsia" w:eastAsiaTheme="minorEastAsia"/>
          <w:b/>
          <w:bCs/>
          <w:color w:val="auto"/>
          <w:sz w:val="24"/>
          <w:szCs w:val="24"/>
          <w:highlight w:val="none"/>
        </w:rPr>
        <w:t>6.4  中标候选人公示及媒介</w:t>
      </w:r>
      <w:bookmarkEnd w:id="184"/>
      <w:bookmarkEnd w:id="185"/>
      <w:bookmarkEnd w:id="186"/>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招标人自确定中标候选人之日起3日内，应在原发布招标公告或资格预审公告的媒介上发布中标公示，公示期为3日，公示媒介见投标人须知前附表。</w:t>
      </w:r>
    </w:p>
    <w:p>
      <w:pPr>
        <w:spacing w:line="410" w:lineRule="exact"/>
        <w:outlineLvl w:val="1"/>
        <w:rPr>
          <w:rFonts w:cs="宋体" w:asciiTheme="minorEastAsia" w:hAnsiTheme="minorEastAsia" w:eastAsiaTheme="minorEastAsia"/>
          <w:b/>
          <w:bCs/>
          <w:color w:val="auto"/>
          <w:sz w:val="28"/>
          <w:szCs w:val="28"/>
          <w:highlight w:val="none"/>
        </w:rPr>
      </w:pPr>
      <w:bookmarkStart w:id="187" w:name="_Toc23475"/>
      <w:bookmarkStart w:id="188" w:name="bookmark75"/>
      <w:bookmarkStart w:id="189" w:name="bookmark76"/>
      <w:bookmarkStart w:id="190" w:name="bookmark77"/>
      <w:r>
        <w:rPr>
          <w:rFonts w:hint="eastAsia" w:cs="宋体" w:asciiTheme="minorEastAsia" w:hAnsiTheme="minorEastAsia" w:eastAsiaTheme="minorEastAsia"/>
          <w:b/>
          <w:bCs/>
          <w:color w:val="auto"/>
          <w:sz w:val="28"/>
          <w:szCs w:val="28"/>
          <w:highlight w:val="none"/>
        </w:rPr>
        <w:t>7  合同授予</w:t>
      </w:r>
      <w:bookmarkEnd w:id="187"/>
      <w:bookmarkEnd w:id="188"/>
      <w:bookmarkEnd w:id="189"/>
      <w:bookmarkEnd w:id="190"/>
    </w:p>
    <w:p>
      <w:pPr>
        <w:spacing w:line="410" w:lineRule="exact"/>
        <w:outlineLvl w:val="2"/>
        <w:rPr>
          <w:rFonts w:cs="宋体" w:asciiTheme="minorEastAsia" w:hAnsiTheme="minorEastAsia" w:eastAsiaTheme="minorEastAsia"/>
          <w:b/>
          <w:bCs/>
          <w:color w:val="auto"/>
          <w:sz w:val="24"/>
          <w:szCs w:val="24"/>
          <w:highlight w:val="none"/>
        </w:rPr>
      </w:pPr>
      <w:bookmarkStart w:id="191" w:name="_Toc10228"/>
      <w:bookmarkStart w:id="192" w:name="_Toc20847"/>
      <w:bookmarkStart w:id="193" w:name="_Toc27258"/>
      <w:r>
        <w:rPr>
          <w:rFonts w:hint="eastAsia" w:cs="宋体" w:asciiTheme="minorEastAsia" w:hAnsiTheme="minorEastAsia" w:eastAsiaTheme="minorEastAsia"/>
          <w:b/>
          <w:bCs/>
          <w:color w:val="auto"/>
          <w:sz w:val="24"/>
          <w:szCs w:val="24"/>
          <w:highlight w:val="none"/>
        </w:rPr>
        <w:t>7.1  定标方式</w:t>
      </w:r>
      <w:bookmarkEnd w:id="191"/>
      <w:bookmarkEnd w:id="192"/>
      <w:bookmarkEnd w:id="193"/>
    </w:p>
    <w:p>
      <w:pPr>
        <w:pStyle w:val="30"/>
        <w:tabs>
          <w:tab w:val="left" w:pos="1136"/>
        </w:tabs>
        <w:spacing w:after="0" w:line="410" w:lineRule="exact"/>
        <w:ind w:firstLine="422" w:firstLineChars="200"/>
        <w:rPr>
          <w:rFonts w:asciiTheme="minorEastAsia" w:hAnsiTheme="minorEastAsia" w:eastAsiaTheme="minorEastAsia"/>
          <w:color w:val="auto"/>
          <w:sz w:val="21"/>
          <w:szCs w:val="21"/>
          <w:highlight w:val="none"/>
        </w:rPr>
      </w:pPr>
      <w:bookmarkStart w:id="194" w:name="bookmark78"/>
      <w:bookmarkEnd w:id="194"/>
      <w:r>
        <w:rPr>
          <w:rFonts w:hint="eastAsia" w:asciiTheme="minorEastAsia" w:hAnsiTheme="minorEastAsia" w:eastAsiaTheme="minorEastAsia"/>
          <w:b/>
          <w:bCs/>
          <w:color w:val="auto"/>
          <w:sz w:val="21"/>
          <w:szCs w:val="21"/>
          <w:highlight w:val="none"/>
          <w:lang w:val="en-US" w:eastAsia="zh-CN" w:bidi="en-US"/>
        </w:rPr>
        <w:t xml:space="preserve">7.1.1  </w:t>
      </w:r>
      <w:r>
        <w:rPr>
          <w:rFonts w:hint="eastAsia" w:asciiTheme="minorEastAsia" w:hAnsiTheme="minorEastAsia" w:eastAsiaTheme="minorEastAsia"/>
          <w:color w:val="auto"/>
          <w:sz w:val="21"/>
          <w:szCs w:val="21"/>
          <w:highlight w:val="none"/>
        </w:rPr>
        <w:t>除投标人须知前附表规定评标委员会直接确定中标人外，招标人依据评标委员会推荐的中标候选人确定中标人。定标前，招标人可对中标候选人的证书、业绩、诚信等进行</w:t>
      </w:r>
      <w:r>
        <w:rPr>
          <w:rFonts w:hint="eastAsia" w:asciiTheme="minorEastAsia" w:hAnsiTheme="minorEastAsia" w:eastAsiaTheme="minorEastAsia"/>
          <w:color w:val="auto"/>
          <w:sz w:val="21"/>
          <w:szCs w:val="21"/>
          <w:highlight w:val="none"/>
          <w:lang w:eastAsia="zh-CN"/>
        </w:rPr>
        <w:t>核查</w:t>
      </w:r>
      <w:r>
        <w:rPr>
          <w:rFonts w:hint="eastAsia" w:asciiTheme="minorEastAsia" w:hAnsiTheme="minorEastAsia" w:eastAsiaTheme="minorEastAsia"/>
          <w:color w:val="auto"/>
          <w:sz w:val="21"/>
          <w:szCs w:val="21"/>
          <w:highlight w:val="none"/>
        </w:rPr>
        <w:t>。</w:t>
      </w:r>
    </w:p>
    <w:p>
      <w:pPr>
        <w:pStyle w:val="30"/>
        <w:tabs>
          <w:tab w:val="left" w:pos="1124"/>
        </w:tabs>
        <w:spacing w:after="0" w:line="410" w:lineRule="exact"/>
        <w:ind w:firstLine="422" w:firstLineChars="200"/>
        <w:rPr>
          <w:rFonts w:asciiTheme="minorEastAsia" w:hAnsiTheme="minorEastAsia" w:eastAsiaTheme="minorEastAsia"/>
          <w:color w:val="auto"/>
          <w:sz w:val="21"/>
          <w:szCs w:val="21"/>
          <w:highlight w:val="none"/>
        </w:rPr>
      </w:pPr>
      <w:bookmarkStart w:id="195" w:name="bookmark79"/>
      <w:bookmarkEnd w:id="195"/>
      <w:r>
        <w:rPr>
          <w:rFonts w:hint="eastAsia" w:asciiTheme="minorEastAsia" w:hAnsiTheme="minorEastAsia" w:eastAsiaTheme="minorEastAsia"/>
          <w:b/>
          <w:bCs/>
          <w:color w:val="auto"/>
          <w:sz w:val="21"/>
          <w:szCs w:val="21"/>
          <w:highlight w:val="none"/>
          <w:lang w:val="en-US" w:eastAsia="zh-CN" w:bidi="en-US"/>
        </w:rPr>
        <w:t xml:space="preserve">7.1.2  </w:t>
      </w:r>
      <w:r>
        <w:rPr>
          <w:rFonts w:hint="eastAsia" w:asciiTheme="minorEastAsia" w:hAnsiTheme="minorEastAsia" w:eastAsiaTheme="minorEastAsia"/>
          <w:color w:val="auto"/>
          <w:sz w:val="21"/>
          <w:szCs w:val="21"/>
          <w:highlight w:val="none"/>
        </w:rPr>
        <w:t>依法必须招标的项目，中标候选人放弃中标、因不可抗力提出不能履行合同，或者招标文件规定应当提交履约担保而在规定的期限内未能提交，或者被查实存在影响中标结果的违法行为等情形，不符合中标条件的，取消其中标资格。</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7.1.3  </w:t>
      </w:r>
      <w:r>
        <w:rPr>
          <w:rFonts w:hint="eastAsia" w:asciiTheme="minorEastAsia" w:hAnsiTheme="minorEastAsia" w:eastAsiaTheme="minorEastAsia"/>
          <w:color w:val="auto"/>
          <w:sz w:val="21"/>
          <w:szCs w:val="21"/>
          <w:highlight w:val="none"/>
        </w:rPr>
        <w:t>招标人在定标前，应通过中国裁判文书网查询中标候选人及其法定代表人和拟派项目负责人有无行贿犯罪记录，若发现有未如实填报或隐瞒不报情况的，一律取消其中标资格并上报行政主管部门，由行政主管部门列为不良行为记录。</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bidi="en-US"/>
        </w:rPr>
        <w:t xml:space="preserve">7.1.4  </w:t>
      </w:r>
      <w:r>
        <w:rPr>
          <w:rFonts w:hint="eastAsia" w:asciiTheme="minorEastAsia" w:hAnsiTheme="minorEastAsia" w:eastAsiaTheme="minorEastAsia"/>
          <w:color w:val="auto"/>
          <w:sz w:val="21"/>
          <w:szCs w:val="21"/>
          <w:highlight w:val="none"/>
        </w:rPr>
        <w:t>招标人在定标前，应查询中标候选人及其法定代表人和拟派项目负责人的失信被执行人名单［以</w:t>
      </w:r>
      <w:r>
        <w:rPr>
          <w:rFonts w:hint="eastAsia" w:asciiTheme="minorEastAsia" w:hAnsiTheme="minorEastAsia" w:eastAsiaTheme="minorEastAsia"/>
          <w:color w:val="auto"/>
          <w:sz w:val="21"/>
          <w:szCs w:val="21"/>
          <w:highlight w:val="none"/>
          <w:lang w:val="zh-CN" w:bidi="zh-CN"/>
        </w:rPr>
        <w:t>“信用</w:t>
      </w:r>
      <w:r>
        <w:rPr>
          <w:rFonts w:hint="eastAsia" w:asciiTheme="minorEastAsia" w:hAnsiTheme="minorEastAsia" w:eastAsiaTheme="minorEastAsia"/>
          <w:color w:val="auto"/>
          <w:sz w:val="21"/>
          <w:szCs w:val="21"/>
          <w:highlight w:val="none"/>
        </w:rPr>
        <w:t>中国”网站</w:t>
      </w:r>
      <w:r>
        <w:rPr>
          <w:rFonts w:hint="eastAsia" w:asciiTheme="minorEastAsia" w:hAnsiTheme="minorEastAsia" w:eastAsiaTheme="minorEastAsia"/>
          <w:b/>
          <w:bCs/>
          <w:color w:val="auto"/>
          <w:sz w:val="21"/>
          <w:szCs w:val="21"/>
          <w:highlight w:val="none"/>
          <w:lang w:val="en-US" w:bidi="en-US"/>
        </w:rPr>
        <w:t>（www.creditchina.gov.cn）</w:t>
      </w:r>
      <w:r>
        <w:rPr>
          <w:rFonts w:hint="eastAsia" w:asciiTheme="minorEastAsia" w:hAnsiTheme="minorEastAsia" w:eastAsiaTheme="minorEastAsia"/>
          <w:b/>
          <w:bCs/>
          <w:color w:val="auto"/>
          <w:sz w:val="21"/>
          <w:szCs w:val="21"/>
          <w:highlight w:val="none"/>
          <w:lang w:val="en-US" w:eastAsia="zh-CN" w:bidi="en-US"/>
        </w:rPr>
        <w:t>查询</w:t>
      </w:r>
      <w:r>
        <w:rPr>
          <w:rFonts w:hint="eastAsia" w:asciiTheme="minorEastAsia" w:hAnsiTheme="minorEastAsia" w:eastAsiaTheme="minorEastAsia"/>
          <w:color w:val="auto"/>
          <w:sz w:val="21"/>
          <w:szCs w:val="21"/>
          <w:highlight w:val="none"/>
        </w:rPr>
        <w:t>为准］，若发现有未如实填报或隐瞒不报情况的，一律取消其中标资格并上报行政主管部门，由行政主管部门列为不良行为记录。</w:t>
      </w:r>
    </w:p>
    <w:p>
      <w:pPr>
        <w:pStyle w:val="30"/>
        <w:spacing w:after="0" w:line="410" w:lineRule="exact"/>
        <w:ind w:firstLine="422" w:firstLineChars="200"/>
        <w:jc w:val="both"/>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bidi="en-US"/>
        </w:rPr>
        <w:t xml:space="preserve">7.1.5  </w:t>
      </w:r>
      <w:r>
        <w:rPr>
          <w:rFonts w:hint="eastAsia" w:asciiTheme="minorEastAsia" w:hAnsiTheme="minorEastAsia" w:eastAsiaTheme="minorEastAsia"/>
          <w:color w:val="auto"/>
          <w:sz w:val="21"/>
          <w:szCs w:val="21"/>
          <w:highlight w:val="none"/>
        </w:rPr>
        <w:t>招标人在定标前，应</w:t>
      </w:r>
      <w:r>
        <w:rPr>
          <w:rFonts w:hint="eastAsia" w:asciiTheme="minorEastAsia" w:hAnsiTheme="minorEastAsia" w:eastAsiaTheme="minorEastAsia"/>
          <w:color w:val="auto"/>
          <w:sz w:val="21"/>
          <w:szCs w:val="21"/>
          <w:highlight w:val="none"/>
          <w:lang w:eastAsia="zh-CN"/>
        </w:rPr>
        <w:t>查询</w:t>
      </w:r>
      <w:r>
        <w:rPr>
          <w:rFonts w:hint="eastAsia" w:asciiTheme="minorEastAsia" w:hAnsiTheme="minorEastAsia" w:eastAsiaTheme="minorEastAsia"/>
          <w:color w:val="auto"/>
          <w:sz w:val="21"/>
          <w:szCs w:val="21"/>
          <w:highlight w:val="none"/>
        </w:rPr>
        <w:t>中标候选人全国水利建设市场信用平台</w:t>
      </w:r>
      <w:r>
        <w:rPr>
          <w:rFonts w:hint="eastAsia" w:asciiTheme="minorEastAsia" w:hAnsiTheme="minorEastAsia" w:eastAsiaTheme="minorEastAsia"/>
          <w:color w:val="auto"/>
          <w:sz w:val="21"/>
          <w:szCs w:val="21"/>
          <w:highlight w:val="none"/>
          <w:lang w:val="zh-CN" w:bidi="zh-CN"/>
        </w:rPr>
        <w:t>“黑</w:t>
      </w:r>
      <w:r>
        <w:rPr>
          <w:rFonts w:hint="eastAsia" w:asciiTheme="minorEastAsia" w:hAnsiTheme="minorEastAsia" w:eastAsiaTheme="minorEastAsia"/>
          <w:color w:val="auto"/>
          <w:sz w:val="21"/>
          <w:szCs w:val="21"/>
          <w:highlight w:val="none"/>
        </w:rPr>
        <w:t>名单</w:t>
      </w:r>
      <w:r>
        <w:rPr>
          <w:rFonts w:hint="eastAsia" w:asciiTheme="minorEastAsia" w:hAnsiTheme="minorEastAsia" w:eastAsiaTheme="minorEastAsia"/>
          <w:color w:val="auto"/>
          <w:sz w:val="21"/>
          <w:szCs w:val="21"/>
          <w:highlight w:val="none"/>
          <w:lang w:val="zh-CN" w:bidi="zh-CN"/>
        </w:rPr>
        <w:t>”（以</w:t>
      </w:r>
      <w:r>
        <w:rPr>
          <w:rFonts w:hint="eastAsia" w:asciiTheme="minorEastAsia" w:hAnsiTheme="minorEastAsia" w:eastAsiaTheme="minorEastAsia"/>
          <w:b/>
          <w:bCs/>
          <w:color w:val="auto"/>
          <w:sz w:val="21"/>
          <w:szCs w:val="21"/>
          <w:highlight w:val="none"/>
          <w:lang w:val="en-US" w:bidi="en-US"/>
        </w:rPr>
        <w:t>https：//rcpu.cwun.org</w:t>
      </w:r>
      <w:r>
        <w:rPr>
          <w:rFonts w:hint="eastAsia" w:asciiTheme="minorEastAsia" w:hAnsiTheme="minorEastAsia" w:eastAsiaTheme="minorEastAsia"/>
          <w:color w:val="auto"/>
          <w:sz w:val="21"/>
          <w:szCs w:val="21"/>
          <w:highlight w:val="none"/>
        </w:rPr>
        <w:t>一失信黑名单查询为准），若发现有未如实填报或隐瞒不报情况的，一律取消其中标资格并上报行政主管部门，由行政主管部门列为不良行为记录。</w:t>
      </w:r>
    </w:p>
    <w:p>
      <w:pPr>
        <w:pStyle w:val="30"/>
        <w:spacing w:after="0" w:line="410" w:lineRule="exact"/>
        <w:ind w:firstLine="422" w:firstLineChars="200"/>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bidi="en-US"/>
        </w:rPr>
        <w:t xml:space="preserve">7.1.6  </w:t>
      </w:r>
      <w:r>
        <w:rPr>
          <w:rFonts w:hint="eastAsia" w:asciiTheme="minorEastAsia" w:hAnsiTheme="minorEastAsia" w:eastAsiaTheme="minorEastAsia"/>
          <w:color w:val="auto"/>
          <w:sz w:val="21"/>
          <w:szCs w:val="21"/>
          <w:highlight w:val="none"/>
        </w:rPr>
        <w:t>投标人资格条件若有要求的，招标人在定标前应</w:t>
      </w:r>
      <w:r>
        <w:rPr>
          <w:rFonts w:hint="eastAsia" w:asciiTheme="minorEastAsia" w:hAnsiTheme="minorEastAsia" w:eastAsiaTheme="minorEastAsia"/>
          <w:color w:val="auto"/>
          <w:sz w:val="21"/>
          <w:szCs w:val="21"/>
          <w:highlight w:val="none"/>
          <w:lang w:eastAsia="zh-CN"/>
        </w:rPr>
        <w:t>查询</w:t>
      </w:r>
      <w:r>
        <w:rPr>
          <w:rFonts w:hint="eastAsia" w:asciiTheme="minorEastAsia" w:hAnsiTheme="minorEastAsia" w:eastAsiaTheme="minorEastAsia"/>
          <w:color w:val="auto"/>
          <w:sz w:val="21"/>
          <w:szCs w:val="21"/>
          <w:highlight w:val="none"/>
        </w:rPr>
        <w:t>中标候选人及其法定代表人、拟派项目组主要人员的招标投标失信黑名单记录（以浙江省发改委公布的披露期内的失信黑名单为准：浙江招标投标网</w:t>
      </w:r>
      <w:r>
        <w:rPr>
          <w:rFonts w:hint="eastAsia" w:asciiTheme="minorEastAsia" w:hAnsiTheme="minorEastAsia" w:eastAsiaTheme="minorEastAsia"/>
          <w:b/>
          <w:bCs/>
          <w:color w:val="auto"/>
          <w:sz w:val="21"/>
          <w:szCs w:val="21"/>
          <w:highlight w:val="none"/>
          <w:lang w:val="en-US" w:bidi="en-US"/>
        </w:rPr>
        <w:t>http：//zjbid.fzggw.zj</w:t>
      </w:r>
      <w:r>
        <w:rPr>
          <w:rFonts w:hint="eastAsia" w:asciiTheme="minorEastAsia" w:hAnsiTheme="minorEastAsia" w:eastAsiaTheme="minorEastAsia"/>
          <w:b/>
          <w:bCs/>
          <w:color w:val="auto"/>
          <w:sz w:val="21"/>
          <w:szCs w:val="21"/>
          <w:highlight w:val="none"/>
          <w:lang w:val="en-US" w:eastAsia="en-US" w:bidi="en-US"/>
        </w:rPr>
        <w:t>・</w:t>
      </w:r>
      <w:r>
        <w:rPr>
          <w:rFonts w:hint="eastAsia" w:asciiTheme="minorEastAsia" w:hAnsiTheme="minorEastAsia" w:eastAsiaTheme="minorEastAsia"/>
          <w:b/>
          <w:bCs/>
          <w:color w:val="auto"/>
          <w:sz w:val="21"/>
          <w:szCs w:val="21"/>
          <w:highlight w:val="none"/>
          <w:lang w:val="en-US" w:bidi="en-US"/>
        </w:rPr>
        <w:t>gov.cn</w:t>
      </w:r>
      <w:r>
        <w:rPr>
          <w:rFonts w:hint="eastAsia" w:asciiTheme="minorEastAsia" w:hAnsiTheme="minorEastAsia" w:eastAsiaTheme="minorEastAsia"/>
          <w:color w:val="auto"/>
          <w:sz w:val="21"/>
          <w:szCs w:val="21"/>
          <w:highlight w:val="none"/>
          <w:lang w:val="en-US" w:bidi="en-US"/>
        </w:rPr>
        <w:t>-</w:t>
      </w:r>
      <w:r>
        <w:rPr>
          <w:rFonts w:hint="eastAsia" w:asciiTheme="minorEastAsia" w:hAnsiTheme="minorEastAsia" w:eastAsiaTheme="minorEastAsia"/>
          <w:color w:val="auto"/>
          <w:sz w:val="21"/>
          <w:szCs w:val="21"/>
          <w:highlight w:val="none"/>
        </w:rPr>
        <w:t>信用档案</w:t>
      </w:r>
      <w:r>
        <w:rPr>
          <w:rFonts w:hint="eastAsia" w:asciiTheme="minorEastAsia" w:hAnsiTheme="minorEastAsia" w:eastAsiaTheme="minorEastAsia"/>
          <w:color w:val="auto"/>
          <w:sz w:val="21"/>
          <w:szCs w:val="21"/>
          <w:highlight w:val="none"/>
          <w:lang w:val="en-US"/>
        </w:rPr>
        <w:t>-</w:t>
      </w:r>
      <w:r>
        <w:rPr>
          <w:rFonts w:hint="eastAsia" w:asciiTheme="minorEastAsia" w:hAnsiTheme="minorEastAsia" w:eastAsiaTheme="minorEastAsia"/>
          <w:color w:val="auto"/>
          <w:sz w:val="21"/>
          <w:szCs w:val="21"/>
          <w:highlight w:val="none"/>
        </w:rPr>
        <w:t>失信黑名单），若发现有未如实填报或隐瞒不报情况的，一律取消其中标资格并上报行政主管部门，由行政主管部门列为不良行为记录。</w:t>
      </w:r>
    </w:p>
    <w:p>
      <w:pPr>
        <w:pStyle w:val="30"/>
        <w:spacing w:after="0" w:line="410" w:lineRule="exact"/>
        <w:ind w:firstLine="422" w:firstLineChars="200"/>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7.1.7 招标人在中标候选人公示期间应核查投标人投标资质在“浙江省建筑市场监管公共服务系统”上最新资质动态核查结果处于“合格”状态，核查结果</w:t>
      </w:r>
      <w:r>
        <w:rPr>
          <w:rFonts w:hint="default" w:asciiTheme="minorEastAsia" w:hAnsiTheme="minorEastAsia" w:eastAsiaTheme="minorEastAsia"/>
          <w:b/>
          <w:bCs/>
          <w:color w:val="auto"/>
          <w:sz w:val="21"/>
          <w:szCs w:val="21"/>
          <w:highlight w:val="none"/>
          <w:lang w:val="en-US" w:eastAsia="zh-CN" w:bidi="en-US"/>
        </w:rPr>
        <w:t>“</w:t>
      </w:r>
      <w:r>
        <w:rPr>
          <w:rFonts w:hint="eastAsia" w:asciiTheme="minorEastAsia" w:hAnsiTheme="minorEastAsia" w:eastAsiaTheme="minorEastAsia"/>
          <w:b/>
          <w:bCs/>
          <w:color w:val="auto"/>
          <w:sz w:val="21"/>
          <w:szCs w:val="21"/>
          <w:highlight w:val="none"/>
          <w:lang w:val="en-US" w:eastAsia="zh-CN" w:bidi="en-US"/>
        </w:rPr>
        <w:t>不合格</w:t>
      </w:r>
      <w:r>
        <w:rPr>
          <w:rFonts w:hint="default" w:asciiTheme="minorEastAsia" w:hAnsiTheme="minorEastAsia" w:eastAsiaTheme="minorEastAsia"/>
          <w:b/>
          <w:bCs/>
          <w:color w:val="auto"/>
          <w:sz w:val="21"/>
          <w:szCs w:val="21"/>
          <w:highlight w:val="none"/>
          <w:lang w:val="en-US" w:eastAsia="zh-CN" w:bidi="en-US"/>
        </w:rPr>
        <w:t>”</w:t>
      </w:r>
      <w:r>
        <w:rPr>
          <w:rFonts w:hint="eastAsia" w:asciiTheme="minorEastAsia" w:hAnsiTheme="minorEastAsia" w:eastAsiaTheme="minorEastAsia"/>
          <w:b/>
          <w:bCs/>
          <w:color w:val="auto"/>
          <w:sz w:val="21"/>
          <w:szCs w:val="21"/>
          <w:highlight w:val="none"/>
          <w:lang w:val="en-US" w:eastAsia="zh-CN" w:bidi="en-US"/>
        </w:rPr>
        <w:t>的，应取消中标资格。</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7.1.8 </w:t>
      </w:r>
      <w:r>
        <w:rPr>
          <w:rFonts w:hint="eastAsia" w:asciiTheme="minorEastAsia" w:hAnsiTheme="minorEastAsia" w:eastAsiaTheme="minorEastAsia"/>
          <w:color w:val="auto"/>
          <w:sz w:val="21"/>
          <w:szCs w:val="21"/>
          <w:highlight w:val="none"/>
        </w:rPr>
        <w:t>出现本章第</w:t>
      </w:r>
      <w:r>
        <w:rPr>
          <w:rFonts w:hint="eastAsia" w:asciiTheme="minorEastAsia" w:hAnsiTheme="minorEastAsia" w:eastAsiaTheme="minorEastAsia"/>
          <w:b/>
          <w:bCs/>
          <w:color w:val="auto"/>
          <w:sz w:val="21"/>
          <w:szCs w:val="21"/>
          <w:highlight w:val="none"/>
          <w:lang w:val="en-US" w:eastAsia="zh-CN" w:bidi="en-US"/>
        </w:rPr>
        <w:t>7.1.2</w:t>
      </w:r>
      <w:r>
        <w:rPr>
          <w:rFonts w:hint="eastAsia" w:asciiTheme="minorEastAsia" w:hAnsiTheme="minorEastAsia" w:eastAsiaTheme="minorEastAsia"/>
          <w:color w:val="auto"/>
          <w:sz w:val="21"/>
          <w:szCs w:val="21"/>
          <w:highlight w:val="none"/>
        </w:rPr>
        <w:t>项〜第</w:t>
      </w:r>
      <w:r>
        <w:rPr>
          <w:rFonts w:hint="eastAsia" w:asciiTheme="minorEastAsia" w:hAnsiTheme="minorEastAsia" w:eastAsiaTheme="minorEastAsia"/>
          <w:b/>
          <w:bCs/>
          <w:color w:val="auto"/>
          <w:sz w:val="21"/>
          <w:szCs w:val="21"/>
          <w:highlight w:val="none"/>
          <w:lang w:val="en-US" w:eastAsia="zh-CN" w:bidi="en-US"/>
        </w:rPr>
        <w:t>7.1.7</w:t>
      </w:r>
      <w:r>
        <w:rPr>
          <w:rFonts w:hint="eastAsia" w:asciiTheme="minorEastAsia" w:hAnsiTheme="minorEastAsia" w:eastAsiaTheme="minorEastAsia"/>
          <w:color w:val="auto"/>
          <w:sz w:val="21"/>
          <w:szCs w:val="21"/>
          <w:highlight w:val="none"/>
        </w:rPr>
        <w:t>项情形被取消中标资格的，招标人应重新招标。</w:t>
      </w:r>
    </w:p>
    <w:p>
      <w:pPr>
        <w:spacing w:line="410" w:lineRule="exact"/>
        <w:outlineLvl w:val="2"/>
        <w:rPr>
          <w:rFonts w:cs="宋体" w:asciiTheme="minorEastAsia" w:hAnsiTheme="minorEastAsia" w:eastAsiaTheme="minorEastAsia"/>
          <w:b/>
          <w:bCs/>
          <w:color w:val="auto"/>
          <w:sz w:val="24"/>
          <w:szCs w:val="24"/>
          <w:highlight w:val="none"/>
        </w:rPr>
      </w:pPr>
      <w:bookmarkStart w:id="196" w:name="_Toc23727"/>
      <w:bookmarkStart w:id="197" w:name="_Toc8556"/>
      <w:bookmarkStart w:id="198" w:name="_Toc23245"/>
      <w:r>
        <w:rPr>
          <w:rFonts w:hint="eastAsia" w:cs="宋体" w:asciiTheme="minorEastAsia" w:hAnsiTheme="minorEastAsia" w:eastAsiaTheme="minorEastAsia"/>
          <w:b/>
          <w:bCs/>
          <w:color w:val="auto"/>
          <w:sz w:val="24"/>
          <w:szCs w:val="24"/>
          <w:highlight w:val="none"/>
        </w:rPr>
        <w:t>7.2  中标通知</w:t>
      </w:r>
      <w:bookmarkEnd w:id="196"/>
      <w:bookmarkEnd w:id="197"/>
      <w:bookmarkEnd w:id="198"/>
    </w:p>
    <w:p>
      <w:pPr>
        <w:pStyle w:val="10"/>
        <w:tabs>
          <w:tab w:val="left" w:pos="2160"/>
        </w:tabs>
        <w:spacing w:line="410" w:lineRule="exact"/>
        <w:ind w:firstLine="420" w:firstLineChars="200"/>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在本章第</w:t>
      </w:r>
      <w:r>
        <w:rPr>
          <w:rFonts w:hint="eastAsia" w:asciiTheme="minorEastAsia" w:hAnsiTheme="minorEastAsia" w:eastAsiaTheme="minorEastAsia"/>
          <w:b/>
          <w:bCs/>
          <w:color w:val="auto"/>
          <w:highlight w:val="none"/>
          <w:lang w:bidi="en-US"/>
        </w:rPr>
        <w:t>3.</w:t>
      </w:r>
      <w:r>
        <w:rPr>
          <w:rFonts w:hint="eastAsia" w:asciiTheme="minorEastAsia" w:hAnsiTheme="minorEastAsia" w:eastAsiaTheme="minorEastAsia"/>
          <w:b/>
          <w:bCs/>
          <w:color w:val="auto"/>
          <w:highlight w:val="none"/>
        </w:rPr>
        <w:t>3</w:t>
      </w:r>
      <w:r>
        <w:rPr>
          <w:rFonts w:hint="eastAsia" w:asciiTheme="minorEastAsia" w:hAnsiTheme="minorEastAsia" w:eastAsiaTheme="minorEastAsia"/>
          <w:color w:val="auto"/>
          <w:highlight w:val="none"/>
        </w:rPr>
        <w:t>款规定的投标有效期内，</w:t>
      </w:r>
      <w:r>
        <w:rPr>
          <w:rFonts w:hint="eastAsia" w:cs="宋体" w:asciiTheme="minorEastAsia" w:hAnsiTheme="minorEastAsia" w:eastAsiaTheme="minorEastAsia"/>
          <w:color w:val="auto"/>
          <w:highlight w:val="none"/>
        </w:rPr>
        <w:t>招标人以书面形式向中标人发出中标通知书，同时将中标结果通知未中标的投标人。</w:t>
      </w:r>
    </w:p>
    <w:p>
      <w:pPr>
        <w:spacing w:line="410" w:lineRule="exact"/>
        <w:outlineLvl w:val="2"/>
        <w:rPr>
          <w:rFonts w:cs="宋体" w:asciiTheme="minorEastAsia" w:hAnsiTheme="minorEastAsia" w:eastAsiaTheme="minorEastAsia"/>
          <w:b/>
          <w:bCs/>
          <w:color w:val="auto"/>
          <w:sz w:val="24"/>
          <w:szCs w:val="24"/>
          <w:highlight w:val="none"/>
        </w:rPr>
      </w:pPr>
      <w:bookmarkStart w:id="199" w:name="_Toc2134"/>
      <w:bookmarkStart w:id="200" w:name="_Toc20821"/>
      <w:bookmarkStart w:id="201" w:name="_Toc374"/>
      <w:r>
        <w:rPr>
          <w:rFonts w:hint="eastAsia" w:cs="宋体" w:asciiTheme="minorEastAsia" w:hAnsiTheme="minorEastAsia" w:eastAsiaTheme="minorEastAsia"/>
          <w:b/>
          <w:bCs/>
          <w:color w:val="auto"/>
          <w:sz w:val="24"/>
          <w:szCs w:val="24"/>
          <w:highlight w:val="none"/>
        </w:rPr>
        <w:t>7.3  履约担保</w:t>
      </w:r>
      <w:bookmarkEnd w:id="199"/>
      <w:bookmarkEnd w:id="200"/>
      <w:bookmarkEnd w:id="201"/>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7.3.1  </w:t>
      </w:r>
      <w:r>
        <w:rPr>
          <w:rFonts w:hint="eastAsia" w:asciiTheme="minorEastAsia" w:hAnsiTheme="minorEastAsia" w:eastAsiaTheme="minorEastAsia"/>
          <w:color w:val="auto"/>
          <w:sz w:val="21"/>
          <w:szCs w:val="21"/>
          <w:highlight w:val="none"/>
        </w:rPr>
        <w:t>在签订合同前，中标人应按投标人须知前附表规定的金额、担保形式和招标文件第四章</w:t>
      </w:r>
      <w:r>
        <w:rPr>
          <w:rFonts w:hint="eastAsia" w:asciiTheme="minorEastAsia" w:hAnsiTheme="minorEastAsia" w:eastAsiaTheme="minorEastAsia"/>
          <w:color w:val="auto"/>
          <w:sz w:val="21"/>
          <w:szCs w:val="21"/>
          <w:highlight w:val="none"/>
          <w:lang w:val="zh-CN" w:eastAsia="zh-CN" w:bidi="zh-CN"/>
        </w:rPr>
        <w:t>“合同</w:t>
      </w:r>
      <w:r>
        <w:rPr>
          <w:rFonts w:hint="eastAsia" w:asciiTheme="minorEastAsia" w:hAnsiTheme="minorEastAsia" w:eastAsiaTheme="minorEastAsia"/>
          <w:color w:val="auto"/>
          <w:sz w:val="21"/>
          <w:szCs w:val="21"/>
          <w:highlight w:val="none"/>
        </w:rPr>
        <w:t>条款及格式”规定的履约担保格式向招标人提交履约担保。联合体中标的.其履约担保由牵头人递交，并应符合投标人须知前附表规定的金额、担保形式和招标文件第四章</w:t>
      </w:r>
      <w:r>
        <w:rPr>
          <w:rFonts w:hint="eastAsia" w:asciiTheme="minorEastAsia" w:hAnsiTheme="minorEastAsia" w:eastAsiaTheme="minorEastAsia"/>
          <w:color w:val="auto"/>
          <w:sz w:val="21"/>
          <w:szCs w:val="21"/>
          <w:highlight w:val="none"/>
          <w:lang w:val="zh-CN" w:eastAsia="zh-CN" w:bidi="zh-CN"/>
        </w:rPr>
        <w:t>“合同</w:t>
      </w:r>
      <w:r>
        <w:rPr>
          <w:rFonts w:hint="eastAsia" w:asciiTheme="minorEastAsia" w:hAnsiTheme="minorEastAsia" w:eastAsiaTheme="minorEastAsia"/>
          <w:color w:val="auto"/>
          <w:sz w:val="21"/>
          <w:szCs w:val="21"/>
          <w:highlight w:val="none"/>
        </w:rPr>
        <w:t>条款及格式”规定的履约担保格式要求。</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7.3.2  </w:t>
      </w:r>
      <w:r>
        <w:rPr>
          <w:rFonts w:hint="eastAsia" w:asciiTheme="minorEastAsia" w:hAnsiTheme="minorEastAsia" w:eastAsiaTheme="minorEastAsia"/>
          <w:color w:val="auto"/>
          <w:sz w:val="21"/>
          <w:szCs w:val="21"/>
          <w:highlight w:val="none"/>
        </w:rPr>
        <w:t>中标人不能按本章第</w:t>
      </w:r>
      <w:r>
        <w:rPr>
          <w:rFonts w:hint="eastAsia" w:asciiTheme="minorEastAsia" w:hAnsiTheme="minorEastAsia" w:eastAsiaTheme="minorEastAsia"/>
          <w:b/>
          <w:bCs/>
          <w:color w:val="auto"/>
          <w:sz w:val="21"/>
          <w:szCs w:val="21"/>
          <w:highlight w:val="none"/>
        </w:rPr>
        <w:t>7.</w:t>
      </w:r>
      <w:r>
        <w:rPr>
          <w:rFonts w:hint="eastAsia" w:asciiTheme="minorEastAsia" w:hAnsiTheme="minorEastAsia" w:eastAsiaTheme="minorEastAsia"/>
          <w:b/>
          <w:bCs/>
          <w:color w:val="auto"/>
          <w:sz w:val="21"/>
          <w:szCs w:val="21"/>
          <w:highlight w:val="none"/>
          <w:lang w:val="en-US" w:eastAsia="zh-CN" w:bidi="en-US"/>
        </w:rPr>
        <w:t>3.1</w:t>
      </w:r>
      <w:r>
        <w:rPr>
          <w:rFonts w:hint="eastAsia" w:asciiTheme="minorEastAsia" w:hAnsiTheme="minorEastAsia" w:eastAsiaTheme="minorEastAsia"/>
          <w:color w:val="auto"/>
          <w:sz w:val="21"/>
          <w:szCs w:val="21"/>
          <w:highlight w:val="none"/>
        </w:rPr>
        <w:t>项要求提交履约担保的，视为放弃中标，其投标保证金不予退还，给招标人造成的损失超过投标保证金数额的，中标人还应当对超过部分予以赔偿。</w:t>
      </w:r>
    </w:p>
    <w:p>
      <w:pPr>
        <w:spacing w:line="410" w:lineRule="exact"/>
        <w:outlineLvl w:val="2"/>
        <w:rPr>
          <w:rFonts w:cs="宋体" w:asciiTheme="minorEastAsia" w:hAnsiTheme="minorEastAsia" w:eastAsiaTheme="minorEastAsia"/>
          <w:b/>
          <w:bCs/>
          <w:color w:val="auto"/>
          <w:sz w:val="24"/>
          <w:szCs w:val="24"/>
          <w:highlight w:val="none"/>
        </w:rPr>
      </w:pPr>
      <w:bookmarkStart w:id="202" w:name="_Toc32290"/>
      <w:bookmarkStart w:id="203" w:name="_Toc23527"/>
      <w:bookmarkStart w:id="204" w:name="_Toc15337"/>
      <w:r>
        <w:rPr>
          <w:rFonts w:hint="eastAsia" w:cs="宋体" w:asciiTheme="minorEastAsia" w:hAnsiTheme="minorEastAsia" w:eastAsiaTheme="minorEastAsia"/>
          <w:b/>
          <w:bCs/>
          <w:color w:val="auto"/>
          <w:sz w:val="24"/>
          <w:szCs w:val="24"/>
          <w:highlight w:val="none"/>
        </w:rPr>
        <w:t>7.4  签订合同</w:t>
      </w:r>
      <w:bookmarkEnd w:id="202"/>
      <w:bookmarkEnd w:id="203"/>
      <w:bookmarkEnd w:id="204"/>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7.4.1  </w:t>
      </w:r>
      <w:r>
        <w:rPr>
          <w:rFonts w:hint="eastAsia" w:asciiTheme="minorEastAsia" w:hAnsiTheme="minorEastAsia" w:eastAsiaTheme="minorEastAsia"/>
          <w:color w:val="auto"/>
          <w:sz w:val="21"/>
          <w:szCs w:val="21"/>
          <w:highlight w:val="none"/>
        </w:rPr>
        <w:t>招标人和中标人应当自中标通知书发出之日起</w:t>
      </w:r>
      <w:r>
        <w:rPr>
          <w:rFonts w:hint="eastAsia" w:asciiTheme="minorEastAsia" w:hAnsiTheme="minorEastAsia" w:eastAsiaTheme="minorEastAsia"/>
          <w:b/>
          <w:bCs/>
          <w:color w:val="auto"/>
          <w:sz w:val="21"/>
          <w:szCs w:val="21"/>
          <w:highlight w:val="none"/>
        </w:rPr>
        <w:t>30</w:t>
      </w:r>
      <w:r>
        <w:rPr>
          <w:rFonts w:hint="eastAsia" w:asciiTheme="minorEastAsia" w:hAnsiTheme="minorEastAsia" w:eastAsiaTheme="minorEastAsia"/>
          <w:color w:val="auto"/>
          <w:sz w:val="21"/>
          <w:szCs w:val="21"/>
          <w:highlight w:val="none"/>
        </w:rPr>
        <w:t>日内，根据招标文件和中标人的投标文件通过电子招标投标交易平台以数据电文形式签订合同。</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7.4.2  发出</w:t>
      </w:r>
      <w:r>
        <w:rPr>
          <w:rFonts w:hint="eastAsia" w:asciiTheme="minorEastAsia" w:hAnsiTheme="minorEastAsia" w:eastAsiaTheme="minorEastAsia"/>
          <w:color w:val="auto"/>
          <w:sz w:val="21"/>
          <w:szCs w:val="21"/>
          <w:highlight w:val="none"/>
        </w:rPr>
        <w:t>中标通知书后，招标人无正当理由拒签合同的，招标人向中标人退还双倍的投标保证金。</w:t>
      </w:r>
    </w:p>
    <w:p>
      <w:pPr>
        <w:pStyle w:val="30"/>
        <w:spacing w:after="0" w:line="410" w:lineRule="exact"/>
        <w:ind w:firstLine="422"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b/>
          <w:bCs/>
          <w:color w:val="auto"/>
          <w:sz w:val="21"/>
          <w:szCs w:val="21"/>
          <w:highlight w:val="none"/>
          <w:lang w:val="en-US" w:eastAsia="zh-CN" w:bidi="en-US"/>
        </w:rPr>
        <w:t xml:space="preserve">7.4.3  </w:t>
      </w:r>
      <w:r>
        <w:rPr>
          <w:rFonts w:hint="eastAsia" w:asciiTheme="minorEastAsia" w:hAnsiTheme="minorEastAsia" w:eastAsiaTheme="minorEastAsia"/>
          <w:color w:val="auto"/>
          <w:sz w:val="21"/>
          <w:szCs w:val="21"/>
          <w:highlight w:val="none"/>
        </w:rPr>
        <w:t>发出中标通知书后，中标人无正当理由拒签合同的，招标人取消其中标资格，其投标保证金不予退还；给招标人造成的损失超过投标保证金数额的，中标人还应当对超过部分予以赔偿。</w:t>
      </w:r>
    </w:p>
    <w:p>
      <w:pPr>
        <w:spacing w:line="410" w:lineRule="exact"/>
        <w:outlineLvl w:val="1"/>
        <w:rPr>
          <w:rFonts w:cs="宋体" w:asciiTheme="minorEastAsia" w:hAnsiTheme="minorEastAsia" w:eastAsiaTheme="minorEastAsia"/>
          <w:b/>
          <w:bCs/>
          <w:color w:val="auto"/>
          <w:sz w:val="28"/>
          <w:szCs w:val="28"/>
          <w:highlight w:val="none"/>
        </w:rPr>
      </w:pPr>
      <w:bookmarkStart w:id="205" w:name="bookmark82"/>
      <w:bookmarkStart w:id="206" w:name="_Toc32051"/>
      <w:bookmarkStart w:id="207" w:name="bookmark80"/>
      <w:bookmarkStart w:id="208" w:name="bookmark81"/>
      <w:r>
        <w:rPr>
          <w:rFonts w:hint="eastAsia" w:cs="宋体" w:asciiTheme="minorEastAsia" w:hAnsiTheme="minorEastAsia" w:eastAsiaTheme="minorEastAsia"/>
          <w:b/>
          <w:bCs/>
          <w:color w:val="auto"/>
          <w:sz w:val="28"/>
          <w:szCs w:val="28"/>
          <w:highlight w:val="none"/>
        </w:rPr>
        <w:t>8  重新招标和不再招标</w:t>
      </w:r>
      <w:bookmarkEnd w:id="205"/>
      <w:bookmarkEnd w:id="206"/>
      <w:bookmarkEnd w:id="207"/>
      <w:bookmarkEnd w:id="208"/>
    </w:p>
    <w:p>
      <w:pPr>
        <w:spacing w:line="410" w:lineRule="exact"/>
        <w:outlineLvl w:val="2"/>
        <w:rPr>
          <w:rFonts w:cs="宋体" w:asciiTheme="minorEastAsia" w:hAnsiTheme="minorEastAsia" w:eastAsiaTheme="minorEastAsia"/>
          <w:b/>
          <w:bCs/>
          <w:color w:val="auto"/>
          <w:sz w:val="24"/>
          <w:szCs w:val="24"/>
          <w:highlight w:val="none"/>
        </w:rPr>
      </w:pPr>
      <w:bookmarkStart w:id="209" w:name="_Toc9892"/>
      <w:bookmarkStart w:id="210" w:name="_Toc27517"/>
      <w:bookmarkStart w:id="211" w:name="_Toc116"/>
      <w:r>
        <w:rPr>
          <w:rFonts w:hint="eastAsia" w:cs="宋体" w:asciiTheme="minorEastAsia" w:hAnsiTheme="minorEastAsia" w:eastAsiaTheme="minorEastAsia"/>
          <w:b/>
          <w:bCs/>
          <w:color w:val="auto"/>
          <w:sz w:val="24"/>
          <w:szCs w:val="24"/>
          <w:highlight w:val="none"/>
        </w:rPr>
        <w:t>8.1  重新招标</w:t>
      </w:r>
      <w:bookmarkEnd w:id="209"/>
      <w:bookmarkEnd w:id="210"/>
      <w:bookmarkEnd w:id="211"/>
    </w:p>
    <w:p>
      <w:pPr>
        <w:pStyle w:val="30"/>
        <w:spacing w:after="0" w:line="410" w:lineRule="exact"/>
        <w:ind w:firstLine="420" w:firstLineChars="200"/>
        <w:rPr>
          <w:rFonts w:asciiTheme="minorEastAsia" w:hAnsiTheme="minorEastAsia" w:eastAsiaTheme="minorEastAsia"/>
          <w:color w:val="auto"/>
          <w:sz w:val="21"/>
          <w:szCs w:val="21"/>
          <w:highlight w:val="none"/>
          <w:lang w:eastAsia="zh-CN"/>
        </w:rPr>
      </w:pPr>
      <w:r>
        <w:rPr>
          <w:rFonts w:hint="eastAsia" w:asciiTheme="minorEastAsia" w:hAnsiTheme="minorEastAsia" w:eastAsiaTheme="minorEastAsia"/>
          <w:color w:val="auto"/>
          <w:sz w:val="21"/>
          <w:szCs w:val="21"/>
          <w:highlight w:val="none"/>
        </w:rPr>
        <w:t>有下列情形之一的，招标人将重新招标</w:t>
      </w:r>
      <w:r>
        <w:rPr>
          <w:rFonts w:hint="eastAsia" w:asciiTheme="minorEastAsia" w:hAnsiTheme="minorEastAsia" w:eastAsiaTheme="minorEastAsia"/>
          <w:color w:val="auto"/>
          <w:sz w:val="21"/>
          <w:szCs w:val="21"/>
          <w:highlight w:val="none"/>
          <w:lang w:eastAsia="zh-CN"/>
        </w:rPr>
        <w:t>：</w:t>
      </w:r>
    </w:p>
    <w:p>
      <w:pPr>
        <w:pStyle w:val="30"/>
        <w:tabs>
          <w:tab w:val="left" w:pos="1364"/>
        </w:tabs>
        <w:spacing w:after="0" w:line="410" w:lineRule="exact"/>
        <w:ind w:firstLine="420" w:firstLineChars="200"/>
        <w:rPr>
          <w:rFonts w:asciiTheme="minorEastAsia" w:hAnsiTheme="minorEastAsia" w:eastAsiaTheme="minorEastAsia"/>
          <w:color w:val="auto"/>
          <w:sz w:val="21"/>
          <w:szCs w:val="21"/>
          <w:highlight w:val="none"/>
        </w:rPr>
      </w:pPr>
      <w:bookmarkStart w:id="212" w:name="bookmark83"/>
      <w:bookmarkEnd w:id="212"/>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1</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投标报名截止时间止，报名参加投标的潜在投标人少于3个的；或投标截止时间止，投标人少于3个的。</w:t>
      </w:r>
    </w:p>
    <w:p>
      <w:pPr>
        <w:pStyle w:val="30"/>
        <w:tabs>
          <w:tab w:val="left" w:pos="1340"/>
        </w:tabs>
        <w:spacing w:after="0" w:line="410" w:lineRule="exact"/>
        <w:ind w:firstLine="420" w:firstLineChars="200"/>
        <w:rPr>
          <w:rFonts w:asciiTheme="minorEastAsia" w:hAnsiTheme="minorEastAsia" w:eastAsiaTheme="minorEastAsia"/>
          <w:color w:val="auto"/>
          <w:sz w:val="21"/>
          <w:szCs w:val="21"/>
          <w:highlight w:val="none"/>
        </w:rPr>
      </w:pPr>
      <w:bookmarkStart w:id="213" w:name="bookmark84"/>
      <w:bookmarkEnd w:id="213"/>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2</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经评标委员会评审后否决所有投标的。</w:t>
      </w:r>
    </w:p>
    <w:p>
      <w:pPr>
        <w:pStyle w:val="30"/>
        <w:tabs>
          <w:tab w:val="left" w:pos="1364"/>
        </w:tabs>
        <w:spacing w:after="0" w:line="410" w:lineRule="exact"/>
        <w:ind w:firstLine="420" w:firstLineChars="200"/>
        <w:rPr>
          <w:rFonts w:asciiTheme="minorEastAsia" w:hAnsiTheme="minorEastAsia" w:eastAsiaTheme="minorEastAsia"/>
          <w:color w:val="auto"/>
          <w:sz w:val="21"/>
          <w:szCs w:val="21"/>
          <w:highlight w:val="none"/>
        </w:rPr>
      </w:pPr>
      <w:bookmarkStart w:id="214" w:name="bookmark85"/>
      <w:bookmarkEnd w:id="214"/>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3</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因评标委员会否决不合格投标后有效标不足3个使得投标明显缺乏竞争，评标委员会否决全部投标的。</w:t>
      </w:r>
    </w:p>
    <w:p>
      <w:pPr>
        <w:pStyle w:val="30"/>
        <w:tabs>
          <w:tab w:val="left" w:pos="1340"/>
        </w:tabs>
        <w:spacing w:after="0" w:line="410" w:lineRule="exact"/>
        <w:ind w:firstLine="420" w:firstLineChars="200"/>
        <w:rPr>
          <w:rFonts w:asciiTheme="minorEastAsia" w:hAnsiTheme="minorEastAsia" w:eastAsiaTheme="minorEastAsia"/>
          <w:color w:val="auto"/>
          <w:sz w:val="21"/>
          <w:szCs w:val="21"/>
          <w:highlight w:val="none"/>
        </w:rPr>
      </w:pPr>
      <w:bookmarkStart w:id="215" w:name="bookmark86"/>
      <w:bookmarkEnd w:id="215"/>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4</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同意延长投标有效期的投标人少于3个的。</w:t>
      </w:r>
    </w:p>
    <w:p>
      <w:pPr>
        <w:pStyle w:val="30"/>
        <w:tabs>
          <w:tab w:val="left" w:pos="1340"/>
        </w:tabs>
        <w:spacing w:after="0" w:line="410" w:lineRule="exact"/>
        <w:ind w:firstLine="420" w:firstLineChars="200"/>
        <w:rPr>
          <w:rFonts w:asciiTheme="minorEastAsia" w:hAnsiTheme="minorEastAsia" w:eastAsiaTheme="minorEastAsia"/>
          <w:color w:val="auto"/>
          <w:sz w:val="21"/>
          <w:szCs w:val="21"/>
          <w:highlight w:val="none"/>
        </w:rPr>
      </w:pPr>
      <w:bookmarkStart w:id="216" w:name="bookmark87"/>
      <w:bookmarkEnd w:id="216"/>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5</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中标候选人均未与招标人签订合同的。</w:t>
      </w:r>
    </w:p>
    <w:p>
      <w:pPr>
        <w:pStyle w:val="30"/>
        <w:tabs>
          <w:tab w:val="left" w:pos="1340"/>
        </w:tabs>
        <w:spacing w:after="0" w:line="410" w:lineRule="exact"/>
        <w:ind w:firstLine="420" w:firstLineChars="200"/>
        <w:rPr>
          <w:rFonts w:asciiTheme="minorEastAsia" w:hAnsiTheme="minorEastAsia" w:eastAsiaTheme="minorEastAsia"/>
          <w:color w:val="auto"/>
          <w:sz w:val="21"/>
          <w:szCs w:val="21"/>
          <w:highlight w:val="none"/>
        </w:rPr>
      </w:pPr>
      <w:bookmarkStart w:id="217" w:name="bookmark88"/>
      <w:bookmarkEnd w:id="217"/>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6</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出现本须知第</w:t>
      </w:r>
      <w:r>
        <w:rPr>
          <w:rFonts w:hint="eastAsia" w:asciiTheme="minorEastAsia" w:hAnsiTheme="minorEastAsia" w:eastAsiaTheme="minorEastAsia"/>
          <w:color w:val="auto"/>
          <w:sz w:val="21"/>
          <w:szCs w:val="21"/>
          <w:highlight w:val="none"/>
          <w:lang w:val="en-US" w:eastAsia="zh-CN" w:bidi="en-US"/>
        </w:rPr>
        <w:t>7.1.7</w:t>
      </w:r>
      <w:r>
        <w:rPr>
          <w:rFonts w:hint="eastAsia" w:asciiTheme="minorEastAsia" w:hAnsiTheme="minorEastAsia" w:eastAsiaTheme="minorEastAsia"/>
          <w:color w:val="auto"/>
          <w:sz w:val="21"/>
          <w:szCs w:val="21"/>
          <w:highlight w:val="none"/>
        </w:rPr>
        <w:t>项情形的。</w:t>
      </w:r>
    </w:p>
    <w:p>
      <w:pPr>
        <w:spacing w:line="410" w:lineRule="exact"/>
        <w:outlineLvl w:val="2"/>
        <w:rPr>
          <w:rFonts w:cs="宋体" w:asciiTheme="minorEastAsia" w:hAnsiTheme="minorEastAsia" w:eastAsiaTheme="minorEastAsia"/>
          <w:b/>
          <w:bCs/>
          <w:color w:val="auto"/>
          <w:sz w:val="24"/>
          <w:szCs w:val="24"/>
          <w:highlight w:val="none"/>
        </w:rPr>
      </w:pPr>
      <w:bookmarkStart w:id="218" w:name="_Toc25792"/>
      <w:bookmarkStart w:id="219" w:name="_Toc11519"/>
      <w:bookmarkStart w:id="220" w:name="_Toc20372"/>
      <w:r>
        <w:rPr>
          <w:rFonts w:hint="eastAsia" w:cs="宋体" w:asciiTheme="minorEastAsia" w:hAnsiTheme="minorEastAsia" w:eastAsiaTheme="minorEastAsia"/>
          <w:b/>
          <w:bCs/>
          <w:color w:val="auto"/>
          <w:sz w:val="24"/>
          <w:szCs w:val="24"/>
          <w:highlight w:val="none"/>
        </w:rPr>
        <w:t>8.2  不再招标</w:t>
      </w:r>
      <w:bookmarkEnd w:id="218"/>
      <w:bookmarkEnd w:id="219"/>
      <w:bookmarkEnd w:id="220"/>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重新招标后，仍出现本章</w:t>
      </w:r>
      <w:r>
        <w:rPr>
          <w:rFonts w:hint="eastAsia" w:asciiTheme="minorEastAsia" w:hAnsiTheme="minorEastAsia" w:eastAsiaTheme="minorEastAsia"/>
          <w:color w:val="auto"/>
          <w:sz w:val="21"/>
          <w:szCs w:val="21"/>
          <w:highlight w:val="none"/>
          <w:lang w:val="zh-CN" w:eastAsia="zh-CN" w:bidi="zh-CN"/>
        </w:rPr>
        <w:t>8.1</w:t>
      </w:r>
      <w:r>
        <w:rPr>
          <w:rFonts w:hint="eastAsia" w:asciiTheme="minorEastAsia" w:hAnsiTheme="minorEastAsia" w:eastAsiaTheme="minorEastAsia"/>
          <w:color w:val="auto"/>
          <w:sz w:val="21"/>
          <w:szCs w:val="21"/>
          <w:highlight w:val="none"/>
        </w:rPr>
        <w:t>款规定情形之一的，属于必须审批、核准的水利工程建设项目，经原审批、核准部门审批、核准后不再进行招标。</w:t>
      </w:r>
    </w:p>
    <w:p>
      <w:pPr>
        <w:spacing w:line="410" w:lineRule="exact"/>
        <w:outlineLvl w:val="1"/>
        <w:rPr>
          <w:rFonts w:cs="宋体" w:asciiTheme="minorEastAsia" w:hAnsiTheme="minorEastAsia" w:eastAsiaTheme="minorEastAsia"/>
          <w:b/>
          <w:bCs/>
          <w:color w:val="auto"/>
          <w:sz w:val="28"/>
          <w:szCs w:val="28"/>
          <w:highlight w:val="none"/>
        </w:rPr>
      </w:pPr>
      <w:bookmarkStart w:id="221" w:name="bookmark90"/>
      <w:bookmarkStart w:id="222" w:name="_Toc5075"/>
      <w:bookmarkStart w:id="223" w:name="bookmark89"/>
      <w:bookmarkStart w:id="224" w:name="bookmark91"/>
      <w:r>
        <w:rPr>
          <w:rFonts w:hint="eastAsia" w:cs="宋体" w:asciiTheme="minorEastAsia" w:hAnsiTheme="minorEastAsia" w:eastAsiaTheme="minorEastAsia"/>
          <w:b/>
          <w:bCs/>
          <w:color w:val="auto"/>
          <w:sz w:val="28"/>
          <w:szCs w:val="28"/>
          <w:highlight w:val="none"/>
        </w:rPr>
        <w:t>9  纪律和监督</w:t>
      </w:r>
      <w:bookmarkEnd w:id="221"/>
      <w:bookmarkEnd w:id="222"/>
      <w:bookmarkEnd w:id="223"/>
      <w:bookmarkEnd w:id="224"/>
    </w:p>
    <w:p>
      <w:pPr>
        <w:spacing w:line="410" w:lineRule="exact"/>
        <w:outlineLvl w:val="2"/>
        <w:rPr>
          <w:rFonts w:cs="宋体" w:asciiTheme="minorEastAsia" w:hAnsiTheme="minorEastAsia" w:eastAsiaTheme="minorEastAsia"/>
          <w:b/>
          <w:bCs/>
          <w:color w:val="auto"/>
          <w:sz w:val="24"/>
          <w:szCs w:val="24"/>
          <w:highlight w:val="none"/>
        </w:rPr>
      </w:pPr>
      <w:bookmarkStart w:id="225" w:name="_Toc16982"/>
      <w:bookmarkStart w:id="226" w:name="_Toc17310"/>
      <w:bookmarkStart w:id="227" w:name="_Toc16475"/>
      <w:r>
        <w:rPr>
          <w:rFonts w:hint="eastAsia" w:cs="宋体" w:asciiTheme="minorEastAsia" w:hAnsiTheme="minorEastAsia" w:eastAsiaTheme="minorEastAsia"/>
          <w:b/>
          <w:bCs/>
          <w:color w:val="auto"/>
          <w:sz w:val="24"/>
          <w:szCs w:val="24"/>
          <w:highlight w:val="none"/>
        </w:rPr>
        <w:t>9.1  对招标人的纪律要求</w:t>
      </w:r>
      <w:bookmarkEnd w:id="225"/>
      <w:bookmarkEnd w:id="226"/>
      <w:bookmarkEnd w:id="227"/>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招标人不得泄露招标投标活动中应当保密的情况和资料，不得与投标人串通损害国家利益、社会公共利益或者他人合法权益。</w:t>
      </w:r>
    </w:p>
    <w:p>
      <w:pPr>
        <w:pStyle w:val="30"/>
        <w:spacing w:after="0" w:line="410" w:lineRule="exact"/>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下列行为均属招标人与投标人串通投标：</w:t>
      </w:r>
    </w:p>
    <w:p>
      <w:pPr>
        <w:pStyle w:val="30"/>
        <w:tabs>
          <w:tab w:val="left" w:pos="1326"/>
        </w:tabs>
        <w:spacing w:after="0" w:line="410" w:lineRule="exact"/>
        <w:ind w:left="420" w:leftChars="200" w:firstLine="0"/>
        <w:rPr>
          <w:rFonts w:asciiTheme="minorEastAsia" w:hAnsiTheme="minorEastAsia" w:eastAsiaTheme="minorEastAsia"/>
          <w:color w:val="auto"/>
          <w:sz w:val="21"/>
          <w:szCs w:val="21"/>
          <w:highlight w:val="none"/>
        </w:rPr>
      </w:pPr>
      <w:bookmarkStart w:id="228" w:name="bookmark92"/>
      <w:bookmarkEnd w:id="228"/>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1</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招标人在开标前开启投标文件并将有关信息泄露给其他投标人。</w:t>
      </w:r>
    </w:p>
    <w:p>
      <w:pPr>
        <w:pStyle w:val="30"/>
        <w:tabs>
          <w:tab w:val="left" w:pos="1326"/>
        </w:tabs>
        <w:spacing w:after="0" w:line="410" w:lineRule="exact"/>
        <w:ind w:left="420" w:leftChars="200" w:firstLine="0"/>
        <w:rPr>
          <w:rFonts w:asciiTheme="minorEastAsia" w:hAnsiTheme="minorEastAsia" w:eastAsiaTheme="minorEastAsia"/>
          <w:color w:val="auto"/>
          <w:sz w:val="21"/>
          <w:szCs w:val="21"/>
          <w:highlight w:val="none"/>
        </w:rPr>
      </w:pPr>
      <w:bookmarkStart w:id="229" w:name="bookmark93"/>
      <w:bookmarkEnd w:id="229"/>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2</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招标人直接或者间接向投标人泄露标底、评标委员会成员等信息。</w:t>
      </w:r>
    </w:p>
    <w:p>
      <w:pPr>
        <w:pStyle w:val="30"/>
        <w:keepNext w:val="0"/>
        <w:keepLines w:val="0"/>
        <w:pageBreakBefore w:val="0"/>
        <w:tabs>
          <w:tab w:val="left" w:pos="1326"/>
        </w:tabs>
        <w:wordWrap/>
        <w:overflowPunct/>
        <w:topLinePunct w:val="0"/>
        <w:bidi w:val="0"/>
        <w:spacing w:after="0" w:line="400" w:lineRule="exact"/>
        <w:ind w:left="0" w:leftChars="0" w:firstLine="420" w:firstLineChars="200"/>
        <w:rPr>
          <w:rFonts w:asciiTheme="minorEastAsia" w:hAnsiTheme="minorEastAsia" w:eastAsiaTheme="minorEastAsia"/>
          <w:color w:val="auto"/>
          <w:sz w:val="21"/>
          <w:szCs w:val="21"/>
          <w:highlight w:val="none"/>
        </w:rPr>
      </w:pPr>
      <w:bookmarkStart w:id="230" w:name="bookmark94"/>
      <w:bookmarkEnd w:id="230"/>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3</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招标人明示或者暗示投标人压低或者抬高投标报价。</w:t>
      </w:r>
    </w:p>
    <w:p>
      <w:pPr>
        <w:pStyle w:val="30"/>
        <w:keepNext w:val="0"/>
        <w:keepLines w:val="0"/>
        <w:pageBreakBefore w:val="0"/>
        <w:tabs>
          <w:tab w:val="left" w:pos="1326"/>
        </w:tabs>
        <w:wordWrap/>
        <w:overflowPunct/>
        <w:topLinePunct w:val="0"/>
        <w:bidi w:val="0"/>
        <w:spacing w:after="0" w:line="380" w:lineRule="exact"/>
        <w:ind w:left="0" w:leftChars="0" w:firstLine="210" w:firstLineChars="100"/>
        <w:rPr>
          <w:rFonts w:asciiTheme="minorEastAsia" w:hAnsiTheme="minorEastAsia" w:eastAsiaTheme="minorEastAsia"/>
          <w:color w:val="auto"/>
          <w:sz w:val="21"/>
          <w:szCs w:val="21"/>
          <w:highlight w:val="none"/>
        </w:rPr>
      </w:pPr>
      <w:bookmarkStart w:id="231" w:name="bookmark95"/>
      <w:bookmarkEnd w:id="231"/>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4</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招标人授意投标人撤换、修改投标文件</w:t>
      </w:r>
      <w:r>
        <w:rPr>
          <w:rFonts w:hint="eastAsia" w:asciiTheme="minorEastAsia" w:hAnsiTheme="minorEastAsia" w:eastAsiaTheme="minorEastAsia"/>
          <w:color w:val="auto"/>
          <w:sz w:val="21"/>
          <w:szCs w:val="21"/>
          <w:highlight w:val="none"/>
          <w:lang w:eastAsia="zh-CN"/>
        </w:rPr>
        <w:t xml:space="preserve">。         </w:t>
      </w:r>
    </w:p>
    <w:p>
      <w:pPr>
        <w:pStyle w:val="30"/>
        <w:keepNext w:val="0"/>
        <w:keepLines w:val="0"/>
        <w:pageBreakBefore w:val="0"/>
        <w:tabs>
          <w:tab w:val="left" w:pos="1326"/>
        </w:tabs>
        <w:wordWrap/>
        <w:overflowPunct/>
        <w:topLinePunct w:val="0"/>
        <w:bidi w:val="0"/>
        <w:spacing w:after="0" w:line="380" w:lineRule="exact"/>
        <w:ind w:left="0" w:leftChars="0" w:firstLine="210" w:firstLineChars="100"/>
        <w:rPr>
          <w:rFonts w:asciiTheme="minorEastAsia" w:hAnsiTheme="minorEastAsia" w:eastAsiaTheme="minorEastAsia"/>
          <w:color w:val="auto"/>
          <w:sz w:val="21"/>
          <w:szCs w:val="21"/>
          <w:highlight w:val="none"/>
        </w:rPr>
      </w:pPr>
      <w:bookmarkStart w:id="232" w:name="bookmark96"/>
      <w:bookmarkEnd w:id="232"/>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5</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招标人明示或者暗示投标人为特定投标人中标提供方便。</w:t>
      </w:r>
    </w:p>
    <w:p>
      <w:pPr>
        <w:pStyle w:val="30"/>
        <w:keepNext w:val="0"/>
        <w:keepLines w:val="0"/>
        <w:pageBreakBefore w:val="0"/>
        <w:tabs>
          <w:tab w:val="left" w:pos="1326"/>
        </w:tabs>
        <w:wordWrap/>
        <w:overflowPunct/>
        <w:topLinePunct w:val="0"/>
        <w:bidi w:val="0"/>
        <w:spacing w:after="0" w:line="380" w:lineRule="exact"/>
        <w:ind w:left="0" w:leftChars="0" w:firstLine="210" w:firstLineChars="100"/>
        <w:rPr>
          <w:rFonts w:asciiTheme="minorEastAsia" w:hAnsiTheme="minorEastAsia" w:eastAsiaTheme="minorEastAsia"/>
          <w:color w:val="auto"/>
          <w:sz w:val="21"/>
          <w:szCs w:val="21"/>
          <w:highlight w:val="none"/>
        </w:rPr>
      </w:pPr>
      <w:bookmarkStart w:id="233" w:name="bookmark97"/>
      <w:bookmarkEnd w:id="233"/>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lang w:val="en-US" w:eastAsia="zh-CN"/>
        </w:rPr>
        <w:t>6</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招标人与投标人为谋求特定投标人中标而采取的其他串通行为。</w:t>
      </w:r>
    </w:p>
    <w:p>
      <w:pPr>
        <w:keepNext w:val="0"/>
        <w:keepLines w:val="0"/>
        <w:pageBreakBefore w:val="0"/>
        <w:wordWrap/>
        <w:overflowPunct/>
        <w:topLinePunct w:val="0"/>
        <w:bidi w:val="0"/>
        <w:spacing w:line="380" w:lineRule="exact"/>
        <w:ind w:left="0" w:leftChars="0"/>
        <w:outlineLvl w:val="2"/>
        <w:rPr>
          <w:rFonts w:cs="宋体" w:asciiTheme="minorEastAsia" w:hAnsiTheme="minorEastAsia" w:eastAsiaTheme="minorEastAsia"/>
          <w:b/>
          <w:bCs/>
          <w:color w:val="auto"/>
          <w:sz w:val="24"/>
          <w:szCs w:val="24"/>
          <w:highlight w:val="none"/>
        </w:rPr>
      </w:pPr>
      <w:bookmarkStart w:id="234" w:name="_Toc27564"/>
      <w:bookmarkStart w:id="235" w:name="_Toc24066"/>
      <w:bookmarkStart w:id="236" w:name="_Toc21339"/>
      <w:r>
        <w:rPr>
          <w:rFonts w:hint="eastAsia" w:cs="宋体" w:asciiTheme="minorEastAsia" w:hAnsiTheme="minorEastAsia" w:eastAsiaTheme="minorEastAsia"/>
          <w:b/>
          <w:bCs/>
          <w:color w:val="auto"/>
          <w:sz w:val="24"/>
          <w:szCs w:val="24"/>
          <w:highlight w:val="none"/>
        </w:rPr>
        <w:t>9.2  对投标人的纪律要求</w:t>
      </w:r>
      <w:bookmarkEnd w:id="234"/>
      <w:bookmarkEnd w:id="235"/>
      <w:bookmarkEnd w:id="236"/>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具体行为见投标人须知前附表。</w:t>
      </w:r>
    </w:p>
    <w:p>
      <w:pPr>
        <w:keepNext w:val="0"/>
        <w:keepLines w:val="0"/>
        <w:pageBreakBefore w:val="0"/>
        <w:wordWrap/>
        <w:overflowPunct/>
        <w:topLinePunct w:val="0"/>
        <w:bidi w:val="0"/>
        <w:spacing w:line="380" w:lineRule="exact"/>
        <w:ind w:left="0" w:leftChars="0"/>
        <w:outlineLvl w:val="2"/>
        <w:rPr>
          <w:rFonts w:cs="宋体" w:asciiTheme="minorEastAsia" w:hAnsiTheme="minorEastAsia" w:eastAsiaTheme="minorEastAsia"/>
          <w:b/>
          <w:bCs/>
          <w:color w:val="auto"/>
          <w:sz w:val="24"/>
          <w:szCs w:val="24"/>
          <w:highlight w:val="none"/>
        </w:rPr>
      </w:pPr>
      <w:bookmarkStart w:id="237" w:name="_Toc24508"/>
      <w:bookmarkStart w:id="238" w:name="_Toc31850"/>
      <w:bookmarkStart w:id="239" w:name="_Toc19884"/>
      <w:r>
        <w:rPr>
          <w:rFonts w:hint="eastAsia" w:cs="宋体" w:asciiTheme="minorEastAsia" w:hAnsiTheme="minorEastAsia" w:eastAsiaTheme="minorEastAsia"/>
          <w:b/>
          <w:bCs/>
          <w:color w:val="auto"/>
          <w:sz w:val="24"/>
          <w:szCs w:val="24"/>
          <w:highlight w:val="none"/>
        </w:rPr>
        <w:t>9.3  对评标委员会成员的纪律要求</w:t>
      </w:r>
      <w:bookmarkEnd w:id="237"/>
      <w:bookmarkEnd w:id="238"/>
      <w:bookmarkEnd w:id="239"/>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pPr>
        <w:keepNext w:val="0"/>
        <w:keepLines w:val="0"/>
        <w:pageBreakBefore w:val="0"/>
        <w:wordWrap/>
        <w:overflowPunct/>
        <w:topLinePunct w:val="0"/>
        <w:bidi w:val="0"/>
        <w:spacing w:line="380" w:lineRule="exact"/>
        <w:ind w:left="0" w:leftChars="0"/>
        <w:outlineLvl w:val="2"/>
        <w:rPr>
          <w:rFonts w:cs="宋体" w:asciiTheme="minorEastAsia" w:hAnsiTheme="minorEastAsia" w:eastAsiaTheme="minorEastAsia"/>
          <w:b/>
          <w:bCs/>
          <w:color w:val="auto"/>
          <w:sz w:val="24"/>
          <w:szCs w:val="24"/>
          <w:highlight w:val="none"/>
        </w:rPr>
      </w:pPr>
      <w:bookmarkStart w:id="240" w:name="_Toc8029"/>
      <w:bookmarkStart w:id="241" w:name="_Toc25039"/>
      <w:bookmarkStart w:id="242" w:name="_Toc16119"/>
      <w:r>
        <w:rPr>
          <w:rFonts w:hint="eastAsia" w:cs="宋体" w:asciiTheme="minorEastAsia" w:hAnsiTheme="minorEastAsia" w:eastAsiaTheme="minorEastAsia"/>
          <w:b/>
          <w:bCs/>
          <w:color w:val="auto"/>
          <w:sz w:val="24"/>
          <w:szCs w:val="24"/>
          <w:highlight w:val="none"/>
        </w:rPr>
        <w:t>9.4  对与评标活动有关的工作人员的纪律要求</w:t>
      </w:r>
      <w:bookmarkEnd w:id="240"/>
      <w:bookmarkEnd w:id="241"/>
      <w:bookmarkEnd w:id="242"/>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keepNext w:val="0"/>
        <w:keepLines w:val="0"/>
        <w:pageBreakBefore w:val="0"/>
        <w:wordWrap/>
        <w:overflowPunct/>
        <w:topLinePunct w:val="0"/>
        <w:bidi w:val="0"/>
        <w:spacing w:line="380" w:lineRule="exact"/>
        <w:ind w:left="0" w:leftChars="0"/>
        <w:outlineLvl w:val="2"/>
        <w:rPr>
          <w:rFonts w:cs="宋体" w:asciiTheme="minorEastAsia" w:hAnsiTheme="minorEastAsia" w:eastAsiaTheme="minorEastAsia"/>
          <w:b/>
          <w:bCs/>
          <w:color w:val="auto"/>
          <w:sz w:val="24"/>
          <w:szCs w:val="24"/>
          <w:highlight w:val="none"/>
        </w:rPr>
      </w:pPr>
      <w:bookmarkStart w:id="243" w:name="_Toc3102"/>
      <w:bookmarkStart w:id="244" w:name="_Toc15281"/>
      <w:bookmarkStart w:id="245" w:name="_Toc28845"/>
      <w:r>
        <w:rPr>
          <w:rFonts w:hint="eastAsia" w:cs="宋体" w:asciiTheme="minorEastAsia" w:hAnsiTheme="minorEastAsia" w:eastAsiaTheme="minorEastAsia"/>
          <w:b/>
          <w:bCs/>
          <w:color w:val="auto"/>
          <w:sz w:val="24"/>
          <w:szCs w:val="24"/>
          <w:highlight w:val="none"/>
        </w:rPr>
        <w:t>9.5  异议与投诉</w:t>
      </w:r>
      <w:bookmarkEnd w:id="243"/>
      <w:bookmarkEnd w:id="244"/>
      <w:bookmarkEnd w:id="245"/>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投标人和其他利害关系人认为本次招标活动违反法律、法规和规章规定的，有权按照《中华人民共和国招标投标法实施条例》等规定提出书面异议和投诉。异议与投诉见投标人须知前附表。</w:t>
      </w:r>
    </w:p>
    <w:p>
      <w:pPr>
        <w:keepNext w:val="0"/>
        <w:keepLines w:val="0"/>
        <w:pageBreakBefore w:val="0"/>
        <w:wordWrap/>
        <w:overflowPunct/>
        <w:topLinePunct w:val="0"/>
        <w:bidi w:val="0"/>
        <w:spacing w:line="380" w:lineRule="exact"/>
        <w:ind w:left="0" w:leftChars="0"/>
        <w:outlineLvl w:val="1"/>
        <w:rPr>
          <w:rFonts w:cs="宋体" w:asciiTheme="minorEastAsia" w:hAnsiTheme="minorEastAsia" w:eastAsiaTheme="minorEastAsia"/>
          <w:b/>
          <w:bCs/>
          <w:color w:val="auto"/>
          <w:sz w:val="28"/>
          <w:szCs w:val="28"/>
          <w:highlight w:val="none"/>
        </w:rPr>
      </w:pPr>
      <w:bookmarkStart w:id="246" w:name="bookmark98"/>
      <w:bookmarkStart w:id="247" w:name="bookmark99"/>
      <w:bookmarkStart w:id="248" w:name="bookmark100"/>
      <w:bookmarkStart w:id="249" w:name="_Toc23816"/>
      <w:r>
        <w:rPr>
          <w:rFonts w:hint="eastAsia" w:cs="宋体" w:asciiTheme="minorEastAsia" w:hAnsiTheme="minorEastAsia" w:eastAsiaTheme="minorEastAsia"/>
          <w:b/>
          <w:bCs/>
          <w:color w:val="auto"/>
          <w:sz w:val="28"/>
          <w:szCs w:val="28"/>
          <w:highlight w:val="none"/>
        </w:rPr>
        <w:t>10  其他内容</w:t>
      </w:r>
      <w:bookmarkEnd w:id="246"/>
      <w:bookmarkEnd w:id="247"/>
      <w:bookmarkEnd w:id="248"/>
      <w:bookmarkEnd w:id="249"/>
    </w:p>
    <w:p>
      <w:pPr>
        <w:keepNext w:val="0"/>
        <w:keepLines w:val="0"/>
        <w:pageBreakBefore w:val="0"/>
        <w:wordWrap/>
        <w:overflowPunct/>
        <w:topLinePunct w:val="0"/>
        <w:bidi w:val="0"/>
        <w:spacing w:line="380" w:lineRule="exact"/>
        <w:ind w:left="0" w:leftChars="0"/>
        <w:outlineLvl w:val="2"/>
        <w:rPr>
          <w:rFonts w:cs="宋体" w:asciiTheme="minorEastAsia" w:hAnsiTheme="minorEastAsia" w:eastAsiaTheme="minorEastAsia"/>
          <w:b/>
          <w:bCs/>
          <w:color w:val="auto"/>
          <w:sz w:val="24"/>
          <w:szCs w:val="24"/>
          <w:highlight w:val="none"/>
        </w:rPr>
      </w:pPr>
      <w:bookmarkStart w:id="250" w:name="_Toc7215"/>
      <w:bookmarkStart w:id="251" w:name="_Toc17537"/>
      <w:bookmarkStart w:id="252" w:name="_Toc717"/>
      <w:r>
        <w:rPr>
          <w:rFonts w:hint="eastAsia" w:cs="宋体" w:asciiTheme="minorEastAsia" w:hAnsiTheme="minorEastAsia" w:eastAsiaTheme="minorEastAsia"/>
          <w:b/>
          <w:bCs/>
          <w:color w:val="auto"/>
          <w:sz w:val="24"/>
          <w:szCs w:val="24"/>
          <w:highlight w:val="none"/>
        </w:rPr>
        <w:t>10.1  类似项目</w:t>
      </w:r>
      <w:bookmarkEnd w:id="250"/>
      <w:bookmarkEnd w:id="251"/>
      <w:bookmarkEnd w:id="252"/>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类似项目的要求见投标人须知前附表。</w:t>
      </w:r>
    </w:p>
    <w:p>
      <w:pPr>
        <w:keepNext w:val="0"/>
        <w:keepLines w:val="0"/>
        <w:pageBreakBefore w:val="0"/>
        <w:wordWrap/>
        <w:overflowPunct/>
        <w:topLinePunct w:val="0"/>
        <w:bidi w:val="0"/>
        <w:spacing w:line="380" w:lineRule="exact"/>
        <w:ind w:left="0" w:leftChars="0"/>
        <w:outlineLvl w:val="2"/>
        <w:rPr>
          <w:rFonts w:cs="宋体" w:asciiTheme="minorEastAsia" w:hAnsiTheme="minorEastAsia" w:eastAsiaTheme="minorEastAsia"/>
          <w:b/>
          <w:bCs/>
          <w:color w:val="auto"/>
          <w:sz w:val="24"/>
          <w:szCs w:val="24"/>
          <w:highlight w:val="none"/>
        </w:rPr>
      </w:pPr>
      <w:bookmarkStart w:id="253" w:name="_Toc17625"/>
      <w:bookmarkStart w:id="254" w:name="_Toc4979"/>
      <w:bookmarkStart w:id="255" w:name="_Toc25165"/>
      <w:r>
        <w:rPr>
          <w:rFonts w:hint="eastAsia" w:cs="宋体" w:asciiTheme="minorEastAsia" w:hAnsiTheme="minorEastAsia" w:eastAsiaTheme="minorEastAsia"/>
          <w:b/>
          <w:bCs/>
          <w:color w:val="auto"/>
          <w:sz w:val="24"/>
          <w:szCs w:val="24"/>
          <w:highlight w:val="none"/>
        </w:rPr>
        <w:t>10.2  投标文件的澄清、质询</w:t>
      </w:r>
      <w:bookmarkEnd w:id="253"/>
      <w:bookmarkEnd w:id="254"/>
      <w:bookmarkEnd w:id="255"/>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评标过程中，评标委员会认为有必要对投标文件中的问题进行询标，或拟作出否决投标决定前对相关投标人进行询问核实，投标文件的澄清、质询见投标人须知前附表。</w:t>
      </w:r>
    </w:p>
    <w:p>
      <w:pPr>
        <w:keepNext w:val="0"/>
        <w:keepLines w:val="0"/>
        <w:pageBreakBefore w:val="0"/>
        <w:wordWrap/>
        <w:overflowPunct/>
        <w:topLinePunct w:val="0"/>
        <w:bidi w:val="0"/>
        <w:spacing w:line="380" w:lineRule="exact"/>
        <w:ind w:left="0" w:leftChars="0"/>
        <w:outlineLvl w:val="2"/>
        <w:rPr>
          <w:rFonts w:cs="宋体" w:asciiTheme="minorEastAsia" w:hAnsiTheme="minorEastAsia" w:eastAsiaTheme="minorEastAsia"/>
          <w:b/>
          <w:bCs/>
          <w:color w:val="auto"/>
          <w:sz w:val="24"/>
          <w:szCs w:val="24"/>
          <w:highlight w:val="none"/>
        </w:rPr>
      </w:pPr>
      <w:bookmarkStart w:id="256" w:name="_Toc21564"/>
      <w:bookmarkStart w:id="257" w:name="_Toc10294"/>
      <w:bookmarkStart w:id="258" w:name="_Toc25867"/>
      <w:r>
        <w:rPr>
          <w:rFonts w:hint="eastAsia" w:cs="宋体" w:asciiTheme="minorEastAsia" w:hAnsiTheme="minorEastAsia" w:eastAsiaTheme="minorEastAsia"/>
          <w:b/>
          <w:bCs/>
          <w:color w:val="auto"/>
          <w:sz w:val="24"/>
          <w:szCs w:val="24"/>
          <w:highlight w:val="none"/>
        </w:rPr>
        <w:t>10.3  实质性响应招标文件资料及评审打分资料</w:t>
      </w:r>
      <w:bookmarkEnd w:id="256"/>
      <w:bookmarkEnd w:id="257"/>
      <w:bookmarkEnd w:id="258"/>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实质性响应招标文件资料及评审打分资料详见投标人须知前附表。</w:t>
      </w:r>
    </w:p>
    <w:p>
      <w:pPr>
        <w:keepNext w:val="0"/>
        <w:keepLines w:val="0"/>
        <w:pageBreakBefore w:val="0"/>
        <w:wordWrap/>
        <w:overflowPunct/>
        <w:topLinePunct w:val="0"/>
        <w:bidi w:val="0"/>
        <w:spacing w:line="380" w:lineRule="exact"/>
        <w:ind w:left="0" w:leftChars="0"/>
        <w:outlineLvl w:val="2"/>
        <w:rPr>
          <w:rFonts w:cs="宋体" w:asciiTheme="minorEastAsia" w:hAnsiTheme="minorEastAsia" w:eastAsiaTheme="minorEastAsia"/>
          <w:b/>
          <w:bCs/>
          <w:color w:val="auto"/>
          <w:sz w:val="24"/>
          <w:szCs w:val="24"/>
          <w:highlight w:val="none"/>
        </w:rPr>
      </w:pPr>
      <w:bookmarkStart w:id="259" w:name="_Toc7444"/>
      <w:bookmarkStart w:id="260" w:name="_Toc25794"/>
      <w:bookmarkStart w:id="261" w:name="_Toc5983"/>
      <w:r>
        <w:rPr>
          <w:rFonts w:hint="eastAsia" w:cs="宋体" w:asciiTheme="minorEastAsia" w:hAnsiTheme="minorEastAsia" w:eastAsiaTheme="minorEastAsia"/>
          <w:b/>
          <w:bCs/>
          <w:color w:val="auto"/>
          <w:sz w:val="24"/>
          <w:szCs w:val="24"/>
          <w:highlight w:val="none"/>
        </w:rPr>
        <w:t>10.4  中标人的投标文件</w:t>
      </w:r>
      <w:bookmarkEnd w:id="259"/>
      <w:bookmarkEnd w:id="260"/>
      <w:bookmarkEnd w:id="261"/>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中标人须在签订合同前向招标人另行提交投标人须知前附表规定份数的投标文件</w:t>
      </w:r>
      <w:r>
        <w:rPr>
          <w:rFonts w:hint="eastAsia" w:asciiTheme="minorEastAsia" w:hAnsiTheme="minorEastAsia" w:eastAsiaTheme="minorEastAsia"/>
          <w:color w:val="auto"/>
          <w:sz w:val="21"/>
          <w:szCs w:val="21"/>
          <w:highlight w:val="none"/>
          <w:lang w:val="zh-CN" w:eastAsia="zh-CN" w:bidi="zh-CN"/>
        </w:rPr>
        <w:t>副本。</w:t>
      </w:r>
    </w:p>
    <w:p>
      <w:pPr>
        <w:keepNext w:val="0"/>
        <w:keepLines w:val="0"/>
        <w:pageBreakBefore w:val="0"/>
        <w:wordWrap/>
        <w:overflowPunct/>
        <w:topLinePunct w:val="0"/>
        <w:bidi w:val="0"/>
        <w:spacing w:line="380" w:lineRule="exact"/>
        <w:ind w:left="0" w:leftChars="0"/>
        <w:outlineLvl w:val="2"/>
        <w:rPr>
          <w:rFonts w:cs="宋体" w:asciiTheme="minorEastAsia" w:hAnsiTheme="minorEastAsia" w:eastAsiaTheme="minorEastAsia"/>
          <w:b/>
          <w:bCs/>
          <w:color w:val="auto"/>
          <w:sz w:val="24"/>
          <w:szCs w:val="24"/>
          <w:highlight w:val="none"/>
        </w:rPr>
      </w:pPr>
      <w:bookmarkStart w:id="262" w:name="_Toc13707"/>
      <w:bookmarkStart w:id="263" w:name="_Toc32694"/>
      <w:bookmarkStart w:id="264" w:name="_Toc25713"/>
      <w:r>
        <w:rPr>
          <w:rFonts w:hint="eastAsia" w:cs="宋体" w:asciiTheme="minorEastAsia" w:hAnsiTheme="minorEastAsia" w:eastAsiaTheme="minorEastAsia"/>
          <w:b/>
          <w:bCs/>
          <w:color w:val="auto"/>
          <w:sz w:val="24"/>
          <w:szCs w:val="24"/>
          <w:highlight w:val="none"/>
        </w:rPr>
        <w:t>10.5  招标人最高投标限价或其计算方法</w:t>
      </w:r>
      <w:bookmarkEnd w:id="262"/>
      <w:bookmarkEnd w:id="263"/>
      <w:bookmarkEnd w:id="264"/>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招标人最高投标限价或其计算方法见投标人须知前附表。</w:t>
      </w:r>
    </w:p>
    <w:p>
      <w:pPr>
        <w:keepNext w:val="0"/>
        <w:keepLines w:val="0"/>
        <w:pageBreakBefore w:val="0"/>
        <w:wordWrap/>
        <w:overflowPunct/>
        <w:topLinePunct w:val="0"/>
        <w:bidi w:val="0"/>
        <w:spacing w:line="380" w:lineRule="exact"/>
        <w:ind w:left="0" w:leftChars="0"/>
        <w:outlineLvl w:val="2"/>
        <w:rPr>
          <w:rFonts w:cs="宋体" w:asciiTheme="minorEastAsia" w:hAnsiTheme="minorEastAsia" w:eastAsiaTheme="minorEastAsia"/>
          <w:b/>
          <w:bCs/>
          <w:color w:val="auto"/>
          <w:sz w:val="24"/>
          <w:szCs w:val="24"/>
          <w:highlight w:val="none"/>
        </w:rPr>
      </w:pPr>
      <w:bookmarkStart w:id="265" w:name="_Toc2756"/>
      <w:bookmarkStart w:id="266" w:name="_Toc19235"/>
      <w:bookmarkStart w:id="267" w:name="_Toc1279"/>
      <w:r>
        <w:rPr>
          <w:rFonts w:hint="eastAsia" w:cs="宋体" w:asciiTheme="minorEastAsia" w:hAnsiTheme="minorEastAsia" w:eastAsiaTheme="minorEastAsia"/>
          <w:b/>
          <w:bCs/>
          <w:color w:val="auto"/>
          <w:sz w:val="24"/>
          <w:szCs w:val="24"/>
          <w:highlight w:val="none"/>
        </w:rPr>
        <w:t>10.6  在建合同工程的认定及变更证明</w:t>
      </w:r>
      <w:bookmarkEnd w:id="265"/>
      <w:bookmarkEnd w:id="266"/>
      <w:bookmarkEnd w:id="267"/>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在建合同工程的认定及变更证明见投标人须知前附表。</w:t>
      </w:r>
    </w:p>
    <w:p>
      <w:pPr>
        <w:keepNext w:val="0"/>
        <w:keepLines w:val="0"/>
        <w:pageBreakBefore w:val="0"/>
        <w:wordWrap/>
        <w:overflowPunct/>
        <w:topLinePunct w:val="0"/>
        <w:bidi w:val="0"/>
        <w:spacing w:line="380" w:lineRule="exact"/>
        <w:ind w:left="0" w:leftChars="0"/>
        <w:outlineLvl w:val="2"/>
        <w:rPr>
          <w:rFonts w:cs="宋体" w:asciiTheme="minorEastAsia" w:hAnsiTheme="minorEastAsia" w:eastAsiaTheme="minorEastAsia"/>
          <w:b/>
          <w:bCs/>
          <w:color w:val="auto"/>
          <w:sz w:val="24"/>
          <w:szCs w:val="24"/>
          <w:highlight w:val="none"/>
        </w:rPr>
      </w:pPr>
      <w:bookmarkStart w:id="268" w:name="_Toc27253"/>
      <w:bookmarkStart w:id="269" w:name="_Toc19281"/>
      <w:bookmarkStart w:id="270" w:name="_Toc11470"/>
      <w:r>
        <w:rPr>
          <w:rFonts w:hint="eastAsia" w:cs="宋体" w:asciiTheme="minorEastAsia" w:hAnsiTheme="minorEastAsia" w:eastAsiaTheme="minorEastAsia"/>
          <w:b/>
          <w:bCs/>
          <w:color w:val="auto"/>
          <w:sz w:val="24"/>
          <w:szCs w:val="24"/>
          <w:highlight w:val="none"/>
        </w:rPr>
        <w:t>10.7  特别说明</w:t>
      </w:r>
      <w:bookmarkEnd w:id="268"/>
      <w:bookmarkEnd w:id="269"/>
      <w:bookmarkEnd w:id="270"/>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特别说明见投标人须知前</w:t>
      </w:r>
      <w:r>
        <w:rPr>
          <w:rFonts w:hint="eastAsia" w:asciiTheme="minorEastAsia" w:hAnsiTheme="minorEastAsia" w:eastAsiaTheme="minorEastAsia"/>
          <w:color w:val="auto"/>
          <w:sz w:val="21"/>
          <w:szCs w:val="21"/>
          <w:highlight w:val="none"/>
          <w:lang w:val="zh-CN" w:eastAsia="zh-CN" w:bidi="zh-CN"/>
        </w:rPr>
        <w:t>附表。</w:t>
      </w:r>
    </w:p>
    <w:p>
      <w:pPr>
        <w:keepNext w:val="0"/>
        <w:keepLines w:val="0"/>
        <w:pageBreakBefore w:val="0"/>
        <w:wordWrap/>
        <w:overflowPunct/>
        <w:topLinePunct w:val="0"/>
        <w:bidi w:val="0"/>
        <w:spacing w:line="380" w:lineRule="exact"/>
        <w:ind w:left="0" w:leftChars="0"/>
        <w:outlineLvl w:val="1"/>
        <w:rPr>
          <w:rFonts w:cs="宋体" w:asciiTheme="minorEastAsia" w:hAnsiTheme="minorEastAsia" w:eastAsiaTheme="minorEastAsia"/>
          <w:b/>
          <w:bCs/>
          <w:color w:val="auto"/>
          <w:sz w:val="28"/>
          <w:szCs w:val="28"/>
          <w:highlight w:val="none"/>
        </w:rPr>
      </w:pPr>
      <w:bookmarkStart w:id="271" w:name="bookmark103"/>
      <w:bookmarkStart w:id="272" w:name="bookmark101"/>
      <w:bookmarkStart w:id="273" w:name="bookmark102"/>
      <w:bookmarkStart w:id="274" w:name="_Toc14401"/>
      <w:r>
        <w:rPr>
          <w:rFonts w:hint="eastAsia" w:cs="宋体" w:asciiTheme="minorEastAsia" w:hAnsiTheme="minorEastAsia" w:eastAsiaTheme="minorEastAsia"/>
          <w:b/>
          <w:bCs/>
          <w:color w:val="auto"/>
          <w:sz w:val="28"/>
          <w:szCs w:val="28"/>
          <w:highlight w:val="none"/>
        </w:rPr>
        <w:t>11  需要补充的内容</w:t>
      </w:r>
      <w:bookmarkEnd w:id="271"/>
      <w:bookmarkEnd w:id="272"/>
      <w:bookmarkEnd w:id="273"/>
      <w:bookmarkEnd w:id="274"/>
    </w:p>
    <w:p>
      <w:pPr>
        <w:pStyle w:val="30"/>
        <w:keepNext w:val="0"/>
        <w:keepLines w:val="0"/>
        <w:pageBreakBefore w:val="0"/>
        <w:wordWrap/>
        <w:overflowPunct/>
        <w:topLinePunct w:val="0"/>
        <w:bidi w:val="0"/>
        <w:spacing w:after="0" w:line="380" w:lineRule="exact"/>
        <w:ind w:left="0" w:leftChars="0"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需要补充的内容见投标人须知前附表。</w:t>
      </w:r>
    </w:p>
    <w:p>
      <w:pPr>
        <w:widowControl w:val="0"/>
        <w:spacing w:line="410" w:lineRule="exact"/>
        <w:ind w:firstLine="420" w:firstLineChars="200"/>
        <w:rPr>
          <w:rFonts w:cs="宋体" w:asciiTheme="minorEastAsia" w:hAnsiTheme="minorEastAsia" w:eastAsiaTheme="minorEastAsia"/>
          <w:color w:val="auto"/>
          <w:highlight w:val="none"/>
        </w:rPr>
        <w:sectPr>
          <w:footerReference r:id="rId8" w:type="default"/>
          <w:footerReference r:id="rId9" w:type="even"/>
          <w:type w:val="continuous"/>
          <w:pgSz w:w="11905" w:h="16838"/>
          <w:pgMar w:top="1247" w:right="1417" w:bottom="1247" w:left="1417" w:header="0" w:footer="850" w:gutter="0"/>
          <w:cols w:space="0" w:num="1"/>
          <w:docGrid w:linePitch="360" w:charSpace="0"/>
        </w:sectPr>
      </w:pPr>
    </w:p>
    <w:p>
      <w:pPr>
        <w:pStyle w:val="31"/>
        <w:spacing w:after="0" w:line="24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32"/>
        <w:keepNext/>
        <w:keepLines/>
        <w:spacing w:beforeLines="200" w:after="680"/>
        <w:jc w:val="center"/>
        <w:outlineLvl w:val="9"/>
        <w:rPr>
          <w:b/>
          <w:bCs/>
          <w:color w:val="auto"/>
          <w:sz w:val="36"/>
          <w:szCs w:val="36"/>
          <w:highlight w:val="none"/>
        </w:rPr>
      </w:pPr>
      <w:bookmarkStart w:id="275" w:name="bookmark106"/>
      <w:bookmarkStart w:id="276" w:name="bookmark105"/>
      <w:bookmarkStart w:id="277" w:name="bookmark104"/>
      <w:bookmarkStart w:id="278" w:name="_Toc6656"/>
      <w:bookmarkStart w:id="279" w:name="_Toc20390"/>
      <w:bookmarkStart w:id="280" w:name="_Toc4267"/>
      <w:bookmarkStart w:id="281" w:name="_Toc10543"/>
      <w:r>
        <w:rPr>
          <w:b/>
          <w:bCs/>
          <w:color w:val="auto"/>
          <w:sz w:val="36"/>
          <w:szCs w:val="36"/>
          <w:highlight w:val="none"/>
        </w:rPr>
        <w:t>招标文件澄清申请函</w:t>
      </w:r>
      <w:bookmarkEnd w:id="275"/>
      <w:bookmarkEnd w:id="276"/>
      <w:bookmarkEnd w:id="277"/>
      <w:bookmarkEnd w:id="278"/>
      <w:bookmarkEnd w:id="279"/>
      <w:bookmarkEnd w:id="280"/>
      <w:bookmarkEnd w:id="281"/>
    </w:p>
    <w:p>
      <w:pPr>
        <w:pStyle w:val="33"/>
        <w:keepNext/>
        <w:keepLines/>
        <w:spacing w:beforeLines="100" w:after="1000"/>
        <w:jc w:val="center"/>
        <w:outlineLvl w:val="9"/>
        <w:rPr>
          <w:color w:val="auto"/>
          <w:sz w:val="30"/>
          <w:szCs w:val="30"/>
          <w:highlight w:val="none"/>
        </w:rPr>
      </w:pPr>
      <w:bookmarkStart w:id="282" w:name="_Toc31247"/>
      <w:bookmarkStart w:id="283" w:name="_Toc28909"/>
      <w:bookmarkStart w:id="284" w:name="_Toc9548"/>
      <w:bookmarkStart w:id="285" w:name="_Toc6355"/>
      <w:r>
        <w:rPr>
          <w:color w:val="auto"/>
          <w:sz w:val="30"/>
          <w:szCs w:val="30"/>
          <w:highlight w:val="none"/>
        </w:rPr>
        <w:t>编号：</w:t>
      </w:r>
      <w:bookmarkEnd w:id="282"/>
      <w:bookmarkEnd w:id="283"/>
      <w:bookmarkEnd w:id="284"/>
      <w:bookmarkEnd w:id="285"/>
    </w:p>
    <w:p>
      <w:pPr>
        <w:pStyle w:val="31"/>
        <w:spacing w:after="0"/>
        <w:jc w:val="center"/>
        <w:rPr>
          <w:color w:val="auto"/>
          <w:sz w:val="40"/>
          <w:szCs w:val="40"/>
          <w:highlight w:val="none"/>
        </w:rPr>
      </w:pPr>
    </w:p>
    <w:p>
      <w:pPr>
        <w:pStyle w:val="30"/>
        <w:tabs>
          <w:tab w:val="left" w:pos="2796"/>
          <w:tab w:val="left" w:pos="5640"/>
          <w:tab w:val="left" w:pos="9180"/>
        </w:tabs>
        <w:spacing w:after="0" w:line="540" w:lineRule="exact"/>
        <w:ind w:firstLine="0"/>
        <w:rPr>
          <w:color w:val="auto"/>
          <w:sz w:val="28"/>
          <w:szCs w:val="28"/>
          <w:highlight w:val="none"/>
        </w:rPr>
      </w:pPr>
    </w:p>
    <w:p>
      <w:pPr>
        <w:pStyle w:val="30"/>
        <w:tabs>
          <w:tab w:val="left" w:pos="2796"/>
          <w:tab w:val="left" w:pos="5640"/>
          <w:tab w:val="left" w:pos="9180"/>
        </w:tabs>
        <w:spacing w:after="0" w:line="540" w:lineRule="exact"/>
        <w:ind w:firstLine="0"/>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招标人名称）：</w:t>
      </w:r>
    </w:p>
    <w:p>
      <w:pPr>
        <w:pStyle w:val="30"/>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经过仔细阅读</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标段名称）招标文件后，我方申请对以下问题予以澄清：</w:t>
      </w:r>
    </w:p>
    <w:p>
      <w:pPr>
        <w:pStyle w:val="30"/>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30"/>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30"/>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240" w:lineRule="auto"/>
        <w:ind w:firstLine="620"/>
        <w:rPr>
          <w:color w:val="auto"/>
          <w:sz w:val="24"/>
          <w:szCs w:val="24"/>
          <w:highlight w:val="none"/>
        </w:rPr>
      </w:pPr>
    </w:p>
    <w:p>
      <w:pPr>
        <w:pStyle w:val="34"/>
        <w:spacing w:after="0" w:line="500" w:lineRule="exact"/>
        <w:ind w:firstLine="420" w:firstLineChars="200"/>
        <w:rPr>
          <w:color w:val="auto"/>
          <w:sz w:val="21"/>
          <w:szCs w:val="21"/>
          <w:highlight w:val="none"/>
        </w:rPr>
      </w:pPr>
      <w:r>
        <w:rPr>
          <w:color w:val="auto"/>
          <w:sz w:val="21"/>
          <w:szCs w:val="21"/>
          <w:highlight w:val="none"/>
        </w:rPr>
        <w:t>注：投标人要求招标人澄清招标文件有关问题时，适用于本格式。</w:t>
      </w:r>
    </w:p>
    <w:p>
      <w:pPr>
        <w:rPr>
          <w:rFonts w:ascii="宋体" w:hAnsi="宋体" w:eastAsia="宋体" w:cs="宋体"/>
          <w:color w:val="auto"/>
          <w:sz w:val="24"/>
          <w:szCs w:val="24"/>
          <w:highlight w:val="none"/>
        </w:rPr>
      </w:pPr>
      <w:r>
        <w:rPr>
          <w:rFonts w:ascii="宋体" w:hAnsi="宋体" w:eastAsia="宋体" w:cs="宋体"/>
          <w:color w:val="auto"/>
          <w:sz w:val="24"/>
          <w:szCs w:val="24"/>
          <w:highlight w:val="none"/>
        </w:rPr>
        <w:br w:type="page"/>
      </w:r>
    </w:p>
    <w:p>
      <w:pPr>
        <w:pStyle w:val="31"/>
        <w:spacing w:after="0" w:line="24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32"/>
        <w:keepNext/>
        <w:keepLines/>
        <w:spacing w:beforeLines="200" w:after="680"/>
        <w:jc w:val="center"/>
        <w:outlineLvl w:val="9"/>
        <w:rPr>
          <w:b/>
          <w:bCs/>
          <w:color w:val="auto"/>
          <w:sz w:val="36"/>
          <w:szCs w:val="36"/>
          <w:highlight w:val="none"/>
        </w:rPr>
      </w:pPr>
      <w:bookmarkStart w:id="286" w:name="_Toc1968"/>
      <w:bookmarkStart w:id="287" w:name="bookmark109"/>
      <w:bookmarkStart w:id="288" w:name="bookmark108"/>
      <w:bookmarkStart w:id="289" w:name="_Toc8891"/>
      <w:bookmarkStart w:id="290" w:name="_Toc22689"/>
      <w:bookmarkStart w:id="291" w:name="bookmark107"/>
      <w:bookmarkStart w:id="292" w:name="_Toc8665"/>
      <w:r>
        <w:rPr>
          <w:b/>
          <w:bCs/>
          <w:color w:val="auto"/>
          <w:sz w:val="36"/>
          <w:szCs w:val="36"/>
          <w:highlight w:val="none"/>
        </w:rPr>
        <w:t>招标文件澄清通知</w:t>
      </w:r>
      <w:bookmarkEnd w:id="286"/>
      <w:bookmarkEnd w:id="287"/>
      <w:bookmarkEnd w:id="288"/>
      <w:bookmarkEnd w:id="289"/>
      <w:bookmarkEnd w:id="290"/>
      <w:bookmarkEnd w:id="291"/>
      <w:bookmarkEnd w:id="292"/>
    </w:p>
    <w:p>
      <w:pPr>
        <w:pStyle w:val="33"/>
        <w:keepNext/>
        <w:keepLines/>
        <w:spacing w:beforeLines="100" w:after="1000"/>
        <w:jc w:val="center"/>
        <w:outlineLvl w:val="9"/>
        <w:rPr>
          <w:color w:val="auto"/>
          <w:sz w:val="30"/>
          <w:szCs w:val="30"/>
          <w:highlight w:val="none"/>
        </w:rPr>
      </w:pPr>
      <w:bookmarkStart w:id="293" w:name="_Toc31002"/>
      <w:bookmarkStart w:id="294" w:name="_Toc16592"/>
      <w:bookmarkStart w:id="295" w:name="_Toc28344"/>
      <w:bookmarkStart w:id="296" w:name="_Toc20511"/>
      <w:r>
        <w:rPr>
          <w:color w:val="auto"/>
          <w:sz w:val="30"/>
          <w:szCs w:val="30"/>
          <w:highlight w:val="none"/>
        </w:rPr>
        <w:t>编号：</w:t>
      </w:r>
      <w:bookmarkEnd w:id="293"/>
      <w:bookmarkEnd w:id="294"/>
      <w:bookmarkEnd w:id="295"/>
      <w:bookmarkEnd w:id="296"/>
    </w:p>
    <w:p>
      <w:pPr>
        <w:pStyle w:val="30"/>
        <w:tabs>
          <w:tab w:val="left" w:pos="2796"/>
          <w:tab w:val="left" w:pos="5640"/>
          <w:tab w:val="left" w:pos="9180"/>
        </w:tabs>
        <w:spacing w:after="0" w:line="700" w:lineRule="exact"/>
        <w:rPr>
          <w:color w:val="auto"/>
          <w:sz w:val="24"/>
          <w:szCs w:val="24"/>
          <w:highlight w:val="none"/>
        </w:rPr>
      </w:pPr>
      <w:r>
        <w:rPr>
          <w:color w:val="auto"/>
          <w:sz w:val="24"/>
          <w:szCs w:val="24"/>
          <w:highlight w:val="none"/>
        </w:rPr>
        <w:t>各投标人：</w:t>
      </w:r>
    </w:p>
    <w:p>
      <w:pPr>
        <w:pStyle w:val="30"/>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30"/>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30"/>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30"/>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30"/>
        <w:tabs>
          <w:tab w:val="left" w:pos="2796"/>
          <w:tab w:val="left" w:pos="5640"/>
          <w:tab w:val="left" w:pos="9180"/>
        </w:tabs>
        <w:spacing w:after="0" w:line="700" w:lineRule="exact"/>
        <w:ind w:firstLine="480" w:firstLineChars="200"/>
        <w:rPr>
          <w:color w:val="auto"/>
          <w:sz w:val="24"/>
          <w:szCs w:val="24"/>
          <w:highlight w:val="none"/>
        </w:rPr>
      </w:pPr>
    </w:p>
    <w:p>
      <w:pPr>
        <w:pStyle w:val="30"/>
        <w:tabs>
          <w:tab w:val="left" w:pos="9432"/>
          <w:tab w:val="left" w:pos="9612"/>
        </w:tabs>
        <w:spacing w:after="0" w:line="552" w:lineRule="exact"/>
        <w:ind w:firstLine="0"/>
        <w:rPr>
          <w:color w:val="auto"/>
          <w:sz w:val="24"/>
          <w:szCs w:val="24"/>
          <w:highlight w:val="none"/>
        </w:rPr>
      </w:pPr>
    </w:p>
    <w:p>
      <w:pPr>
        <w:pStyle w:val="30"/>
        <w:tabs>
          <w:tab w:val="left" w:pos="9432"/>
          <w:tab w:val="left" w:pos="9612"/>
        </w:tabs>
        <w:spacing w:after="0" w:line="552" w:lineRule="exact"/>
        <w:ind w:firstLine="0"/>
        <w:rPr>
          <w:color w:val="auto"/>
          <w:sz w:val="24"/>
          <w:szCs w:val="24"/>
          <w:highlight w:val="none"/>
        </w:rPr>
      </w:pPr>
    </w:p>
    <w:p>
      <w:pPr>
        <w:pStyle w:val="30"/>
        <w:tabs>
          <w:tab w:val="left" w:pos="9432"/>
          <w:tab w:val="left" w:pos="9612"/>
        </w:tabs>
        <w:spacing w:after="0" w:line="552" w:lineRule="exact"/>
        <w:ind w:firstLine="0"/>
        <w:rPr>
          <w:color w:val="auto"/>
          <w:sz w:val="24"/>
          <w:szCs w:val="24"/>
          <w:highlight w:val="none"/>
        </w:rPr>
      </w:pPr>
    </w:p>
    <w:p>
      <w:pPr>
        <w:pStyle w:val="30"/>
        <w:tabs>
          <w:tab w:val="left" w:pos="9432"/>
          <w:tab w:val="left" w:pos="9612"/>
        </w:tabs>
        <w:spacing w:after="0" w:line="552" w:lineRule="exact"/>
        <w:ind w:firstLine="3120" w:firstLineChars="13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30"/>
        <w:tabs>
          <w:tab w:val="left" w:pos="9432"/>
          <w:tab w:val="left" w:pos="9612"/>
        </w:tabs>
        <w:spacing w:after="0" w:line="552" w:lineRule="exact"/>
        <w:ind w:firstLine="3120" w:firstLineChars="13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30"/>
        <w:tabs>
          <w:tab w:val="left" w:pos="9432"/>
          <w:tab w:val="left" w:pos="9612"/>
        </w:tabs>
        <w:spacing w:after="0" w:line="552" w:lineRule="exact"/>
        <w:ind w:firstLine="0"/>
        <w:rPr>
          <w:color w:val="auto"/>
          <w:sz w:val="24"/>
          <w:szCs w:val="24"/>
          <w:highlight w:val="none"/>
        </w:rPr>
      </w:pPr>
    </w:p>
    <w:p>
      <w:pPr>
        <w:pStyle w:val="30"/>
        <w:tabs>
          <w:tab w:val="left" w:pos="9432"/>
          <w:tab w:val="left" w:pos="9612"/>
        </w:tabs>
        <w:spacing w:after="0" w:line="552" w:lineRule="exact"/>
        <w:ind w:firstLine="0"/>
        <w:rPr>
          <w:color w:val="auto"/>
          <w:sz w:val="24"/>
          <w:szCs w:val="24"/>
          <w:highlight w:val="none"/>
        </w:rPr>
      </w:pPr>
    </w:p>
    <w:p>
      <w:pPr>
        <w:pStyle w:val="34"/>
        <w:spacing w:after="0" w:line="500" w:lineRule="exact"/>
        <w:ind w:firstLine="420" w:firstLineChars="200"/>
        <w:rPr>
          <w:color w:val="auto"/>
          <w:sz w:val="21"/>
          <w:szCs w:val="21"/>
          <w:highlight w:val="none"/>
        </w:rPr>
      </w:pPr>
      <w:r>
        <w:rPr>
          <w:color w:val="auto"/>
          <w:sz w:val="21"/>
          <w:szCs w:val="21"/>
          <w:highlight w:val="none"/>
        </w:rPr>
        <w:t>注：招标人对招标文件有关问题澄清时，适用于本格式。招标人可根据需要将附件二与附件三内容合并发出。</w:t>
      </w:r>
    </w:p>
    <w:p>
      <w:pPr>
        <w:spacing w:line="600" w:lineRule="exact"/>
        <w:rPr>
          <w:rFonts w:ascii="宋体" w:hAnsi="宋体" w:eastAsia="宋体" w:cs="宋体"/>
          <w:color w:val="auto"/>
          <w:highlight w:val="none"/>
        </w:rPr>
      </w:pPr>
      <w:r>
        <w:rPr>
          <w:rFonts w:ascii="宋体" w:hAnsi="宋体" w:eastAsia="宋体" w:cs="宋体"/>
          <w:color w:val="auto"/>
          <w:highlight w:val="none"/>
        </w:rPr>
        <w:br w:type="page"/>
      </w:r>
    </w:p>
    <w:p>
      <w:pPr>
        <w:pStyle w:val="31"/>
        <w:spacing w:after="0" w:line="24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32"/>
        <w:keepNext/>
        <w:keepLines/>
        <w:spacing w:beforeLines="200" w:after="680"/>
        <w:jc w:val="center"/>
        <w:outlineLvl w:val="9"/>
        <w:rPr>
          <w:b/>
          <w:bCs/>
          <w:color w:val="auto"/>
          <w:sz w:val="36"/>
          <w:szCs w:val="36"/>
          <w:highlight w:val="none"/>
        </w:rPr>
      </w:pPr>
      <w:bookmarkStart w:id="297" w:name="bookmark110"/>
      <w:bookmarkStart w:id="298" w:name="_Toc3049"/>
      <w:bookmarkStart w:id="299" w:name="_Toc16635"/>
      <w:bookmarkStart w:id="300" w:name="bookmark112"/>
      <w:bookmarkStart w:id="301" w:name="_Toc28987"/>
      <w:bookmarkStart w:id="302" w:name="bookmark111"/>
      <w:bookmarkStart w:id="303" w:name="_Toc8799"/>
      <w:r>
        <w:rPr>
          <w:b/>
          <w:bCs/>
          <w:color w:val="auto"/>
          <w:sz w:val="36"/>
          <w:szCs w:val="36"/>
          <w:highlight w:val="none"/>
        </w:rPr>
        <w:t>招标文件修改通知</w:t>
      </w:r>
      <w:bookmarkEnd w:id="297"/>
      <w:bookmarkEnd w:id="298"/>
      <w:bookmarkEnd w:id="299"/>
      <w:bookmarkEnd w:id="300"/>
      <w:bookmarkEnd w:id="301"/>
      <w:bookmarkEnd w:id="302"/>
      <w:bookmarkEnd w:id="303"/>
    </w:p>
    <w:p>
      <w:pPr>
        <w:pStyle w:val="33"/>
        <w:keepNext/>
        <w:keepLines/>
        <w:spacing w:beforeLines="100" w:after="1000"/>
        <w:jc w:val="center"/>
        <w:outlineLvl w:val="9"/>
        <w:rPr>
          <w:color w:val="auto"/>
          <w:sz w:val="30"/>
          <w:szCs w:val="30"/>
          <w:highlight w:val="none"/>
        </w:rPr>
      </w:pPr>
      <w:bookmarkStart w:id="304" w:name="_Toc24130"/>
      <w:bookmarkStart w:id="305" w:name="_Toc4658"/>
      <w:bookmarkStart w:id="306" w:name="_Toc7706"/>
      <w:bookmarkStart w:id="307" w:name="_Toc17861"/>
      <w:r>
        <w:rPr>
          <w:color w:val="auto"/>
          <w:sz w:val="30"/>
          <w:szCs w:val="30"/>
          <w:highlight w:val="none"/>
        </w:rPr>
        <w:t>编号：</w:t>
      </w:r>
      <w:bookmarkEnd w:id="304"/>
      <w:bookmarkEnd w:id="305"/>
      <w:bookmarkEnd w:id="306"/>
      <w:bookmarkEnd w:id="307"/>
    </w:p>
    <w:p>
      <w:pPr>
        <w:pStyle w:val="30"/>
        <w:spacing w:after="0" w:line="700" w:lineRule="exact"/>
        <w:ind w:firstLine="0"/>
        <w:rPr>
          <w:color w:val="auto"/>
          <w:sz w:val="24"/>
          <w:szCs w:val="24"/>
          <w:highlight w:val="none"/>
        </w:rPr>
      </w:pPr>
      <w:r>
        <w:rPr>
          <w:color w:val="auto"/>
          <w:sz w:val="24"/>
          <w:szCs w:val="24"/>
          <w:highlight w:val="none"/>
        </w:rPr>
        <w:t>各投标人：</w:t>
      </w:r>
    </w:p>
    <w:p>
      <w:pPr>
        <w:pStyle w:val="30"/>
        <w:tabs>
          <w:tab w:val="left" w:pos="5180"/>
          <w:tab w:val="left" w:pos="8732"/>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30"/>
        <w:spacing w:after="0" w:line="700" w:lineRule="exact"/>
        <w:ind w:firstLine="480" w:firstLineChars="200"/>
        <w:rPr>
          <w:color w:val="auto"/>
          <w:sz w:val="24"/>
          <w:szCs w:val="24"/>
          <w:highlight w:val="none"/>
        </w:rPr>
      </w:pPr>
      <w:r>
        <w:rPr>
          <w:color w:val="auto"/>
          <w:sz w:val="24"/>
          <w:szCs w:val="24"/>
          <w:highlight w:val="none"/>
          <w:lang w:val="en-US" w:eastAsia="zh-CN" w:bidi="en-US"/>
        </w:rPr>
        <w:t>1.</w:t>
      </w:r>
      <w:r>
        <w:rPr>
          <w:color w:val="auto"/>
          <w:sz w:val="24"/>
          <w:szCs w:val="24"/>
          <w:highlight w:val="none"/>
          <w:lang w:val="en-US" w:eastAsia="zh-CN" w:bidi="en-US"/>
        </w:rPr>
        <w:tab/>
      </w:r>
      <w:r>
        <w:rPr>
          <w:rFonts w:hint="eastAsia"/>
          <w:color w:val="auto"/>
          <w:sz w:val="24"/>
          <w:szCs w:val="24"/>
          <w:highlight w:val="none"/>
          <w:lang w:val="en-US" w:eastAsia="zh-CN" w:bidi="en-US"/>
        </w:rPr>
        <w:t>.....</w:t>
      </w:r>
      <w:r>
        <w:rPr>
          <w:color w:val="auto"/>
          <w:sz w:val="24"/>
          <w:szCs w:val="24"/>
          <w:highlight w:val="none"/>
          <w:lang w:val="en-US" w:eastAsia="zh-CN" w:bidi="en-US"/>
        </w:rPr>
        <w:tab/>
      </w:r>
    </w:p>
    <w:p>
      <w:pPr>
        <w:pStyle w:val="30"/>
        <w:tabs>
          <w:tab w:val="left" w:leader="dot" w:pos="1724"/>
          <w:tab w:val="left" w:leader="dot" w:pos="173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w:t>
      </w:r>
    </w:p>
    <w:p>
      <w:pPr>
        <w:pStyle w:val="30"/>
        <w:tabs>
          <w:tab w:val="left" w:pos="9432"/>
          <w:tab w:val="left" w:pos="9612"/>
        </w:tabs>
        <w:spacing w:after="0" w:line="700" w:lineRule="exact"/>
        <w:ind w:firstLine="480" w:firstLineChars="200"/>
        <w:rPr>
          <w:color w:val="auto"/>
          <w:sz w:val="24"/>
          <w:szCs w:val="24"/>
          <w:highlight w:val="none"/>
        </w:rPr>
      </w:pPr>
    </w:p>
    <w:p>
      <w:pPr>
        <w:pStyle w:val="30"/>
        <w:tabs>
          <w:tab w:val="left" w:pos="9432"/>
          <w:tab w:val="left" w:pos="9612"/>
        </w:tabs>
        <w:spacing w:after="0" w:line="700" w:lineRule="exact"/>
        <w:ind w:firstLine="480" w:firstLineChars="200"/>
        <w:rPr>
          <w:color w:val="auto"/>
          <w:sz w:val="24"/>
          <w:szCs w:val="24"/>
          <w:highlight w:val="none"/>
        </w:rPr>
      </w:pPr>
    </w:p>
    <w:p>
      <w:pPr>
        <w:pStyle w:val="30"/>
        <w:tabs>
          <w:tab w:val="left" w:pos="9432"/>
          <w:tab w:val="left" w:pos="9612"/>
        </w:tabs>
        <w:spacing w:after="0" w:line="700" w:lineRule="exact"/>
        <w:ind w:firstLine="480" w:firstLineChars="200"/>
        <w:rPr>
          <w:color w:val="auto"/>
          <w:sz w:val="24"/>
          <w:szCs w:val="24"/>
          <w:highlight w:val="none"/>
        </w:rPr>
      </w:pPr>
    </w:p>
    <w:p>
      <w:pPr>
        <w:pStyle w:val="30"/>
        <w:tabs>
          <w:tab w:val="left" w:pos="9432"/>
          <w:tab w:val="left" w:pos="9612"/>
        </w:tabs>
        <w:spacing w:after="0" w:line="700" w:lineRule="exact"/>
        <w:ind w:firstLine="480" w:firstLineChars="200"/>
        <w:rPr>
          <w:color w:val="auto"/>
          <w:sz w:val="24"/>
          <w:szCs w:val="24"/>
          <w:highlight w:val="none"/>
        </w:rPr>
      </w:pPr>
    </w:p>
    <w:p>
      <w:pPr>
        <w:pStyle w:val="30"/>
        <w:tabs>
          <w:tab w:val="left" w:pos="9432"/>
          <w:tab w:val="left" w:pos="9612"/>
        </w:tabs>
        <w:spacing w:after="0" w:line="700" w:lineRule="exact"/>
        <w:ind w:firstLine="480" w:firstLineChars="200"/>
        <w:rPr>
          <w:color w:val="auto"/>
          <w:sz w:val="24"/>
          <w:szCs w:val="24"/>
          <w:highlight w:val="none"/>
        </w:rPr>
      </w:pPr>
    </w:p>
    <w:p>
      <w:pPr>
        <w:pStyle w:val="30"/>
        <w:tabs>
          <w:tab w:val="left" w:pos="9432"/>
          <w:tab w:val="left" w:pos="9612"/>
        </w:tabs>
        <w:spacing w:after="0" w:line="700" w:lineRule="exact"/>
        <w:ind w:firstLine="480" w:firstLineChars="2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30"/>
        <w:tabs>
          <w:tab w:val="left" w:pos="9432"/>
          <w:tab w:val="left" w:pos="9612"/>
        </w:tabs>
        <w:spacing w:after="0" w:line="700" w:lineRule="exact"/>
        <w:ind w:firstLine="480" w:firstLineChars="2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30"/>
        <w:tabs>
          <w:tab w:val="left" w:pos="9432"/>
          <w:tab w:val="left" w:pos="9612"/>
        </w:tabs>
        <w:spacing w:after="0" w:line="700" w:lineRule="exact"/>
        <w:ind w:firstLine="480" w:firstLineChars="200"/>
        <w:rPr>
          <w:color w:val="auto"/>
          <w:sz w:val="24"/>
          <w:szCs w:val="24"/>
          <w:highlight w:val="none"/>
        </w:rPr>
      </w:pPr>
    </w:p>
    <w:p>
      <w:pPr>
        <w:pStyle w:val="30"/>
        <w:tabs>
          <w:tab w:val="left" w:pos="9432"/>
          <w:tab w:val="left" w:pos="9612"/>
        </w:tabs>
        <w:spacing w:after="0" w:line="552" w:lineRule="exact"/>
        <w:ind w:firstLine="0"/>
        <w:rPr>
          <w:color w:val="auto"/>
          <w:sz w:val="24"/>
          <w:szCs w:val="24"/>
          <w:highlight w:val="none"/>
        </w:rPr>
      </w:pPr>
    </w:p>
    <w:p>
      <w:pPr>
        <w:pStyle w:val="34"/>
        <w:spacing w:after="0" w:line="500" w:lineRule="exact"/>
        <w:ind w:firstLine="420" w:firstLineChars="200"/>
        <w:rPr>
          <w:color w:val="auto"/>
          <w:sz w:val="21"/>
          <w:szCs w:val="21"/>
          <w:highlight w:val="none"/>
        </w:rPr>
      </w:pPr>
      <w:r>
        <w:rPr>
          <w:color w:val="auto"/>
          <w:sz w:val="21"/>
          <w:szCs w:val="21"/>
          <w:highlight w:val="none"/>
        </w:rPr>
        <w:t>注：招标人对招标文件修改时，适用于本格式</w:t>
      </w:r>
      <w:r>
        <w:rPr>
          <w:color w:val="auto"/>
          <w:sz w:val="21"/>
          <w:szCs w:val="21"/>
          <w:highlight w:val="none"/>
        </w:rPr>
        <w:br w:type="page"/>
      </w:r>
    </w:p>
    <w:p>
      <w:pPr>
        <w:pStyle w:val="31"/>
        <w:spacing w:after="0" w:line="24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32"/>
        <w:keepNext/>
        <w:keepLines/>
        <w:spacing w:beforeLines="200" w:after="680"/>
        <w:jc w:val="center"/>
        <w:outlineLvl w:val="9"/>
        <w:rPr>
          <w:b/>
          <w:bCs/>
          <w:color w:val="auto"/>
          <w:sz w:val="36"/>
          <w:szCs w:val="36"/>
          <w:highlight w:val="none"/>
        </w:rPr>
      </w:pPr>
      <w:bookmarkStart w:id="308" w:name="bookmark113"/>
      <w:bookmarkStart w:id="309" w:name="bookmark114"/>
      <w:bookmarkStart w:id="310" w:name="_Toc8840"/>
      <w:bookmarkStart w:id="311" w:name="_Toc20011"/>
      <w:bookmarkStart w:id="312" w:name="_Toc27448"/>
      <w:bookmarkStart w:id="313" w:name="bookmark115"/>
      <w:bookmarkStart w:id="314" w:name="_Toc7362"/>
      <w:r>
        <w:rPr>
          <w:b/>
          <w:bCs/>
          <w:color w:val="auto"/>
          <w:sz w:val="36"/>
          <w:szCs w:val="36"/>
          <w:highlight w:val="none"/>
        </w:rPr>
        <w:t>开</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记</w:t>
      </w:r>
      <w:r>
        <w:rPr>
          <w:rFonts w:hint="eastAsia"/>
          <w:b/>
          <w:bCs/>
          <w:color w:val="auto"/>
          <w:sz w:val="36"/>
          <w:szCs w:val="36"/>
          <w:highlight w:val="none"/>
          <w:lang w:val="en-US" w:eastAsia="zh-CN"/>
        </w:rPr>
        <w:t xml:space="preserve"> </w:t>
      </w:r>
      <w:r>
        <w:rPr>
          <w:b/>
          <w:bCs/>
          <w:color w:val="auto"/>
          <w:sz w:val="36"/>
          <w:szCs w:val="36"/>
          <w:highlight w:val="none"/>
        </w:rPr>
        <w:t>录</w:t>
      </w:r>
      <w:r>
        <w:rPr>
          <w:rFonts w:hint="eastAsia"/>
          <w:b/>
          <w:bCs/>
          <w:color w:val="auto"/>
          <w:sz w:val="36"/>
          <w:szCs w:val="36"/>
          <w:highlight w:val="none"/>
          <w:lang w:val="en-US" w:eastAsia="zh-CN"/>
        </w:rPr>
        <w:t xml:space="preserve"> </w:t>
      </w:r>
      <w:r>
        <w:rPr>
          <w:b/>
          <w:bCs/>
          <w:color w:val="auto"/>
          <w:sz w:val="36"/>
          <w:szCs w:val="36"/>
          <w:highlight w:val="none"/>
        </w:rPr>
        <w:t>表</w:t>
      </w:r>
      <w:bookmarkEnd w:id="308"/>
      <w:bookmarkEnd w:id="309"/>
      <w:bookmarkEnd w:id="310"/>
      <w:bookmarkEnd w:id="311"/>
      <w:bookmarkEnd w:id="312"/>
      <w:bookmarkEnd w:id="313"/>
      <w:bookmarkEnd w:id="314"/>
    </w:p>
    <w:p>
      <w:pPr>
        <w:pStyle w:val="35"/>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w:t>
      </w:r>
    </w:p>
    <w:p>
      <w:pPr>
        <w:pStyle w:val="35"/>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1"/>
          <w:szCs w:val="21"/>
          <w:highlight w:val="none"/>
        </w:rPr>
      </w:pPr>
      <w:r>
        <w:rPr>
          <w:color w:val="auto"/>
          <w:sz w:val="21"/>
          <w:szCs w:val="21"/>
          <w:highlight w:val="none"/>
        </w:rPr>
        <w:t>开标时间：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tbl>
      <w:tblPr>
        <w:tblStyle w:val="22"/>
        <w:tblW w:w="9821" w:type="dxa"/>
        <w:jc w:val="center"/>
        <w:tblLayout w:type="fixed"/>
        <w:tblCellMar>
          <w:top w:w="0" w:type="dxa"/>
          <w:left w:w="108" w:type="dxa"/>
          <w:bottom w:w="0" w:type="dxa"/>
          <w:right w:w="108" w:type="dxa"/>
        </w:tblCellMar>
      </w:tblPr>
      <w:tblGrid>
        <w:gridCol w:w="732"/>
        <w:gridCol w:w="1114"/>
        <w:gridCol w:w="1137"/>
        <w:gridCol w:w="1399"/>
        <w:gridCol w:w="852"/>
        <w:gridCol w:w="841"/>
        <w:gridCol w:w="1290"/>
        <w:gridCol w:w="1220"/>
        <w:gridCol w:w="1236"/>
      </w:tblGrid>
      <w:tr>
        <w:tblPrEx>
          <w:tblCellMar>
            <w:top w:w="0" w:type="dxa"/>
            <w:left w:w="108" w:type="dxa"/>
            <w:bottom w:w="0" w:type="dxa"/>
            <w:right w:w="108" w:type="dxa"/>
          </w:tblCellMar>
        </w:tblPrEx>
        <w:trPr>
          <w:trHeight w:val="803" w:hRule="exact"/>
          <w:jc w:val="center"/>
        </w:trPr>
        <w:tc>
          <w:tcPr>
            <w:tcW w:w="73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序号</w:t>
            </w:r>
          </w:p>
        </w:tc>
        <w:tc>
          <w:tcPr>
            <w:tcW w:w="1114"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投标人</w:t>
            </w:r>
          </w:p>
        </w:tc>
        <w:tc>
          <w:tcPr>
            <w:tcW w:w="1137"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投标</w:t>
            </w:r>
          </w:p>
          <w:p>
            <w:pPr>
              <w:pStyle w:val="36"/>
              <w:spacing w:after="0" w:line="360" w:lineRule="exact"/>
              <w:ind w:firstLine="0"/>
              <w:jc w:val="center"/>
              <w:rPr>
                <w:color w:val="auto"/>
                <w:sz w:val="21"/>
                <w:szCs w:val="21"/>
                <w:highlight w:val="none"/>
              </w:rPr>
            </w:pPr>
            <w:r>
              <w:rPr>
                <w:rFonts w:hint="eastAsia"/>
                <w:color w:val="auto"/>
                <w:sz w:val="21"/>
                <w:szCs w:val="21"/>
                <w:highlight w:val="none"/>
              </w:rPr>
              <w:t>保证金</w:t>
            </w:r>
          </w:p>
        </w:tc>
        <w:tc>
          <w:tcPr>
            <w:tcW w:w="1399"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投标报价</w:t>
            </w:r>
          </w:p>
          <w:p>
            <w:pPr>
              <w:pStyle w:val="36"/>
              <w:spacing w:after="0" w:line="360"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元）</w:t>
            </w:r>
          </w:p>
        </w:tc>
        <w:tc>
          <w:tcPr>
            <w:tcW w:w="85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质量</w:t>
            </w:r>
          </w:p>
          <w:p>
            <w:pPr>
              <w:pStyle w:val="36"/>
              <w:spacing w:after="0" w:line="360" w:lineRule="exact"/>
              <w:ind w:firstLine="0"/>
              <w:jc w:val="center"/>
              <w:rPr>
                <w:color w:val="auto"/>
                <w:sz w:val="21"/>
                <w:szCs w:val="21"/>
                <w:highlight w:val="none"/>
              </w:rPr>
            </w:pPr>
            <w:r>
              <w:rPr>
                <w:rFonts w:hint="eastAsia"/>
                <w:color w:val="auto"/>
                <w:sz w:val="21"/>
                <w:szCs w:val="21"/>
                <w:highlight w:val="none"/>
              </w:rPr>
              <w:t>目标</w:t>
            </w:r>
          </w:p>
        </w:tc>
        <w:tc>
          <w:tcPr>
            <w:tcW w:w="841"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工期</w:t>
            </w:r>
          </w:p>
        </w:tc>
        <w:tc>
          <w:tcPr>
            <w:tcW w:w="1290"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项目负责人</w:t>
            </w:r>
          </w:p>
        </w:tc>
        <w:tc>
          <w:tcPr>
            <w:tcW w:w="1220" w:type="dxa"/>
            <w:tcBorders>
              <w:top w:val="single" w:color="auto" w:sz="4" w:space="0"/>
              <w:left w:val="single" w:color="auto" w:sz="4" w:space="0"/>
            </w:tcBorders>
            <w:shd w:val="clear" w:color="auto" w:fill="FFFFFF"/>
            <w:vAlign w:val="center"/>
          </w:tcPr>
          <w:p>
            <w:pPr>
              <w:pStyle w:val="36"/>
              <w:spacing w:after="0" w:line="360" w:lineRule="exact"/>
              <w:ind w:right="140" w:firstLine="0"/>
              <w:jc w:val="center"/>
              <w:rPr>
                <w:color w:val="auto"/>
                <w:sz w:val="21"/>
                <w:szCs w:val="21"/>
                <w:highlight w:val="none"/>
                <w:lang w:val="en-US" w:eastAsia="zh-CN"/>
              </w:rPr>
            </w:pPr>
            <w:r>
              <w:rPr>
                <w:rFonts w:hint="eastAsia"/>
                <w:color w:val="auto"/>
                <w:sz w:val="21"/>
                <w:szCs w:val="21"/>
                <w:highlight w:val="none"/>
              </w:rPr>
              <w:t>标书备</w:t>
            </w:r>
            <w:r>
              <w:rPr>
                <w:rFonts w:hint="eastAsia"/>
                <w:color w:val="auto"/>
                <w:sz w:val="21"/>
                <w:szCs w:val="21"/>
                <w:highlight w:val="none"/>
                <w:lang w:val="en-US" w:eastAsia="zh-CN"/>
              </w:rPr>
              <w:t>注</w:t>
            </w:r>
          </w:p>
        </w:tc>
        <w:tc>
          <w:tcPr>
            <w:tcW w:w="1236" w:type="dxa"/>
            <w:tcBorders>
              <w:top w:val="single" w:color="auto" w:sz="4" w:space="0"/>
              <w:left w:val="single" w:color="auto" w:sz="4" w:space="0"/>
              <w:righ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开标备注</w:t>
            </w: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2983" w:type="dxa"/>
            <w:gridSpan w:val="3"/>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220"/>
              <w:jc w:val="center"/>
              <w:rPr>
                <w:color w:val="auto"/>
                <w:sz w:val="21"/>
                <w:szCs w:val="21"/>
                <w:highlight w:val="none"/>
              </w:rPr>
            </w:pPr>
            <w:r>
              <w:rPr>
                <w:rFonts w:hint="eastAsia"/>
                <w:color w:val="auto"/>
                <w:sz w:val="21"/>
                <w:szCs w:val="21"/>
                <w:highlight w:val="none"/>
              </w:rPr>
              <w:t>招标人最高投标限价</w:t>
            </w:r>
          </w:p>
        </w:tc>
        <w:tc>
          <w:tcPr>
            <w:tcW w:w="1399"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52"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4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9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2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pStyle w:val="35"/>
        <w:tabs>
          <w:tab w:val="left" w:pos="8016"/>
          <w:tab w:val="left" w:pos="8340"/>
          <w:tab w:val="left" w:pos="8940"/>
          <w:tab w:val="left" w:pos="9276"/>
          <w:tab w:val="left" w:pos="9864"/>
          <w:tab w:val="left" w:pos="10200"/>
          <w:tab w:val="left" w:pos="10788"/>
          <w:tab w:val="left" w:pos="11124"/>
          <w:tab w:val="left" w:pos="11724"/>
        </w:tabs>
        <w:spacing w:line="500" w:lineRule="exact"/>
        <w:ind w:firstLine="2730" w:firstLineChars="1300"/>
        <w:rPr>
          <w:color w:val="auto"/>
          <w:sz w:val="21"/>
          <w:szCs w:val="21"/>
          <w:highlight w:val="none"/>
          <w:lang w:val="en-US"/>
        </w:rPr>
      </w:pPr>
      <w:r>
        <w:rPr>
          <w:color w:val="auto"/>
          <w:sz w:val="21"/>
          <w:szCs w:val="21"/>
          <w:highlight w:val="none"/>
        </w:rPr>
        <w:t>开标结束时间：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p>
      <w:pPr>
        <w:pStyle w:val="35"/>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p>
    <w:p>
      <w:pPr>
        <w:pStyle w:val="34"/>
        <w:tabs>
          <w:tab w:val="left" w:pos="3636"/>
        </w:tabs>
        <w:spacing w:after="0" w:line="500" w:lineRule="exact"/>
        <w:jc w:val="both"/>
        <w:rPr>
          <w:color w:val="auto"/>
          <w:sz w:val="21"/>
          <w:szCs w:val="21"/>
          <w:highlight w:val="none"/>
        </w:rPr>
      </w:pPr>
      <w:r>
        <w:rPr>
          <w:color w:val="auto"/>
          <w:sz w:val="21"/>
          <w:szCs w:val="21"/>
          <w:highlight w:val="none"/>
        </w:rPr>
        <w:t>招标人代表：</w:t>
      </w:r>
      <w:r>
        <w:rPr>
          <w:color w:val="auto"/>
          <w:sz w:val="21"/>
          <w:szCs w:val="21"/>
          <w:highlight w:val="none"/>
          <w:u w:val="single"/>
        </w:rPr>
        <w:tab/>
      </w:r>
    </w:p>
    <w:p>
      <w:pPr>
        <w:pStyle w:val="34"/>
        <w:tabs>
          <w:tab w:val="left" w:pos="3648"/>
        </w:tabs>
        <w:spacing w:after="0" w:line="500" w:lineRule="exact"/>
        <w:jc w:val="both"/>
        <w:rPr>
          <w:color w:val="auto"/>
          <w:sz w:val="21"/>
          <w:szCs w:val="21"/>
          <w:highlight w:val="none"/>
          <w:u w:val="single"/>
        </w:rPr>
      </w:pPr>
      <w:r>
        <w:rPr>
          <w:color w:val="auto"/>
          <w:sz w:val="21"/>
          <w:szCs w:val="21"/>
          <w:highlight w:val="none"/>
        </w:rPr>
        <w:t>记录人：</w:t>
      </w:r>
      <w:r>
        <w:rPr>
          <w:color w:val="auto"/>
          <w:sz w:val="21"/>
          <w:szCs w:val="21"/>
          <w:highlight w:val="none"/>
          <w:u w:val="single"/>
        </w:rPr>
        <w:tab/>
      </w:r>
    </w:p>
    <w:p>
      <w:pPr>
        <w:pStyle w:val="34"/>
        <w:tabs>
          <w:tab w:val="left" w:pos="3648"/>
        </w:tabs>
        <w:spacing w:after="0" w:line="500" w:lineRule="exact"/>
        <w:jc w:val="both"/>
        <w:rPr>
          <w:color w:val="auto"/>
          <w:sz w:val="21"/>
          <w:szCs w:val="21"/>
          <w:highlight w:val="none"/>
          <w:u w:val="single"/>
          <w:lang w:val="en-US" w:eastAsia="zh-CN"/>
        </w:rPr>
      </w:pPr>
      <w:r>
        <w:rPr>
          <w:color w:val="auto"/>
          <w:sz w:val="21"/>
          <w:szCs w:val="21"/>
          <w:highlight w:val="none"/>
        </w:rPr>
        <w:t>监标人：</w:t>
      </w:r>
      <w:r>
        <w:rPr>
          <w:color w:val="auto"/>
          <w:sz w:val="21"/>
          <w:szCs w:val="21"/>
          <w:highlight w:val="none"/>
          <w:u w:val="single"/>
        </w:rPr>
        <w:tab/>
      </w:r>
      <w:r>
        <w:rPr>
          <w:rFonts w:hint="eastAsia"/>
          <w:color w:val="auto"/>
          <w:sz w:val="21"/>
          <w:szCs w:val="21"/>
          <w:highlight w:val="none"/>
          <w:u w:val="single"/>
          <w:lang w:val="en-US" w:eastAsia="zh-CN"/>
        </w:rPr>
        <w:t xml:space="preserve">         </w:t>
      </w:r>
    </w:p>
    <w:p>
      <w:pPr>
        <w:pStyle w:val="34"/>
        <w:tabs>
          <w:tab w:val="left" w:pos="3648"/>
        </w:tabs>
        <w:spacing w:after="0" w:line="500" w:lineRule="exact"/>
        <w:jc w:val="right"/>
        <w:rPr>
          <w:color w:val="auto"/>
          <w:sz w:val="24"/>
          <w:szCs w:val="24"/>
          <w:highlight w:val="none"/>
          <w:u w:val="single"/>
          <w:lang w:val="en-US" w:eastAsia="zh-CN"/>
        </w:rPr>
      </w:pPr>
    </w:p>
    <w:p>
      <w:pPr>
        <w:pStyle w:val="34"/>
        <w:tabs>
          <w:tab w:val="left" w:pos="3648"/>
        </w:tabs>
        <w:spacing w:after="0" w:line="500" w:lineRule="exact"/>
        <w:jc w:val="right"/>
        <w:rPr>
          <w:color w:val="auto"/>
          <w:sz w:val="21"/>
          <w:szCs w:val="21"/>
          <w:highlight w:val="none"/>
          <w:u w:val="single"/>
          <w:lang w:val="en-US" w:eastAsia="zh-CN"/>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4"/>
        <w:spacing w:after="0" w:line="500" w:lineRule="exact"/>
        <w:ind w:firstLine="420" w:firstLineChars="200"/>
        <w:rPr>
          <w:color w:val="auto"/>
          <w:sz w:val="21"/>
          <w:szCs w:val="21"/>
          <w:highlight w:val="none"/>
        </w:rPr>
      </w:pPr>
    </w:p>
    <w:p>
      <w:pPr>
        <w:pStyle w:val="34"/>
        <w:spacing w:after="0" w:line="500" w:lineRule="exact"/>
        <w:ind w:firstLine="420" w:firstLineChars="200"/>
        <w:rPr>
          <w:color w:val="auto"/>
          <w:sz w:val="21"/>
          <w:szCs w:val="21"/>
          <w:highlight w:val="none"/>
        </w:rPr>
        <w:sectPr>
          <w:footerReference r:id="rId10" w:type="default"/>
          <w:footerReference r:id="rId11" w:type="even"/>
          <w:pgSz w:w="11905" w:h="16838"/>
          <w:pgMar w:top="1247" w:right="1417" w:bottom="1247" w:left="1417" w:header="0" w:footer="850" w:gutter="0"/>
          <w:cols w:space="0" w:num="1"/>
          <w:docGrid w:linePitch="360" w:charSpace="0"/>
        </w:sectPr>
      </w:pPr>
      <w:r>
        <w:rPr>
          <w:color w:val="auto"/>
          <w:sz w:val="21"/>
          <w:szCs w:val="21"/>
          <w:highlight w:val="none"/>
        </w:rPr>
        <w:t>注：可以根据招标项目的实际需要对本开标记录表进行适当修改。</w:t>
      </w:r>
    </w:p>
    <w:p>
      <w:pPr>
        <w:pStyle w:val="31"/>
        <w:spacing w:after="0" w:line="240" w:lineRule="exact"/>
        <w:rPr>
          <w:color w:val="auto"/>
          <w:sz w:val="21"/>
          <w:szCs w:val="21"/>
          <w:highlight w:val="none"/>
          <w:lang w:eastAsia="zh-CN"/>
        </w:rPr>
      </w:pPr>
      <w:bookmarkStart w:id="315" w:name="bookmark116"/>
      <w:bookmarkStart w:id="316" w:name="bookmark117"/>
      <w:bookmarkStart w:id="317" w:name="bookmark118"/>
      <w:r>
        <w:rPr>
          <w:color w:val="auto"/>
          <w:sz w:val="21"/>
          <w:szCs w:val="21"/>
          <w:highlight w:val="none"/>
        </w:rPr>
        <w:t>附件五</w:t>
      </w:r>
      <w:bookmarkEnd w:id="315"/>
      <w:bookmarkEnd w:id="316"/>
      <w:bookmarkEnd w:id="317"/>
      <w:r>
        <w:rPr>
          <w:rFonts w:hint="eastAsia"/>
          <w:color w:val="auto"/>
          <w:sz w:val="21"/>
          <w:szCs w:val="21"/>
          <w:highlight w:val="none"/>
          <w:lang w:eastAsia="zh-CN"/>
        </w:rPr>
        <w:t>：</w:t>
      </w:r>
    </w:p>
    <w:p>
      <w:pPr>
        <w:pStyle w:val="32"/>
        <w:keepNext/>
        <w:keepLines/>
        <w:spacing w:beforeLines="200" w:after="680"/>
        <w:jc w:val="center"/>
        <w:outlineLvl w:val="9"/>
        <w:rPr>
          <w:b/>
          <w:bCs/>
          <w:color w:val="auto"/>
          <w:sz w:val="36"/>
          <w:szCs w:val="36"/>
          <w:highlight w:val="none"/>
        </w:rPr>
      </w:pPr>
      <w:bookmarkStart w:id="318" w:name="bookmark121"/>
      <w:bookmarkStart w:id="319" w:name="bookmark120"/>
      <w:bookmarkStart w:id="320" w:name="bookmark119"/>
      <w:bookmarkStart w:id="321" w:name="_Toc23394"/>
      <w:bookmarkStart w:id="322" w:name="_Toc295"/>
      <w:bookmarkStart w:id="323" w:name="_Toc21595"/>
      <w:bookmarkStart w:id="324" w:name="_Toc22569"/>
      <w:r>
        <w:rPr>
          <w:b/>
          <w:bCs/>
          <w:color w:val="auto"/>
          <w:sz w:val="36"/>
          <w:szCs w:val="36"/>
          <w:highlight w:val="none"/>
        </w:rPr>
        <w:t>中</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通</w:t>
      </w:r>
      <w:r>
        <w:rPr>
          <w:rFonts w:hint="eastAsia"/>
          <w:b/>
          <w:bCs/>
          <w:color w:val="auto"/>
          <w:sz w:val="36"/>
          <w:szCs w:val="36"/>
          <w:highlight w:val="none"/>
          <w:lang w:val="en-US" w:eastAsia="zh-CN"/>
        </w:rPr>
        <w:t xml:space="preserve"> </w:t>
      </w:r>
      <w:r>
        <w:rPr>
          <w:b/>
          <w:bCs/>
          <w:color w:val="auto"/>
          <w:sz w:val="36"/>
          <w:szCs w:val="36"/>
          <w:highlight w:val="none"/>
        </w:rPr>
        <w:t>知</w:t>
      </w:r>
      <w:r>
        <w:rPr>
          <w:rFonts w:hint="eastAsia"/>
          <w:b/>
          <w:bCs/>
          <w:color w:val="auto"/>
          <w:sz w:val="36"/>
          <w:szCs w:val="36"/>
          <w:highlight w:val="none"/>
          <w:lang w:val="en-US" w:eastAsia="zh-CN"/>
        </w:rPr>
        <w:t xml:space="preserve"> </w:t>
      </w:r>
      <w:r>
        <w:rPr>
          <w:b/>
          <w:bCs/>
          <w:color w:val="auto"/>
          <w:sz w:val="36"/>
          <w:szCs w:val="36"/>
          <w:highlight w:val="none"/>
        </w:rPr>
        <w:t>书</w:t>
      </w:r>
      <w:bookmarkEnd w:id="318"/>
      <w:bookmarkEnd w:id="319"/>
      <w:bookmarkEnd w:id="320"/>
      <w:bookmarkEnd w:id="321"/>
      <w:bookmarkEnd w:id="322"/>
      <w:bookmarkEnd w:id="323"/>
      <w:bookmarkEnd w:id="324"/>
    </w:p>
    <w:p>
      <w:pPr>
        <w:pStyle w:val="33"/>
        <w:keepNext/>
        <w:keepLines/>
        <w:spacing w:beforeLines="100" w:after="1000"/>
        <w:jc w:val="center"/>
        <w:outlineLvl w:val="9"/>
        <w:rPr>
          <w:color w:val="auto"/>
          <w:sz w:val="21"/>
          <w:szCs w:val="21"/>
          <w:highlight w:val="none"/>
        </w:rPr>
      </w:pPr>
      <w:bookmarkStart w:id="325" w:name="_Toc1130"/>
      <w:bookmarkStart w:id="326" w:name="_Toc6432"/>
      <w:bookmarkStart w:id="327" w:name="_Toc16470"/>
      <w:bookmarkStart w:id="328" w:name="bookmark123"/>
      <w:bookmarkStart w:id="329" w:name="bookmark124"/>
      <w:bookmarkStart w:id="330" w:name="bookmark122"/>
      <w:bookmarkStart w:id="331" w:name="_Toc2753"/>
      <w:r>
        <w:rPr>
          <w:color w:val="auto"/>
          <w:sz w:val="21"/>
          <w:szCs w:val="21"/>
          <w:highlight w:val="none"/>
        </w:rPr>
        <w:t>编号：</w:t>
      </w:r>
      <w:bookmarkEnd w:id="325"/>
      <w:bookmarkEnd w:id="326"/>
      <w:bookmarkEnd w:id="327"/>
      <w:bookmarkEnd w:id="328"/>
      <w:bookmarkEnd w:id="329"/>
      <w:bookmarkEnd w:id="330"/>
      <w:bookmarkEnd w:id="331"/>
    </w:p>
    <w:p>
      <w:pPr>
        <w:pStyle w:val="30"/>
        <w:tabs>
          <w:tab w:val="left" w:pos="2796"/>
        </w:tabs>
        <w:spacing w:after="0" w:line="5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中标单位名称）：</w:t>
      </w:r>
    </w:p>
    <w:p>
      <w:pPr>
        <w:pStyle w:val="30"/>
        <w:tabs>
          <w:tab w:val="left" w:pos="488"/>
          <w:tab w:val="left" w:pos="1004"/>
          <w:tab w:val="left" w:pos="5420"/>
        </w:tabs>
        <w:spacing w:after="0" w:line="500" w:lineRule="exact"/>
        <w:ind w:left="-420" w:leftChars="-200" w:firstLine="820"/>
        <w:jc w:val="both"/>
        <w:rPr>
          <w:color w:val="auto"/>
          <w:sz w:val="21"/>
          <w:szCs w:val="21"/>
          <w:highlight w:val="none"/>
        </w:rPr>
      </w:pPr>
      <w:r>
        <w:rPr>
          <w:color w:val="auto"/>
          <w:sz w:val="21"/>
          <w:szCs w:val="21"/>
          <w:highlight w:val="none"/>
        </w:rPr>
        <w:t>你方于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标段名称）投标文件已被我方接受，并被确定为中标人。</w:t>
      </w:r>
    </w:p>
    <w:p>
      <w:pPr>
        <w:pStyle w:val="30"/>
        <w:tabs>
          <w:tab w:val="left" w:pos="3592"/>
        </w:tabs>
        <w:spacing w:after="0" w:line="500" w:lineRule="exact"/>
        <w:ind w:firstLine="700"/>
        <w:jc w:val="both"/>
        <w:rPr>
          <w:color w:val="auto"/>
          <w:sz w:val="21"/>
          <w:szCs w:val="21"/>
          <w:highlight w:val="none"/>
        </w:rPr>
      </w:pPr>
      <w:r>
        <w:rPr>
          <w:color w:val="auto"/>
          <w:sz w:val="21"/>
          <w:szCs w:val="21"/>
          <w:highlight w:val="none"/>
        </w:rPr>
        <w:t>中标价：</w:t>
      </w:r>
      <w:r>
        <w:rPr>
          <w:color w:val="auto"/>
          <w:sz w:val="21"/>
          <w:szCs w:val="21"/>
          <w:highlight w:val="none"/>
          <w:u w:val="single"/>
        </w:rPr>
        <w:tab/>
      </w:r>
      <w:r>
        <w:rPr>
          <w:color w:val="auto"/>
          <w:sz w:val="21"/>
          <w:szCs w:val="21"/>
          <w:highlight w:val="none"/>
        </w:rPr>
        <w:t>元。</w:t>
      </w:r>
    </w:p>
    <w:p>
      <w:pPr>
        <w:pStyle w:val="30"/>
        <w:tabs>
          <w:tab w:val="left" w:pos="3796"/>
        </w:tabs>
        <w:spacing w:after="0" w:line="500" w:lineRule="exact"/>
        <w:ind w:firstLine="700"/>
        <w:jc w:val="both"/>
        <w:rPr>
          <w:color w:val="auto"/>
          <w:sz w:val="21"/>
          <w:szCs w:val="21"/>
          <w:highlight w:val="none"/>
        </w:rPr>
      </w:pPr>
      <w:r>
        <w:rPr>
          <w:color w:val="auto"/>
          <w:sz w:val="21"/>
          <w:szCs w:val="21"/>
          <w:highlight w:val="none"/>
        </w:rPr>
        <w:t>工期：</w:t>
      </w:r>
      <w:r>
        <w:rPr>
          <w:color w:val="auto"/>
          <w:sz w:val="21"/>
          <w:szCs w:val="21"/>
          <w:highlight w:val="none"/>
          <w:u w:val="single"/>
        </w:rPr>
        <w:tab/>
      </w:r>
      <w:r>
        <w:rPr>
          <w:color w:val="auto"/>
          <w:sz w:val="21"/>
          <w:szCs w:val="21"/>
          <w:highlight w:val="none"/>
        </w:rPr>
        <w:t>个月</w:t>
      </w:r>
      <w:r>
        <w:rPr>
          <w:rFonts w:hint="eastAsia"/>
          <w:color w:val="auto"/>
          <w:sz w:val="21"/>
          <w:szCs w:val="21"/>
          <w:highlight w:val="none"/>
          <w:lang w:eastAsia="zh-CN"/>
        </w:rPr>
        <w:t>（</w:t>
      </w:r>
      <w:r>
        <w:rPr>
          <w:color w:val="auto"/>
          <w:sz w:val="21"/>
          <w:szCs w:val="21"/>
          <w:highlight w:val="none"/>
        </w:rPr>
        <w:t>或曰历天）。</w:t>
      </w:r>
    </w:p>
    <w:p>
      <w:pPr>
        <w:pStyle w:val="30"/>
        <w:tabs>
          <w:tab w:val="left" w:pos="4480"/>
        </w:tabs>
        <w:spacing w:after="0" w:line="500" w:lineRule="exact"/>
        <w:ind w:firstLine="700"/>
        <w:jc w:val="both"/>
        <w:rPr>
          <w:color w:val="auto"/>
          <w:sz w:val="21"/>
          <w:szCs w:val="21"/>
          <w:highlight w:val="none"/>
        </w:rPr>
      </w:pPr>
      <w:r>
        <w:rPr>
          <w:color w:val="auto"/>
          <w:sz w:val="21"/>
          <w:szCs w:val="21"/>
          <w:highlight w:val="none"/>
        </w:rPr>
        <w:t>工程质量：符合</w:t>
      </w:r>
      <w:r>
        <w:rPr>
          <w:color w:val="auto"/>
          <w:sz w:val="21"/>
          <w:szCs w:val="21"/>
          <w:highlight w:val="none"/>
          <w:u w:val="single"/>
        </w:rPr>
        <w:tab/>
      </w:r>
      <w:r>
        <w:rPr>
          <w:color w:val="auto"/>
          <w:sz w:val="21"/>
          <w:szCs w:val="21"/>
          <w:highlight w:val="none"/>
        </w:rPr>
        <w:t>标准。</w:t>
      </w:r>
    </w:p>
    <w:p>
      <w:pPr>
        <w:pStyle w:val="30"/>
        <w:tabs>
          <w:tab w:val="left" w:pos="4840"/>
        </w:tabs>
        <w:spacing w:after="0" w:line="500" w:lineRule="exact"/>
        <w:ind w:firstLine="700"/>
        <w:jc w:val="both"/>
        <w:rPr>
          <w:color w:val="auto"/>
          <w:sz w:val="21"/>
          <w:szCs w:val="21"/>
          <w:highlight w:val="none"/>
        </w:rPr>
      </w:pPr>
      <w:r>
        <w:rPr>
          <w:color w:val="auto"/>
          <w:sz w:val="21"/>
          <w:szCs w:val="21"/>
          <w:highlight w:val="none"/>
        </w:rPr>
        <w:t>项目负责人：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30"/>
        <w:tabs>
          <w:tab w:val="left" w:pos="4840"/>
        </w:tabs>
        <w:spacing w:after="0" w:line="500" w:lineRule="exact"/>
        <w:ind w:firstLine="700"/>
        <w:jc w:val="both"/>
        <w:rPr>
          <w:color w:val="auto"/>
          <w:sz w:val="21"/>
          <w:szCs w:val="21"/>
          <w:highlight w:val="none"/>
          <w:lang w:eastAsia="zh-CN"/>
        </w:rPr>
      </w:pPr>
      <w:r>
        <w:rPr>
          <w:color w:val="auto"/>
          <w:sz w:val="21"/>
          <w:szCs w:val="21"/>
          <w:highlight w:val="none"/>
        </w:rPr>
        <w:t>技术负责人：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30"/>
        <w:tabs>
          <w:tab w:val="left" w:pos="4840"/>
        </w:tabs>
        <w:spacing w:after="0" w:line="500" w:lineRule="exact"/>
        <w:ind w:firstLine="700"/>
        <w:jc w:val="both"/>
        <w:rPr>
          <w:color w:val="auto"/>
          <w:sz w:val="21"/>
          <w:szCs w:val="21"/>
          <w:highlight w:val="none"/>
        </w:rPr>
      </w:pPr>
      <w:r>
        <w:rPr>
          <w:color w:val="auto"/>
          <w:sz w:val="21"/>
          <w:szCs w:val="21"/>
          <w:highlight w:val="none"/>
        </w:rPr>
        <w:t>请你方在接到本通知书后的</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r>
        <w:rPr>
          <w:color w:val="auto"/>
          <w:sz w:val="21"/>
          <w:szCs w:val="21"/>
          <w:highlight w:val="none"/>
        </w:rPr>
        <w:t>内到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详细地址）与我方签订施工合同协议书，在此之前按招标文件第2章投标人须知第</w:t>
      </w:r>
      <w:r>
        <w:rPr>
          <w:color w:val="auto"/>
          <w:sz w:val="21"/>
          <w:szCs w:val="21"/>
          <w:highlight w:val="none"/>
          <w:lang w:val="en-US" w:eastAsia="zh-CN"/>
        </w:rPr>
        <w:t>7.</w:t>
      </w:r>
      <w:r>
        <w:rPr>
          <w:color w:val="auto"/>
          <w:sz w:val="21"/>
          <w:szCs w:val="21"/>
          <w:highlight w:val="none"/>
        </w:rPr>
        <w:t>3条规定向我方提交履约担保。</w:t>
      </w:r>
    </w:p>
    <w:p>
      <w:pPr>
        <w:pStyle w:val="30"/>
        <w:tabs>
          <w:tab w:val="left" w:pos="4840"/>
        </w:tabs>
        <w:spacing w:after="0" w:line="500" w:lineRule="exact"/>
        <w:ind w:firstLine="700"/>
        <w:jc w:val="both"/>
        <w:rPr>
          <w:color w:val="auto"/>
          <w:sz w:val="21"/>
          <w:szCs w:val="21"/>
          <w:highlight w:val="none"/>
        </w:rPr>
      </w:pPr>
      <w:r>
        <w:rPr>
          <w:color w:val="auto"/>
          <w:sz w:val="21"/>
          <w:szCs w:val="21"/>
          <w:highlight w:val="none"/>
        </w:rPr>
        <w:t>特此通知。</w:t>
      </w:r>
    </w:p>
    <w:p>
      <w:pPr>
        <w:pStyle w:val="30"/>
        <w:tabs>
          <w:tab w:val="left" w:pos="9508"/>
          <w:tab w:val="left" w:pos="9688"/>
        </w:tabs>
        <w:spacing w:after="0" w:line="500" w:lineRule="exact"/>
        <w:ind w:firstLine="2286" w:firstLineChars="1089"/>
        <w:jc w:val="both"/>
        <w:rPr>
          <w:color w:val="auto"/>
          <w:sz w:val="21"/>
          <w:szCs w:val="21"/>
          <w:highlight w:val="none"/>
        </w:rPr>
      </w:pPr>
    </w:p>
    <w:p>
      <w:pPr>
        <w:pStyle w:val="30"/>
        <w:tabs>
          <w:tab w:val="left" w:pos="9508"/>
          <w:tab w:val="left" w:pos="9688"/>
        </w:tabs>
        <w:spacing w:after="0" w:line="500" w:lineRule="exact"/>
        <w:ind w:firstLine="2286" w:firstLineChars="1089"/>
        <w:jc w:val="both"/>
        <w:rPr>
          <w:color w:val="auto"/>
          <w:sz w:val="21"/>
          <w:szCs w:val="21"/>
          <w:highlight w:val="none"/>
        </w:rPr>
      </w:pPr>
    </w:p>
    <w:p>
      <w:pPr>
        <w:pStyle w:val="30"/>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30"/>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bookmarkStart w:id="332" w:name="bookmark125"/>
      <w:bookmarkStart w:id="333" w:name="bookmark126"/>
      <w:bookmarkStart w:id="334" w:name="bookmark127"/>
    </w:p>
    <w:p>
      <w:pPr>
        <w:pStyle w:val="30"/>
        <w:tabs>
          <w:tab w:val="left" w:pos="9508"/>
          <w:tab w:val="left" w:pos="9688"/>
        </w:tabs>
        <w:spacing w:after="0" w:line="500" w:lineRule="exact"/>
        <w:ind w:firstLine="3962" w:firstLineChars="1887"/>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0"/>
        <w:tabs>
          <w:tab w:val="left" w:pos="9508"/>
          <w:tab w:val="left" w:pos="9688"/>
        </w:tabs>
        <w:spacing w:after="180" w:line="546" w:lineRule="exact"/>
        <w:jc w:val="right"/>
        <w:rPr>
          <w:color w:val="auto"/>
          <w:sz w:val="22"/>
          <w:szCs w:val="22"/>
          <w:highlight w:val="none"/>
        </w:rPr>
      </w:pPr>
    </w:p>
    <w:p>
      <w:pPr>
        <w:pStyle w:val="31"/>
        <w:spacing w:after="0" w:line="240" w:lineRule="exact"/>
        <w:rPr>
          <w:color w:val="auto"/>
          <w:sz w:val="21"/>
          <w:szCs w:val="21"/>
          <w:highlight w:val="none"/>
        </w:rPr>
        <w:sectPr>
          <w:footerReference r:id="rId12" w:type="default"/>
          <w:pgSz w:w="11900" w:h="16841"/>
          <w:pgMar w:top="400" w:right="1194" w:bottom="1014" w:left="1483" w:header="624" w:footer="853" w:gutter="0"/>
          <w:cols w:space="720" w:num="1"/>
        </w:sectPr>
      </w:pPr>
    </w:p>
    <w:p>
      <w:pPr>
        <w:pStyle w:val="31"/>
        <w:spacing w:after="0" w:line="240" w:lineRule="exact"/>
        <w:rPr>
          <w:color w:val="auto"/>
          <w:sz w:val="21"/>
          <w:szCs w:val="21"/>
          <w:highlight w:val="none"/>
          <w:lang w:eastAsia="zh-CN"/>
        </w:rPr>
      </w:pPr>
      <w:r>
        <w:rPr>
          <w:color w:val="auto"/>
          <w:sz w:val="21"/>
          <w:szCs w:val="21"/>
          <w:highlight w:val="none"/>
        </w:rPr>
        <w:t>附件六</w:t>
      </w:r>
      <w:bookmarkEnd w:id="332"/>
      <w:bookmarkEnd w:id="333"/>
      <w:bookmarkEnd w:id="334"/>
      <w:r>
        <w:rPr>
          <w:rFonts w:hint="eastAsia"/>
          <w:color w:val="auto"/>
          <w:sz w:val="21"/>
          <w:szCs w:val="21"/>
          <w:highlight w:val="none"/>
          <w:lang w:eastAsia="zh-CN"/>
        </w:rPr>
        <w:t>：</w:t>
      </w:r>
    </w:p>
    <w:p>
      <w:pPr>
        <w:pStyle w:val="32"/>
        <w:keepNext/>
        <w:keepLines/>
        <w:spacing w:beforeLines="200" w:after="680"/>
        <w:jc w:val="center"/>
        <w:outlineLvl w:val="9"/>
        <w:rPr>
          <w:b/>
          <w:bCs/>
          <w:color w:val="auto"/>
          <w:sz w:val="36"/>
          <w:szCs w:val="36"/>
          <w:highlight w:val="none"/>
        </w:rPr>
      </w:pPr>
      <w:bookmarkStart w:id="335" w:name="bookmark128"/>
      <w:bookmarkStart w:id="336" w:name="_Toc12132"/>
      <w:bookmarkStart w:id="337" w:name="bookmark130"/>
      <w:bookmarkStart w:id="338" w:name="_Toc512"/>
      <w:bookmarkStart w:id="339" w:name="_Toc2564"/>
      <w:bookmarkStart w:id="340" w:name="_Toc16733"/>
      <w:bookmarkStart w:id="341" w:name="bookmark129"/>
      <w:r>
        <w:rPr>
          <w:b/>
          <w:bCs/>
          <w:color w:val="auto"/>
          <w:sz w:val="36"/>
          <w:szCs w:val="36"/>
          <w:highlight w:val="none"/>
        </w:rPr>
        <w:t>中标结果通知书</w:t>
      </w:r>
      <w:bookmarkEnd w:id="335"/>
      <w:bookmarkEnd w:id="336"/>
      <w:bookmarkEnd w:id="337"/>
      <w:bookmarkEnd w:id="338"/>
      <w:bookmarkEnd w:id="339"/>
      <w:bookmarkEnd w:id="340"/>
      <w:bookmarkEnd w:id="341"/>
    </w:p>
    <w:p>
      <w:pPr>
        <w:pStyle w:val="33"/>
        <w:keepNext/>
        <w:keepLines/>
        <w:spacing w:beforeLines="100" w:after="1000"/>
        <w:jc w:val="center"/>
        <w:outlineLvl w:val="9"/>
        <w:rPr>
          <w:color w:val="auto"/>
          <w:sz w:val="21"/>
          <w:szCs w:val="21"/>
          <w:highlight w:val="none"/>
        </w:rPr>
      </w:pPr>
      <w:bookmarkStart w:id="342" w:name="_Toc4812"/>
      <w:bookmarkStart w:id="343" w:name="bookmark132"/>
      <w:bookmarkStart w:id="344" w:name="bookmark133"/>
      <w:bookmarkStart w:id="345" w:name="_Toc2319"/>
      <w:bookmarkStart w:id="346" w:name="bookmark131"/>
      <w:bookmarkStart w:id="347" w:name="_Toc28049"/>
      <w:bookmarkStart w:id="348" w:name="_Toc28498"/>
      <w:r>
        <w:rPr>
          <w:color w:val="auto"/>
          <w:sz w:val="21"/>
          <w:szCs w:val="21"/>
          <w:highlight w:val="none"/>
        </w:rPr>
        <w:t>编号：</w:t>
      </w:r>
      <w:bookmarkEnd w:id="342"/>
      <w:bookmarkEnd w:id="343"/>
      <w:bookmarkEnd w:id="344"/>
      <w:bookmarkEnd w:id="345"/>
      <w:bookmarkEnd w:id="346"/>
      <w:bookmarkEnd w:id="347"/>
      <w:bookmarkEnd w:id="348"/>
    </w:p>
    <w:p>
      <w:pPr>
        <w:pStyle w:val="30"/>
        <w:tabs>
          <w:tab w:val="left" w:pos="2796"/>
        </w:tabs>
        <w:spacing w:after="0" w:line="7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中标人名称）：</w:t>
      </w:r>
    </w:p>
    <w:p>
      <w:pPr>
        <w:pStyle w:val="30"/>
        <w:tabs>
          <w:tab w:val="left" w:pos="488"/>
          <w:tab w:val="left" w:pos="1004"/>
          <w:tab w:val="left" w:pos="5420"/>
        </w:tabs>
        <w:spacing w:after="0" w:line="700" w:lineRule="exact"/>
        <w:ind w:firstLine="420" w:firstLineChars="200"/>
        <w:jc w:val="both"/>
        <w:rPr>
          <w:color w:val="auto"/>
          <w:sz w:val="21"/>
          <w:szCs w:val="21"/>
          <w:highlight w:val="none"/>
        </w:rPr>
      </w:pPr>
      <w:r>
        <w:rPr>
          <w:rFonts w:hint="eastAsia"/>
          <w:color w:val="auto"/>
          <w:sz w:val="21"/>
          <w:szCs w:val="21"/>
          <w:highlight w:val="none"/>
          <w:lang w:val="en-US" w:eastAsia="zh-CN"/>
        </w:rPr>
        <w:t>我方已接受</w:t>
      </w:r>
      <w:r>
        <w:rPr>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标段名称）投标文件，确定</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color w:val="auto"/>
          <w:sz w:val="21"/>
          <w:szCs w:val="21"/>
          <w:highlight w:val="none"/>
        </w:rPr>
        <w:t>为中标人。</w:t>
      </w:r>
    </w:p>
    <w:p>
      <w:pPr>
        <w:pStyle w:val="30"/>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感谢你单位对我方工作的大力支持！</w:t>
      </w:r>
    </w:p>
    <w:p>
      <w:pPr>
        <w:pStyle w:val="30"/>
        <w:tabs>
          <w:tab w:val="left" w:pos="9508"/>
          <w:tab w:val="left" w:pos="9688"/>
        </w:tabs>
        <w:spacing w:after="0" w:line="700" w:lineRule="exact"/>
        <w:ind w:firstLine="420" w:firstLineChars="200"/>
        <w:jc w:val="both"/>
        <w:rPr>
          <w:color w:val="auto"/>
          <w:sz w:val="21"/>
          <w:szCs w:val="21"/>
          <w:highlight w:val="none"/>
        </w:rPr>
      </w:pPr>
      <w:bookmarkStart w:id="349" w:name="bookmark134"/>
      <w:bookmarkStart w:id="350" w:name="bookmark136"/>
      <w:bookmarkStart w:id="351" w:name="bookmark135"/>
    </w:p>
    <w:p>
      <w:pPr>
        <w:pStyle w:val="30"/>
        <w:tabs>
          <w:tab w:val="left" w:pos="9508"/>
          <w:tab w:val="left" w:pos="9688"/>
        </w:tabs>
        <w:spacing w:after="0" w:line="700" w:lineRule="exact"/>
        <w:ind w:firstLine="420" w:firstLineChars="200"/>
        <w:jc w:val="both"/>
        <w:rPr>
          <w:color w:val="auto"/>
          <w:sz w:val="21"/>
          <w:szCs w:val="21"/>
          <w:highlight w:val="none"/>
        </w:rPr>
      </w:pPr>
    </w:p>
    <w:p>
      <w:pPr>
        <w:pStyle w:val="30"/>
        <w:tabs>
          <w:tab w:val="left" w:pos="7392"/>
          <w:tab w:val="left" w:pos="9688"/>
        </w:tabs>
        <w:spacing w:after="0" w:line="700" w:lineRule="exact"/>
        <w:ind w:firstLine="420" w:firstLineChars="200"/>
        <w:jc w:val="both"/>
        <w:rPr>
          <w:color w:val="auto"/>
          <w:sz w:val="21"/>
          <w:szCs w:val="21"/>
          <w:highlight w:val="none"/>
        </w:rPr>
      </w:pPr>
      <w:r>
        <w:rPr>
          <w:rFonts w:hint="eastAsia"/>
          <w:color w:val="auto"/>
          <w:sz w:val="21"/>
          <w:szCs w:val="21"/>
          <w:highlight w:val="none"/>
          <w:lang w:eastAsia="zh-CN"/>
        </w:rPr>
        <w:tab/>
      </w:r>
    </w:p>
    <w:p>
      <w:pPr>
        <w:pStyle w:val="30"/>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30"/>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30"/>
        <w:tabs>
          <w:tab w:val="left" w:pos="9508"/>
          <w:tab w:val="left" w:pos="9688"/>
        </w:tabs>
        <w:spacing w:after="0" w:line="7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spacing w:line="360" w:lineRule="auto"/>
        <w:jc w:val="center"/>
        <w:outlineLvl w:val="0"/>
        <w:rPr>
          <w:rFonts w:ascii="黑体" w:hAnsi="黑体" w:eastAsia="黑体" w:cs="黑体"/>
          <w:b/>
          <w:bCs/>
          <w:color w:val="auto"/>
          <w:highlight w:val="none"/>
        </w:rPr>
        <w:sectPr>
          <w:footerReference r:id="rId13" w:type="default"/>
          <w:pgSz w:w="11900" w:h="16841"/>
          <w:pgMar w:top="400" w:right="1194" w:bottom="1014" w:left="1483" w:header="737" w:footer="853" w:gutter="0"/>
          <w:cols w:space="720" w:num="1"/>
        </w:sectPr>
      </w:pPr>
      <w:bookmarkStart w:id="352" w:name="_Toc28385"/>
    </w:p>
    <w:p>
      <w:pPr>
        <w:spacing w:line="360" w:lineRule="auto"/>
        <w:jc w:val="center"/>
        <w:outlineLvl w:val="0"/>
        <w:rPr>
          <w:rFonts w:ascii="黑体" w:hAnsi="黑体" w:eastAsia="黑体" w:cs="黑体"/>
          <w:b/>
          <w:bCs/>
          <w:color w:val="auto"/>
          <w:sz w:val="32"/>
          <w:szCs w:val="32"/>
          <w:highlight w:val="none"/>
        </w:rPr>
      </w:pPr>
      <w:r>
        <w:rPr>
          <w:rFonts w:ascii="黑体" w:hAnsi="黑体" w:eastAsia="黑体" w:cs="黑体"/>
          <w:b/>
          <w:bCs/>
          <w:color w:val="auto"/>
          <w:sz w:val="32"/>
          <w:szCs w:val="32"/>
          <w:highlight w:val="none"/>
        </w:rPr>
        <w:t>第三章</w:t>
      </w:r>
      <w:bookmarkEnd w:id="349"/>
      <w:bookmarkEnd w:id="350"/>
      <w:bookmarkEnd w:id="351"/>
      <w:r>
        <w:rPr>
          <w:rFonts w:hint="eastAsia" w:ascii="黑体" w:hAnsi="黑体" w:eastAsia="黑体" w:cs="黑体"/>
          <w:b/>
          <w:bCs/>
          <w:color w:val="auto"/>
          <w:sz w:val="32"/>
          <w:szCs w:val="32"/>
          <w:highlight w:val="none"/>
        </w:rPr>
        <w:t xml:space="preserve"> 评标办法（有限数量制的综合评估法）</w:t>
      </w:r>
      <w:bookmarkEnd w:id="352"/>
    </w:p>
    <w:p>
      <w:pPr>
        <w:spacing w:line="286" w:lineRule="auto"/>
        <w:rPr>
          <w:rFonts w:ascii="Times New Roman" w:hAnsi="Times New Roman"/>
          <w:color w:val="auto"/>
          <w:highlight w:val="none"/>
        </w:rPr>
      </w:pPr>
    </w:p>
    <w:p>
      <w:pPr>
        <w:spacing w:line="420" w:lineRule="exact"/>
        <w:ind w:firstLine="480" w:firstLineChars="200"/>
        <w:outlineLvl w:val="1"/>
        <w:rPr>
          <w:rFonts w:ascii="宋体" w:hAnsi="宋体"/>
          <w:b/>
          <w:color w:val="auto"/>
          <w:sz w:val="24"/>
          <w:szCs w:val="24"/>
          <w:highlight w:val="none"/>
        </w:rPr>
      </w:pPr>
      <w:bookmarkStart w:id="353" w:name="_Toc4272"/>
      <w:bookmarkStart w:id="354" w:name="_Toc19553"/>
      <w:r>
        <w:rPr>
          <w:rFonts w:ascii="宋体" w:hAnsi="宋体"/>
          <w:b/>
          <w:bCs/>
          <w:color w:val="auto"/>
          <w:sz w:val="24"/>
          <w:szCs w:val="24"/>
          <w:highlight w:val="none"/>
        </w:rPr>
        <w:t>1.</w:t>
      </w:r>
      <w:r>
        <w:rPr>
          <w:rFonts w:ascii="宋体" w:hAnsi="宋体"/>
          <w:b/>
          <w:color w:val="auto"/>
          <w:sz w:val="24"/>
          <w:szCs w:val="24"/>
          <w:highlight w:val="none"/>
        </w:rPr>
        <w:t xml:space="preserve"> 依据</w:t>
      </w:r>
      <w:bookmarkEnd w:id="353"/>
      <w:bookmarkEnd w:id="354"/>
    </w:p>
    <w:p>
      <w:pPr>
        <w:spacing w:line="420" w:lineRule="exact"/>
        <w:ind w:firstLine="420" w:firstLineChars="200"/>
        <w:rPr>
          <w:rFonts w:ascii="宋体" w:hAnsi="宋体"/>
          <w:color w:val="auto"/>
          <w:highlight w:val="none"/>
        </w:rPr>
      </w:pPr>
      <w:r>
        <w:rPr>
          <w:rFonts w:ascii="宋体" w:hAnsi="宋体"/>
          <w:color w:val="auto"/>
          <w:highlight w:val="none"/>
        </w:rPr>
        <w:t>为规范招标的评标工作，根据《中华人民共和国招标投标法》、《中华人民共和国招标投标法实施条例》、《评标委员会和评标办法暂行规定》(原国家发展计划委员会第七部委令第12号)、《工程建设项目施工招标投标办法》(原国家发展计划委员会第七部委令第30号)、《关于废止和修改部分招标投标规章和规范性文件的决定》(九部委第23号令)、《浙江省招标投标条例》、《浙江省人民政府关于进一步加强工程建设项目招标投标领域依法治理的意见》（浙政发[2021]5号）等有关的法律、法规和规章制度规定，制作本办法。</w:t>
      </w:r>
    </w:p>
    <w:p>
      <w:pPr>
        <w:spacing w:line="420" w:lineRule="exact"/>
        <w:ind w:firstLine="480" w:firstLineChars="200"/>
        <w:outlineLvl w:val="1"/>
        <w:rPr>
          <w:rFonts w:ascii="宋体" w:hAnsi="宋体"/>
          <w:b/>
          <w:color w:val="auto"/>
          <w:sz w:val="24"/>
          <w:szCs w:val="24"/>
          <w:highlight w:val="none"/>
        </w:rPr>
      </w:pPr>
      <w:bookmarkStart w:id="355" w:name="_Toc12498"/>
      <w:bookmarkStart w:id="356" w:name="_Toc4268"/>
      <w:r>
        <w:rPr>
          <w:rFonts w:ascii="宋体" w:hAnsi="宋体"/>
          <w:b/>
          <w:bCs/>
          <w:color w:val="auto"/>
          <w:sz w:val="24"/>
          <w:szCs w:val="24"/>
          <w:highlight w:val="none"/>
        </w:rPr>
        <w:t>2.</w:t>
      </w:r>
      <w:r>
        <w:rPr>
          <w:rFonts w:ascii="宋体" w:hAnsi="宋体"/>
          <w:b/>
          <w:color w:val="auto"/>
          <w:sz w:val="24"/>
          <w:szCs w:val="24"/>
          <w:highlight w:val="none"/>
        </w:rPr>
        <w:t xml:space="preserve"> 评标原则</w:t>
      </w:r>
      <w:bookmarkEnd w:id="355"/>
      <w:bookmarkEnd w:id="356"/>
    </w:p>
    <w:p>
      <w:pPr>
        <w:spacing w:line="420" w:lineRule="exact"/>
        <w:ind w:firstLine="420" w:firstLineChars="200"/>
        <w:rPr>
          <w:rFonts w:ascii="宋体" w:hAnsi="宋体"/>
          <w:color w:val="auto"/>
          <w:highlight w:val="none"/>
        </w:rPr>
      </w:pPr>
      <w:r>
        <w:rPr>
          <w:rFonts w:ascii="宋体" w:hAnsi="宋体"/>
          <w:color w:val="auto"/>
          <w:highlight w:val="none"/>
        </w:rPr>
        <w:t>评标应遵循公平、公正、科学、择优的原则。</w:t>
      </w:r>
    </w:p>
    <w:p>
      <w:pPr>
        <w:spacing w:line="420" w:lineRule="exact"/>
        <w:ind w:firstLine="480" w:firstLineChars="200"/>
        <w:outlineLvl w:val="1"/>
        <w:rPr>
          <w:rFonts w:ascii="宋体" w:hAnsi="宋体"/>
          <w:b/>
          <w:color w:val="auto"/>
          <w:sz w:val="24"/>
          <w:szCs w:val="24"/>
          <w:highlight w:val="none"/>
        </w:rPr>
      </w:pPr>
      <w:bookmarkStart w:id="357" w:name="_Toc20568"/>
      <w:bookmarkStart w:id="358" w:name="_Toc19486"/>
      <w:r>
        <w:rPr>
          <w:rFonts w:ascii="宋体" w:hAnsi="宋体"/>
          <w:b/>
          <w:bCs/>
          <w:color w:val="auto"/>
          <w:sz w:val="24"/>
          <w:szCs w:val="24"/>
          <w:highlight w:val="none"/>
        </w:rPr>
        <w:t>3.</w:t>
      </w:r>
      <w:r>
        <w:rPr>
          <w:rFonts w:ascii="宋体" w:hAnsi="宋体"/>
          <w:b/>
          <w:color w:val="auto"/>
          <w:sz w:val="24"/>
          <w:szCs w:val="24"/>
          <w:highlight w:val="none"/>
        </w:rPr>
        <w:t xml:space="preserve"> 评标组织</w:t>
      </w:r>
      <w:bookmarkEnd w:id="357"/>
      <w:bookmarkEnd w:id="358"/>
    </w:p>
    <w:p>
      <w:pPr>
        <w:spacing w:line="420" w:lineRule="exact"/>
        <w:ind w:firstLine="420" w:firstLineChars="200"/>
        <w:rPr>
          <w:rFonts w:ascii="宋体" w:hAnsi="宋体"/>
          <w:color w:val="auto"/>
          <w:highlight w:val="none"/>
        </w:rPr>
      </w:pPr>
      <w:r>
        <w:rPr>
          <w:rFonts w:ascii="宋体" w:hAnsi="宋体"/>
          <w:color w:val="auto"/>
          <w:highlight w:val="none"/>
        </w:rPr>
        <w:t>评标工作由招标人依法组建的评标委员会负责，评标委员会的组建办法详见投标人须知前附表。</w:t>
      </w:r>
    </w:p>
    <w:p>
      <w:pPr>
        <w:spacing w:line="420" w:lineRule="exact"/>
        <w:ind w:firstLine="480" w:firstLineChars="200"/>
        <w:outlineLvl w:val="1"/>
        <w:rPr>
          <w:rFonts w:ascii="宋体" w:hAnsi="宋体"/>
          <w:color w:val="auto"/>
          <w:sz w:val="24"/>
          <w:szCs w:val="24"/>
          <w:highlight w:val="none"/>
        </w:rPr>
      </w:pPr>
      <w:bookmarkStart w:id="359" w:name="_Toc17120"/>
      <w:bookmarkStart w:id="360" w:name="_Toc4241"/>
      <w:r>
        <w:rPr>
          <w:rFonts w:ascii="宋体" w:hAnsi="宋体"/>
          <w:b/>
          <w:bCs/>
          <w:color w:val="auto"/>
          <w:sz w:val="24"/>
          <w:szCs w:val="24"/>
          <w:highlight w:val="none"/>
        </w:rPr>
        <w:t>4.</w:t>
      </w:r>
      <w:r>
        <w:rPr>
          <w:rFonts w:ascii="宋体" w:hAnsi="宋体"/>
          <w:color w:val="auto"/>
          <w:sz w:val="24"/>
          <w:szCs w:val="24"/>
          <w:highlight w:val="none"/>
        </w:rPr>
        <w:t xml:space="preserve">  </w:t>
      </w:r>
      <w:r>
        <w:rPr>
          <w:rFonts w:ascii="宋体" w:hAnsi="宋体"/>
          <w:b/>
          <w:color w:val="auto"/>
          <w:sz w:val="24"/>
          <w:szCs w:val="24"/>
          <w:highlight w:val="none"/>
        </w:rPr>
        <w:t>评标程序和内容</w:t>
      </w:r>
      <w:bookmarkEnd w:id="359"/>
      <w:bookmarkEnd w:id="360"/>
    </w:p>
    <w:p>
      <w:pPr>
        <w:spacing w:line="420" w:lineRule="exact"/>
        <w:ind w:firstLine="420" w:firstLineChars="200"/>
        <w:rPr>
          <w:rFonts w:ascii="宋体" w:hAnsi="宋体"/>
          <w:color w:val="auto"/>
          <w:highlight w:val="none"/>
        </w:rPr>
      </w:pPr>
      <w:r>
        <w:rPr>
          <w:rFonts w:ascii="宋体" w:hAnsi="宋体"/>
          <w:b/>
          <w:bCs/>
          <w:color w:val="auto"/>
          <w:highlight w:val="none"/>
        </w:rPr>
        <w:t>4.1</w:t>
      </w:r>
      <w:r>
        <w:rPr>
          <w:rFonts w:ascii="宋体" w:hAnsi="宋体"/>
          <w:color w:val="auto"/>
          <w:highlight w:val="none"/>
        </w:rPr>
        <w:t xml:space="preserve">  评标的一般程序</w:t>
      </w:r>
    </w:p>
    <w:p>
      <w:pPr>
        <w:spacing w:line="420" w:lineRule="exact"/>
        <w:ind w:firstLine="420" w:firstLineChars="200"/>
        <w:rPr>
          <w:rFonts w:ascii="宋体" w:hAnsi="宋体"/>
          <w:color w:val="auto"/>
          <w:highlight w:val="none"/>
        </w:rPr>
      </w:pPr>
      <w:r>
        <w:rPr>
          <w:rFonts w:ascii="宋体" w:hAnsi="宋体"/>
          <w:color w:val="auto"/>
          <w:highlight w:val="none"/>
        </w:rPr>
        <w:t>(1) 熟悉招标文件和评标办法；</w:t>
      </w:r>
    </w:p>
    <w:p>
      <w:pPr>
        <w:spacing w:line="420" w:lineRule="exact"/>
        <w:ind w:firstLine="420" w:firstLineChars="200"/>
        <w:rPr>
          <w:rFonts w:ascii="宋体" w:hAnsi="宋体"/>
          <w:color w:val="auto"/>
          <w:highlight w:val="none"/>
        </w:rPr>
      </w:pPr>
      <w:r>
        <w:rPr>
          <w:rFonts w:ascii="宋体" w:hAnsi="宋体"/>
          <w:color w:val="auto"/>
          <w:highlight w:val="none"/>
        </w:rPr>
        <w:t>(2) 投标文件的符合性审查；</w:t>
      </w:r>
    </w:p>
    <w:p>
      <w:pPr>
        <w:spacing w:line="420" w:lineRule="exact"/>
        <w:ind w:firstLine="420" w:firstLineChars="200"/>
        <w:rPr>
          <w:rFonts w:ascii="宋体" w:hAnsi="宋体"/>
          <w:color w:val="auto"/>
          <w:highlight w:val="none"/>
        </w:rPr>
      </w:pPr>
      <w:r>
        <w:rPr>
          <w:rFonts w:ascii="宋体" w:hAnsi="宋体"/>
          <w:color w:val="auto"/>
          <w:highlight w:val="none"/>
        </w:rPr>
        <w:t>(3) 投标文件的技术评审；</w:t>
      </w:r>
    </w:p>
    <w:p>
      <w:pPr>
        <w:spacing w:line="420" w:lineRule="exact"/>
        <w:ind w:firstLine="420" w:firstLineChars="200"/>
        <w:rPr>
          <w:rFonts w:ascii="宋体" w:hAnsi="宋体"/>
          <w:color w:val="auto"/>
          <w:highlight w:val="none"/>
        </w:rPr>
      </w:pPr>
      <w:r>
        <w:rPr>
          <w:rFonts w:ascii="宋体" w:hAnsi="宋体"/>
          <w:color w:val="auto"/>
          <w:highlight w:val="none"/>
        </w:rPr>
        <w:t>(4) 投标文件的商务评审；</w:t>
      </w:r>
    </w:p>
    <w:p>
      <w:pPr>
        <w:spacing w:line="420" w:lineRule="exact"/>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rPr>
        <w:t>5</w:t>
      </w:r>
      <w:r>
        <w:rPr>
          <w:rFonts w:ascii="宋体" w:hAnsi="宋体"/>
          <w:color w:val="auto"/>
          <w:highlight w:val="none"/>
        </w:rPr>
        <w:t>) 投标文件的</w:t>
      </w:r>
      <w:r>
        <w:rPr>
          <w:rFonts w:hint="eastAsia" w:ascii="宋体" w:hAnsi="宋体"/>
          <w:color w:val="auto"/>
          <w:highlight w:val="none"/>
        </w:rPr>
        <w:t>资信</w:t>
      </w:r>
      <w:r>
        <w:rPr>
          <w:rFonts w:ascii="宋体" w:hAnsi="宋体"/>
          <w:color w:val="auto"/>
          <w:highlight w:val="none"/>
        </w:rPr>
        <w:t xml:space="preserve">评审； </w:t>
      </w:r>
    </w:p>
    <w:p>
      <w:pPr>
        <w:spacing w:line="420" w:lineRule="exact"/>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rPr>
        <w:t>6</w:t>
      </w:r>
      <w:r>
        <w:rPr>
          <w:rFonts w:ascii="宋体" w:hAnsi="宋体"/>
          <w:color w:val="auto"/>
          <w:highlight w:val="none"/>
        </w:rPr>
        <w:t>) 必要时对投标文件中的问题进行询标，拟作出否决投标决定前，应对相关投标人进行询问核实。</w:t>
      </w:r>
    </w:p>
    <w:p>
      <w:pPr>
        <w:spacing w:line="420" w:lineRule="exact"/>
        <w:ind w:firstLine="420" w:firstLineChars="200"/>
        <w:rPr>
          <w:rFonts w:ascii="宋体" w:hAnsi="宋体"/>
          <w:color w:val="auto"/>
          <w:highlight w:val="none"/>
        </w:rPr>
      </w:pPr>
      <w:r>
        <w:rPr>
          <w:rFonts w:ascii="宋体" w:hAnsi="宋体"/>
          <w:color w:val="auto"/>
          <w:highlight w:val="none"/>
        </w:rPr>
        <w:t>(</w:t>
      </w:r>
      <w:r>
        <w:rPr>
          <w:rFonts w:hint="eastAsia" w:ascii="宋体" w:hAnsi="宋体"/>
          <w:color w:val="auto"/>
          <w:highlight w:val="none"/>
        </w:rPr>
        <w:t>7</w:t>
      </w:r>
      <w:r>
        <w:rPr>
          <w:rFonts w:ascii="宋体" w:hAnsi="宋体"/>
          <w:color w:val="auto"/>
          <w:highlight w:val="none"/>
        </w:rPr>
        <w:t>) 推荐中标候选人；</w:t>
      </w:r>
    </w:p>
    <w:p>
      <w:pPr>
        <w:spacing w:line="420" w:lineRule="exact"/>
        <w:ind w:firstLine="420" w:firstLineChars="200"/>
        <w:rPr>
          <w:rFonts w:ascii="宋体" w:hAnsi="宋体"/>
          <w:color w:val="auto"/>
          <w:highlight w:val="none"/>
        </w:rPr>
      </w:pPr>
      <w:r>
        <w:rPr>
          <w:rFonts w:ascii="宋体" w:hAnsi="宋体"/>
          <w:color w:val="auto"/>
          <w:highlight w:val="none"/>
        </w:rPr>
        <w:t>(</w:t>
      </w:r>
      <w:r>
        <w:rPr>
          <w:rFonts w:hint="eastAsia" w:ascii="宋体" w:hAnsi="宋体" w:eastAsia="宋体"/>
          <w:color w:val="auto"/>
          <w:highlight w:val="none"/>
        </w:rPr>
        <w:t>8</w:t>
      </w:r>
      <w:r>
        <w:rPr>
          <w:rFonts w:ascii="宋体" w:hAnsi="宋体"/>
          <w:color w:val="auto"/>
          <w:highlight w:val="none"/>
        </w:rPr>
        <w:t>) 完成评标报告。</w:t>
      </w:r>
    </w:p>
    <w:p>
      <w:pPr>
        <w:spacing w:line="420" w:lineRule="exact"/>
        <w:ind w:left="2" w:firstLine="216" w:firstLineChars="100"/>
        <w:outlineLvl w:val="0"/>
        <w:rPr>
          <w:rFonts w:ascii="宋体" w:hAnsi="宋体" w:eastAsia="宋体" w:cs="宋体"/>
          <w:color w:val="auto"/>
          <w:sz w:val="24"/>
          <w:szCs w:val="24"/>
          <w:highlight w:val="none"/>
        </w:rPr>
      </w:pPr>
      <w:bookmarkStart w:id="361" w:name="_Toc6788"/>
      <w:bookmarkStart w:id="362" w:name="_Toc4371"/>
      <w:bookmarkStart w:id="363" w:name="_Toc25627"/>
      <w:r>
        <w:rPr>
          <w:rFonts w:ascii="宋体" w:hAnsi="宋体" w:eastAsia="宋体" w:cs="宋体"/>
          <w:color w:val="auto"/>
          <w:spacing w:val="-12"/>
          <w:sz w:val="24"/>
          <w:szCs w:val="24"/>
          <w:highlight w:val="none"/>
        </w:rPr>
        <w:t>4.2 入评单位选择</w:t>
      </w:r>
    </w:p>
    <w:p>
      <w:pPr>
        <w:spacing w:line="420" w:lineRule="exact"/>
        <w:ind w:left="482"/>
        <w:rPr>
          <w:rFonts w:ascii="宋体" w:hAnsi="宋体" w:eastAsia="宋体" w:cs="宋体"/>
          <w:color w:val="auto"/>
          <w:highlight w:val="none"/>
        </w:rPr>
      </w:pPr>
      <w:r>
        <w:rPr>
          <w:rFonts w:ascii="宋体" w:hAnsi="宋体" w:eastAsia="宋体" w:cs="宋体"/>
          <w:color w:val="auto"/>
          <w:spacing w:val="-18"/>
          <w:highlight w:val="none"/>
        </w:rPr>
        <w:t>4</w:t>
      </w:r>
      <w:r>
        <w:rPr>
          <w:rFonts w:ascii="宋体" w:hAnsi="宋体" w:eastAsia="宋体" w:cs="宋体"/>
          <w:color w:val="auto"/>
          <w:spacing w:val="-11"/>
          <w:highlight w:val="none"/>
        </w:rPr>
        <w:t>.2.1 入评基准价的确定</w:t>
      </w:r>
    </w:p>
    <w:p>
      <w:pPr>
        <w:spacing w:line="420" w:lineRule="exact"/>
        <w:ind w:firstLine="480"/>
        <w:rPr>
          <w:rFonts w:ascii="宋体" w:hAnsi="宋体" w:eastAsia="宋体" w:cs="宋体"/>
          <w:color w:val="auto"/>
          <w:highlight w:val="none"/>
        </w:rPr>
      </w:pPr>
      <w:r>
        <w:rPr>
          <w:rFonts w:ascii="宋体" w:hAnsi="宋体" w:eastAsia="宋体" w:cs="宋体"/>
          <w:color w:val="auto"/>
          <w:spacing w:val="-1"/>
          <w:highlight w:val="none"/>
        </w:rPr>
        <w:t>若投标报价在最高投标限价以下投标人在</w:t>
      </w:r>
      <w:r>
        <w:rPr>
          <w:rFonts w:ascii="宋体" w:hAnsi="宋体" w:eastAsia="宋体" w:cs="宋体"/>
          <w:color w:val="auto"/>
          <w:highlight w:val="none"/>
        </w:rPr>
        <w:t xml:space="preserve"> 100 家及以上时，入评基准价为最高投标限价以下所 </w:t>
      </w:r>
      <w:r>
        <w:rPr>
          <w:rFonts w:ascii="宋体" w:hAnsi="宋体" w:eastAsia="宋体" w:cs="宋体"/>
          <w:color w:val="auto"/>
          <w:spacing w:val="-2"/>
          <w:highlight w:val="none"/>
        </w:rPr>
        <w:t>有投标人的投标报价中剔除投标报价</w:t>
      </w:r>
      <w:r>
        <w:rPr>
          <w:rFonts w:ascii="宋体" w:hAnsi="宋体" w:eastAsia="宋体" w:cs="宋体"/>
          <w:color w:val="auto"/>
          <w:spacing w:val="-1"/>
          <w:highlight w:val="none"/>
        </w:rPr>
        <w:t>由高到低排序前A个投标报价和投标报价由低到高排序前A个投</w:t>
      </w:r>
      <w:r>
        <w:rPr>
          <w:rFonts w:ascii="宋体" w:hAnsi="宋体" w:eastAsia="宋体" w:cs="宋体"/>
          <w:color w:val="auto"/>
          <w:highlight w:val="none"/>
        </w:rPr>
        <w:t xml:space="preserve"> </w:t>
      </w:r>
      <w:r>
        <w:rPr>
          <w:rFonts w:ascii="宋体" w:hAnsi="宋体" w:eastAsia="宋体" w:cs="宋体"/>
          <w:color w:val="auto"/>
          <w:spacing w:val="-6"/>
          <w:highlight w:val="none"/>
        </w:rPr>
        <w:t>标报</w:t>
      </w:r>
      <w:r>
        <w:rPr>
          <w:rFonts w:ascii="宋体" w:hAnsi="宋体" w:eastAsia="宋体" w:cs="宋体"/>
          <w:color w:val="auto"/>
          <w:spacing w:val="-4"/>
          <w:highlight w:val="none"/>
        </w:rPr>
        <w:t>价</w:t>
      </w:r>
      <w:r>
        <w:rPr>
          <w:rFonts w:ascii="宋体" w:hAnsi="宋体" w:eastAsia="宋体" w:cs="宋体"/>
          <w:color w:val="auto"/>
          <w:spacing w:val="-3"/>
          <w:highlight w:val="none"/>
        </w:rPr>
        <w:t xml:space="preserve">后的算术平均值 [A 为最高投标限价以下投标人个数的 </w:t>
      </w:r>
      <w:r>
        <w:rPr>
          <w:rFonts w:ascii="宋体" w:hAnsi="宋体" w:eastAsia="宋体" w:cs="宋体"/>
          <w:color w:val="auto"/>
          <w:spacing w:val="-3"/>
          <w:highlight w:val="none"/>
          <w:u w:val="single"/>
        </w:rPr>
        <w:t>2</w:t>
      </w:r>
      <w:r>
        <w:rPr>
          <w:rFonts w:hint="eastAsia" w:ascii="宋体" w:hAnsi="宋体" w:eastAsia="宋体" w:cs="宋体"/>
          <w:color w:val="auto"/>
          <w:spacing w:val="-3"/>
          <w:highlight w:val="none"/>
          <w:u w:val="single"/>
        </w:rPr>
        <w:t>5</w:t>
      </w:r>
      <w:r>
        <w:rPr>
          <w:rFonts w:ascii="宋体" w:hAnsi="宋体" w:eastAsia="宋体" w:cs="宋体"/>
          <w:color w:val="auto"/>
          <w:spacing w:val="-3"/>
          <w:highlight w:val="none"/>
          <w:u w:val="single"/>
        </w:rPr>
        <w:t>%</w:t>
      </w:r>
      <w:r>
        <w:rPr>
          <w:rFonts w:ascii="宋体" w:hAnsi="宋体" w:eastAsia="宋体" w:cs="宋体"/>
          <w:color w:val="auto"/>
          <w:spacing w:val="-3"/>
          <w:highlight w:val="none"/>
        </w:rPr>
        <w:t>,并取整数，小数点后四舍五入] ；</w:t>
      </w:r>
      <w:r>
        <w:rPr>
          <w:rFonts w:ascii="宋体" w:hAnsi="宋体" w:eastAsia="宋体" w:cs="宋体"/>
          <w:color w:val="auto"/>
          <w:highlight w:val="none"/>
        </w:rPr>
        <w:t xml:space="preserve"> </w:t>
      </w:r>
      <w:r>
        <w:rPr>
          <w:rFonts w:ascii="宋体" w:hAnsi="宋体" w:eastAsia="宋体" w:cs="宋体"/>
          <w:color w:val="auto"/>
          <w:spacing w:val="-10"/>
          <w:highlight w:val="none"/>
        </w:rPr>
        <w:t>若投标报</w:t>
      </w:r>
      <w:r>
        <w:rPr>
          <w:rFonts w:ascii="宋体" w:hAnsi="宋体" w:eastAsia="宋体" w:cs="宋体"/>
          <w:color w:val="auto"/>
          <w:spacing w:val="-8"/>
          <w:highlight w:val="none"/>
        </w:rPr>
        <w:t>价</w:t>
      </w:r>
      <w:r>
        <w:rPr>
          <w:rFonts w:ascii="宋体" w:hAnsi="宋体" w:eastAsia="宋体" w:cs="宋体"/>
          <w:color w:val="auto"/>
          <w:spacing w:val="-5"/>
          <w:highlight w:val="none"/>
        </w:rPr>
        <w:t>在最高投标限价以下投标人大于等于 50 家但少于 100 家时， 入评基准价为最高投标限价</w:t>
      </w:r>
      <w:r>
        <w:rPr>
          <w:rFonts w:ascii="宋体" w:hAnsi="宋体" w:eastAsia="宋体" w:cs="宋体"/>
          <w:color w:val="auto"/>
          <w:spacing w:val="-6"/>
          <w:highlight w:val="none"/>
        </w:rPr>
        <w:t>以下所有投标人的</w:t>
      </w:r>
      <w:r>
        <w:rPr>
          <w:rFonts w:ascii="宋体" w:hAnsi="宋体" w:eastAsia="宋体" w:cs="宋体"/>
          <w:color w:val="auto"/>
          <w:spacing w:val="-5"/>
          <w:highlight w:val="none"/>
        </w:rPr>
        <w:t>投</w:t>
      </w:r>
      <w:r>
        <w:rPr>
          <w:rFonts w:ascii="宋体" w:hAnsi="宋体" w:eastAsia="宋体" w:cs="宋体"/>
          <w:color w:val="auto"/>
          <w:spacing w:val="-3"/>
          <w:highlight w:val="none"/>
        </w:rPr>
        <w:t>标报价的算术平均值。若投标报价在最高投标限价以下投标人少于 50 家时， 不</w:t>
      </w:r>
      <w:r>
        <w:rPr>
          <w:rFonts w:ascii="宋体" w:hAnsi="宋体" w:eastAsia="宋体" w:cs="宋体"/>
          <w:color w:val="auto"/>
          <w:spacing w:val="-1"/>
          <w:highlight w:val="none"/>
        </w:rPr>
        <w:t>计算入评基</w:t>
      </w:r>
      <w:r>
        <w:rPr>
          <w:rFonts w:ascii="宋体" w:hAnsi="宋体" w:eastAsia="宋体" w:cs="宋体"/>
          <w:color w:val="auto"/>
          <w:highlight w:val="none"/>
        </w:rPr>
        <w:t>准价。</w:t>
      </w:r>
    </w:p>
    <w:p>
      <w:pPr>
        <w:spacing w:line="420" w:lineRule="exact"/>
        <w:ind w:right="25" w:firstLine="469"/>
        <w:rPr>
          <w:rFonts w:ascii="宋体" w:hAnsi="宋体" w:eastAsia="宋体" w:cs="宋体"/>
          <w:color w:val="auto"/>
          <w:highlight w:val="none"/>
        </w:rPr>
      </w:pPr>
      <w:r>
        <w:rPr>
          <w:rFonts w:ascii="宋体" w:hAnsi="宋体" w:eastAsia="宋体" w:cs="宋体"/>
          <w:color w:val="auto"/>
          <w:spacing w:val="-24"/>
          <w:highlight w:val="none"/>
        </w:rPr>
        <w:t>入</w:t>
      </w:r>
      <w:r>
        <w:rPr>
          <w:rFonts w:ascii="宋体" w:hAnsi="宋体" w:eastAsia="宋体" w:cs="宋体"/>
          <w:color w:val="auto"/>
          <w:spacing w:val="-20"/>
          <w:highlight w:val="none"/>
        </w:rPr>
        <w:t>评</w:t>
      </w:r>
      <w:r>
        <w:rPr>
          <w:rFonts w:ascii="宋体" w:hAnsi="宋体" w:eastAsia="宋体" w:cs="宋体"/>
          <w:color w:val="auto"/>
          <w:spacing w:val="-12"/>
          <w:highlight w:val="none"/>
        </w:rPr>
        <w:t>基准价由评标委员会依据上述方法计算，除计算差错外，确认后的入评基准价在评标期间保持不</w:t>
      </w:r>
      <w:r>
        <w:rPr>
          <w:rFonts w:ascii="宋体" w:hAnsi="宋体" w:eastAsia="宋体" w:cs="宋体"/>
          <w:color w:val="auto"/>
          <w:highlight w:val="none"/>
        </w:rPr>
        <w:t xml:space="preserve"> </w:t>
      </w:r>
      <w:r>
        <w:rPr>
          <w:rFonts w:ascii="宋体" w:hAnsi="宋体" w:eastAsia="宋体" w:cs="宋体"/>
          <w:color w:val="auto"/>
          <w:spacing w:val="-13"/>
          <w:highlight w:val="none"/>
        </w:rPr>
        <w:t>变。</w:t>
      </w:r>
    </w:p>
    <w:p>
      <w:pPr>
        <w:spacing w:line="420" w:lineRule="exact"/>
        <w:ind w:right="20" w:firstLine="470"/>
        <w:rPr>
          <w:rFonts w:ascii="宋体" w:hAnsi="宋体" w:eastAsia="宋体" w:cs="宋体"/>
          <w:color w:val="auto"/>
          <w:highlight w:val="none"/>
        </w:rPr>
      </w:pPr>
      <w:r>
        <w:rPr>
          <w:rFonts w:ascii="宋体" w:hAnsi="宋体" w:eastAsia="宋体" w:cs="宋体"/>
          <w:color w:val="auto"/>
          <w:spacing w:val="-22"/>
          <w:highlight w:val="none"/>
        </w:rPr>
        <w:t>计算</w:t>
      </w:r>
      <w:r>
        <w:rPr>
          <w:rFonts w:ascii="宋体" w:hAnsi="宋体" w:eastAsia="宋体" w:cs="宋体"/>
          <w:color w:val="auto"/>
          <w:spacing w:val="-15"/>
          <w:highlight w:val="none"/>
        </w:rPr>
        <w:t>差</w:t>
      </w:r>
      <w:r>
        <w:rPr>
          <w:rFonts w:ascii="宋体" w:hAnsi="宋体" w:eastAsia="宋体" w:cs="宋体"/>
          <w:color w:val="auto"/>
          <w:spacing w:val="-11"/>
          <w:highlight w:val="none"/>
        </w:rPr>
        <w:t>错，仅限于以下两种情况：(1)纯算术性四则运算差错；(2)未按约定的计算方法，多计或者少</w:t>
      </w:r>
      <w:r>
        <w:rPr>
          <w:rFonts w:ascii="宋体" w:hAnsi="宋体" w:eastAsia="宋体" w:cs="宋体"/>
          <w:color w:val="auto"/>
          <w:highlight w:val="none"/>
        </w:rPr>
        <w:t xml:space="preserve"> </w:t>
      </w:r>
      <w:r>
        <w:rPr>
          <w:rFonts w:ascii="宋体" w:hAnsi="宋体" w:eastAsia="宋体" w:cs="宋体"/>
          <w:color w:val="auto"/>
          <w:spacing w:val="-10"/>
          <w:highlight w:val="none"/>
        </w:rPr>
        <w:t>计投标人报价的。</w:t>
      </w:r>
    </w:p>
    <w:p>
      <w:pPr>
        <w:spacing w:line="420" w:lineRule="exact"/>
        <w:ind w:left="472"/>
        <w:rPr>
          <w:rFonts w:ascii="宋体" w:hAnsi="宋体" w:eastAsia="宋体" w:cs="宋体"/>
          <w:color w:val="auto"/>
          <w:highlight w:val="none"/>
        </w:rPr>
      </w:pPr>
      <w:r>
        <w:rPr>
          <w:rFonts w:ascii="宋体" w:hAnsi="宋体" w:eastAsia="宋体" w:cs="宋体"/>
          <w:color w:val="auto"/>
          <w:spacing w:val="-16"/>
          <w:highlight w:val="none"/>
        </w:rPr>
        <w:t>4</w:t>
      </w:r>
      <w:r>
        <w:rPr>
          <w:rFonts w:ascii="宋体" w:hAnsi="宋体" w:eastAsia="宋体" w:cs="宋体"/>
          <w:color w:val="auto"/>
          <w:spacing w:val="-11"/>
          <w:highlight w:val="none"/>
        </w:rPr>
        <w:t>.2.2 入评得分计算</w:t>
      </w:r>
    </w:p>
    <w:p>
      <w:pPr>
        <w:spacing w:line="420" w:lineRule="exact"/>
        <w:ind w:right="27" w:firstLine="348" w:firstLineChars="200"/>
        <w:rPr>
          <w:rFonts w:ascii="宋体" w:hAnsi="宋体" w:eastAsia="宋体" w:cs="宋体"/>
          <w:color w:val="auto"/>
          <w:highlight w:val="none"/>
        </w:rPr>
      </w:pPr>
      <w:r>
        <w:rPr>
          <w:rFonts w:ascii="宋体" w:hAnsi="宋体" w:eastAsia="宋体" w:cs="宋体"/>
          <w:color w:val="auto"/>
          <w:spacing w:val="-18"/>
          <w:highlight w:val="none"/>
        </w:rPr>
        <w:t>以</w:t>
      </w:r>
      <w:r>
        <w:rPr>
          <w:rFonts w:ascii="宋体" w:hAnsi="宋体" w:eastAsia="宋体" w:cs="宋体"/>
          <w:color w:val="auto"/>
          <w:spacing w:val="-13"/>
          <w:highlight w:val="none"/>
        </w:rPr>
        <w:t>入评基准价为基础，将各投标人的投标报价与入评基准价比较，计算出偏离基准价的百分数后，再</w:t>
      </w:r>
      <w:r>
        <w:rPr>
          <w:rFonts w:ascii="宋体" w:hAnsi="宋体" w:eastAsia="宋体" w:cs="宋体"/>
          <w:color w:val="auto"/>
          <w:highlight w:val="none"/>
        </w:rPr>
        <w:t xml:space="preserve"> </w:t>
      </w:r>
      <w:r>
        <w:rPr>
          <w:rFonts w:ascii="宋体" w:hAnsi="宋体" w:eastAsia="宋体" w:cs="宋体"/>
          <w:color w:val="auto"/>
          <w:spacing w:val="-13"/>
          <w:highlight w:val="none"/>
        </w:rPr>
        <w:t>进</w:t>
      </w:r>
      <w:r>
        <w:rPr>
          <w:rFonts w:ascii="宋体" w:hAnsi="宋体" w:eastAsia="宋体" w:cs="宋体"/>
          <w:color w:val="auto"/>
          <w:spacing w:val="-9"/>
          <w:highlight w:val="none"/>
        </w:rPr>
        <w:t>行计分。即：</w:t>
      </w:r>
    </w:p>
    <w:p>
      <w:pPr>
        <w:spacing w:line="420" w:lineRule="exact"/>
        <w:ind w:left="472"/>
        <w:rPr>
          <w:rFonts w:ascii="宋体" w:hAnsi="宋体" w:eastAsia="宋体" w:cs="宋体"/>
          <w:color w:val="auto"/>
          <w:highlight w:val="none"/>
        </w:rPr>
      </w:pPr>
      <w:r>
        <w:rPr>
          <w:rFonts w:ascii="宋体" w:hAnsi="宋体" w:eastAsia="宋体" w:cs="宋体"/>
          <w:color w:val="auto"/>
          <w:spacing w:val="-11"/>
          <w:highlight w:val="none"/>
        </w:rPr>
        <w:t>a</w:t>
      </w:r>
      <w:r>
        <w:rPr>
          <w:rFonts w:ascii="宋体" w:hAnsi="宋体" w:eastAsia="宋体" w:cs="宋体"/>
          <w:color w:val="auto"/>
          <w:spacing w:val="-22"/>
          <w:highlight w:val="none"/>
        </w:rPr>
        <w:t>.</w:t>
      </w:r>
      <w:r>
        <w:rPr>
          <w:rFonts w:ascii="宋体" w:hAnsi="宋体" w:eastAsia="宋体" w:cs="宋体"/>
          <w:color w:val="auto"/>
          <w:spacing w:val="-19"/>
          <w:highlight w:val="none"/>
        </w:rPr>
        <w:t>投</w:t>
      </w:r>
      <w:r>
        <w:rPr>
          <w:rFonts w:ascii="宋体" w:hAnsi="宋体" w:eastAsia="宋体" w:cs="宋体"/>
          <w:color w:val="auto"/>
          <w:spacing w:val="-11"/>
          <w:highlight w:val="none"/>
        </w:rPr>
        <w:t>标报价等于入评基准价时，得满分(</w:t>
      </w:r>
      <w:r>
        <w:rPr>
          <w:rFonts w:ascii="宋体" w:hAnsi="宋体" w:eastAsia="宋体" w:cs="宋体"/>
          <w:color w:val="auto"/>
          <w:spacing w:val="-11"/>
          <w:highlight w:val="none"/>
          <w:u w:val="single"/>
        </w:rPr>
        <w:t xml:space="preserve">100 </w:t>
      </w:r>
      <w:r>
        <w:rPr>
          <w:rFonts w:ascii="宋体" w:hAnsi="宋体" w:eastAsia="宋体" w:cs="宋体"/>
          <w:color w:val="auto"/>
          <w:spacing w:val="-11"/>
          <w:highlight w:val="none"/>
        </w:rPr>
        <w:t>分)。</w:t>
      </w:r>
    </w:p>
    <w:p>
      <w:pPr>
        <w:spacing w:line="420" w:lineRule="exact"/>
        <w:ind w:left="468"/>
        <w:rPr>
          <w:rFonts w:ascii="宋体" w:hAnsi="宋体" w:eastAsia="宋体" w:cs="宋体"/>
          <w:color w:val="auto"/>
          <w:highlight w:val="none"/>
        </w:rPr>
      </w:pPr>
      <w:r>
        <w:rPr>
          <w:rFonts w:ascii="宋体" w:hAnsi="宋体" w:eastAsia="宋体" w:cs="宋体"/>
          <w:color w:val="auto"/>
          <w:spacing w:val="-17"/>
          <w:highlight w:val="none"/>
        </w:rPr>
        <w:t>b</w:t>
      </w:r>
      <w:r>
        <w:rPr>
          <w:rFonts w:ascii="宋体" w:hAnsi="宋体" w:eastAsia="宋体" w:cs="宋体"/>
          <w:color w:val="auto"/>
          <w:spacing w:val="-24"/>
          <w:highlight w:val="none"/>
        </w:rPr>
        <w:t>.</w:t>
      </w:r>
      <w:r>
        <w:rPr>
          <w:rFonts w:ascii="宋体" w:hAnsi="宋体" w:eastAsia="宋体" w:cs="宋体"/>
          <w:color w:val="auto"/>
          <w:spacing w:val="-17"/>
          <w:highlight w:val="none"/>
        </w:rPr>
        <w:t xml:space="preserve">投标报价每低于入评基准价 1 个百分点，扣 </w:t>
      </w:r>
      <w:r>
        <w:rPr>
          <w:rFonts w:ascii="宋体" w:hAnsi="宋体" w:eastAsia="宋体" w:cs="宋体"/>
          <w:color w:val="auto"/>
          <w:spacing w:val="-17"/>
          <w:highlight w:val="none"/>
          <w:u w:val="single"/>
        </w:rPr>
        <w:t xml:space="preserve">2 </w:t>
      </w:r>
      <w:r>
        <w:rPr>
          <w:rFonts w:ascii="宋体" w:hAnsi="宋体" w:eastAsia="宋体" w:cs="宋体"/>
          <w:color w:val="auto"/>
          <w:spacing w:val="-17"/>
          <w:highlight w:val="none"/>
        </w:rPr>
        <w:t>分。</w:t>
      </w:r>
    </w:p>
    <w:p>
      <w:pPr>
        <w:spacing w:line="420" w:lineRule="exact"/>
        <w:ind w:left="476"/>
        <w:rPr>
          <w:rFonts w:ascii="宋体" w:hAnsi="宋体" w:eastAsia="宋体" w:cs="宋体"/>
          <w:color w:val="auto"/>
          <w:highlight w:val="none"/>
        </w:rPr>
      </w:pPr>
      <w:r>
        <w:rPr>
          <w:rFonts w:ascii="宋体" w:hAnsi="宋体" w:eastAsia="宋体" w:cs="宋体"/>
          <w:color w:val="auto"/>
          <w:spacing w:val="-17"/>
          <w:highlight w:val="none"/>
        </w:rPr>
        <w:t>c</w:t>
      </w:r>
      <w:r>
        <w:rPr>
          <w:rFonts w:ascii="宋体" w:hAnsi="宋体" w:eastAsia="宋体" w:cs="宋体"/>
          <w:color w:val="auto"/>
          <w:spacing w:val="-31"/>
          <w:highlight w:val="none"/>
        </w:rPr>
        <w:t>.</w:t>
      </w:r>
      <w:r>
        <w:rPr>
          <w:rFonts w:ascii="宋体" w:hAnsi="宋体" w:eastAsia="宋体" w:cs="宋体"/>
          <w:color w:val="auto"/>
          <w:spacing w:val="-17"/>
          <w:highlight w:val="none"/>
        </w:rPr>
        <w:t xml:space="preserve">投标报价每高于入评基准价 1 个百分点，扣 </w:t>
      </w:r>
      <w:r>
        <w:rPr>
          <w:rFonts w:ascii="宋体" w:hAnsi="宋体" w:eastAsia="宋体" w:cs="宋体"/>
          <w:color w:val="auto"/>
          <w:spacing w:val="-17"/>
          <w:highlight w:val="none"/>
          <w:u w:val="single"/>
        </w:rPr>
        <w:t xml:space="preserve">4 </w:t>
      </w:r>
      <w:r>
        <w:rPr>
          <w:rFonts w:ascii="宋体" w:hAnsi="宋体" w:eastAsia="宋体" w:cs="宋体"/>
          <w:color w:val="auto"/>
          <w:spacing w:val="-17"/>
          <w:highlight w:val="none"/>
        </w:rPr>
        <w:t>分。</w:t>
      </w:r>
    </w:p>
    <w:p>
      <w:pPr>
        <w:spacing w:line="420" w:lineRule="exact"/>
        <w:ind w:left="5" w:right="18" w:firstLine="490"/>
        <w:rPr>
          <w:rFonts w:ascii="宋体" w:hAnsi="宋体" w:eastAsia="宋体" w:cs="宋体"/>
          <w:color w:val="auto"/>
          <w:highlight w:val="none"/>
        </w:rPr>
      </w:pPr>
      <w:r>
        <w:rPr>
          <w:rFonts w:ascii="宋体" w:hAnsi="宋体" w:eastAsia="宋体" w:cs="宋体"/>
          <w:color w:val="auto"/>
          <w:spacing w:val="-20"/>
          <w:highlight w:val="none"/>
        </w:rPr>
        <w:t>以</w:t>
      </w:r>
      <w:r>
        <w:rPr>
          <w:rFonts w:ascii="宋体" w:hAnsi="宋体" w:eastAsia="宋体" w:cs="宋体"/>
          <w:color w:val="auto"/>
          <w:spacing w:val="-19"/>
          <w:highlight w:val="none"/>
        </w:rPr>
        <w:t>上评分计算过程保留小数 3 位，第 4 位四舍五入，最终结果保留小数 2 位，第 3 位四舍五入，评分</w:t>
      </w:r>
      <w:r>
        <w:rPr>
          <w:rFonts w:ascii="宋体" w:hAnsi="宋体" w:eastAsia="宋体" w:cs="宋体"/>
          <w:color w:val="auto"/>
          <w:highlight w:val="none"/>
        </w:rPr>
        <w:t xml:space="preserve"> </w:t>
      </w:r>
      <w:r>
        <w:rPr>
          <w:rFonts w:ascii="宋体" w:hAnsi="宋体" w:eastAsia="宋体" w:cs="宋体"/>
          <w:color w:val="auto"/>
          <w:spacing w:val="-18"/>
          <w:highlight w:val="none"/>
        </w:rPr>
        <w:t>不</w:t>
      </w:r>
      <w:r>
        <w:rPr>
          <w:rFonts w:ascii="宋体" w:hAnsi="宋体" w:eastAsia="宋体" w:cs="宋体"/>
          <w:color w:val="auto"/>
          <w:spacing w:val="-11"/>
          <w:highlight w:val="none"/>
        </w:rPr>
        <w:t>足一个百分点时，使用直线插入法计算。</w:t>
      </w:r>
    </w:p>
    <w:p>
      <w:pPr>
        <w:spacing w:line="420" w:lineRule="exact"/>
        <w:ind w:left="473"/>
        <w:rPr>
          <w:rFonts w:ascii="宋体" w:hAnsi="宋体" w:eastAsia="宋体" w:cs="宋体"/>
          <w:color w:val="auto"/>
          <w:highlight w:val="none"/>
        </w:rPr>
      </w:pPr>
      <w:r>
        <w:rPr>
          <w:rFonts w:ascii="宋体" w:hAnsi="宋体" w:eastAsia="宋体" w:cs="宋体"/>
          <w:color w:val="auto"/>
          <w:spacing w:val="-16"/>
          <w:highlight w:val="none"/>
        </w:rPr>
        <w:t>4</w:t>
      </w:r>
      <w:r>
        <w:rPr>
          <w:rFonts w:ascii="宋体" w:hAnsi="宋体" w:eastAsia="宋体" w:cs="宋体"/>
          <w:color w:val="auto"/>
          <w:spacing w:val="-11"/>
          <w:highlight w:val="none"/>
        </w:rPr>
        <w:t>.2.3 入评投标人选择</w:t>
      </w:r>
    </w:p>
    <w:p>
      <w:pPr>
        <w:spacing w:line="420" w:lineRule="exact"/>
        <w:ind w:left="1" w:firstLine="472"/>
        <w:rPr>
          <w:rFonts w:ascii="宋体" w:hAnsi="宋体" w:eastAsia="宋体" w:cs="宋体"/>
          <w:color w:val="auto"/>
          <w:highlight w:val="none"/>
        </w:rPr>
      </w:pPr>
      <w:r>
        <w:rPr>
          <w:rFonts w:ascii="宋体" w:hAnsi="宋体" w:eastAsia="宋体" w:cs="宋体"/>
          <w:color w:val="auto"/>
          <w:spacing w:val="-22"/>
          <w:highlight w:val="none"/>
        </w:rPr>
        <w:t>投标</w:t>
      </w:r>
      <w:r>
        <w:rPr>
          <w:rFonts w:ascii="宋体" w:hAnsi="宋体" w:eastAsia="宋体" w:cs="宋体"/>
          <w:color w:val="auto"/>
          <w:spacing w:val="-12"/>
          <w:highlight w:val="none"/>
        </w:rPr>
        <w:t>报</w:t>
      </w:r>
      <w:r>
        <w:rPr>
          <w:rFonts w:ascii="宋体" w:hAnsi="宋体" w:eastAsia="宋体" w:cs="宋体"/>
          <w:color w:val="auto"/>
          <w:spacing w:val="-11"/>
          <w:highlight w:val="none"/>
        </w:rPr>
        <w:t>价在最高投标限价以下的投标人在 50 家及以上时，评标委员会按投标人的入评得分由高到低</w:t>
      </w:r>
      <w:r>
        <w:rPr>
          <w:rFonts w:ascii="宋体" w:hAnsi="宋体" w:eastAsia="宋体" w:cs="宋体"/>
          <w:color w:val="auto"/>
          <w:highlight w:val="none"/>
        </w:rPr>
        <w:t xml:space="preserve"> </w:t>
      </w:r>
      <w:r>
        <w:rPr>
          <w:rFonts w:ascii="宋体" w:hAnsi="宋体" w:eastAsia="宋体" w:cs="宋体"/>
          <w:color w:val="auto"/>
          <w:spacing w:val="-26"/>
          <w:highlight w:val="none"/>
        </w:rPr>
        <w:t>的顺</w:t>
      </w:r>
      <w:r>
        <w:rPr>
          <w:rFonts w:ascii="宋体" w:hAnsi="宋体" w:eastAsia="宋体" w:cs="宋体"/>
          <w:color w:val="auto"/>
          <w:spacing w:val="-23"/>
          <w:highlight w:val="none"/>
        </w:rPr>
        <w:t>序</w:t>
      </w:r>
      <w:r>
        <w:rPr>
          <w:rFonts w:ascii="宋体" w:hAnsi="宋体" w:eastAsia="宋体" w:cs="宋体"/>
          <w:color w:val="auto"/>
          <w:spacing w:val="-13"/>
          <w:highlight w:val="none"/>
        </w:rPr>
        <w:t>(入评得分相同时，按投标报价由低到高的顺序)取 10 名投标人作为入评投标人进入后续评审</w:t>
      </w:r>
      <w:r>
        <w:rPr>
          <w:rFonts w:hint="eastAsia" w:ascii="宋体" w:hAnsi="宋体" w:eastAsia="宋体" w:cs="宋体"/>
          <w:color w:val="auto"/>
          <w:spacing w:val="-13"/>
          <w:highlight w:val="none"/>
        </w:rPr>
        <w:t>。如果出现并列第10名时，</w:t>
      </w:r>
      <w:r>
        <w:rPr>
          <w:rFonts w:ascii="宋体" w:hAnsi="宋体" w:eastAsia="宋体" w:cs="宋体"/>
          <w:color w:val="auto"/>
          <w:spacing w:val="-13"/>
          <w:highlight w:val="none"/>
        </w:rPr>
        <w:t>入评得分相同</w:t>
      </w:r>
      <w:r>
        <w:rPr>
          <w:rFonts w:hint="eastAsia" w:ascii="宋体" w:hAnsi="宋体" w:eastAsia="宋体" w:cs="宋体"/>
          <w:color w:val="auto"/>
          <w:spacing w:val="-13"/>
          <w:highlight w:val="none"/>
        </w:rPr>
        <w:t>且</w:t>
      </w:r>
      <w:r>
        <w:rPr>
          <w:rFonts w:ascii="宋体" w:hAnsi="宋体" w:eastAsia="宋体" w:cs="宋体"/>
          <w:color w:val="auto"/>
          <w:spacing w:val="-13"/>
          <w:highlight w:val="none"/>
        </w:rPr>
        <w:t>投标报价</w:t>
      </w:r>
      <w:r>
        <w:rPr>
          <w:rFonts w:hint="eastAsia" w:ascii="宋体" w:hAnsi="宋体" w:eastAsia="宋体" w:cs="宋体"/>
          <w:color w:val="auto"/>
          <w:spacing w:val="-13"/>
          <w:highlight w:val="none"/>
        </w:rPr>
        <w:t>也相同时，并列第10名全部进入评审</w:t>
      </w:r>
      <w:r>
        <w:rPr>
          <w:rFonts w:ascii="宋体" w:hAnsi="宋体" w:eastAsia="宋体" w:cs="宋体"/>
          <w:color w:val="auto"/>
          <w:spacing w:val="-13"/>
          <w:highlight w:val="none"/>
        </w:rPr>
        <w:t>。在后</w:t>
      </w:r>
      <w:r>
        <w:rPr>
          <w:rFonts w:ascii="宋体" w:hAnsi="宋体" w:eastAsia="宋体" w:cs="宋体"/>
          <w:color w:val="auto"/>
          <w:spacing w:val="-28"/>
          <w:highlight w:val="none"/>
        </w:rPr>
        <w:t>续</w:t>
      </w:r>
      <w:r>
        <w:rPr>
          <w:rFonts w:ascii="宋体" w:hAnsi="宋体" w:eastAsia="宋体" w:cs="宋体"/>
          <w:color w:val="auto"/>
          <w:spacing w:val="-15"/>
          <w:highlight w:val="none"/>
        </w:rPr>
        <w:t>评审过程中出现否决投标情况的，其他投标人按入评得分由高到低的顺序依次递补满 10 名(少于 10 名时</w:t>
      </w:r>
      <w:r>
        <w:rPr>
          <w:rFonts w:ascii="宋体" w:hAnsi="宋体" w:eastAsia="宋体" w:cs="宋体"/>
          <w:color w:val="auto"/>
          <w:spacing w:val="-12"/>
          <w:highlight w:val="none"/>
        </w:rPr>
        <w:t>全部进入评审范围)。若投标报价在最高投标限价以下的投标人少于 50 家时，所有投标人均作为入评投</w:t>
      </w:r>
      <w:r>
        <w:rPr>
          <w:rFonts w:ascii="宋体" w:hAnsi="宋体" w:eastAsia="宋体" w:cs="宋体"/>
          <w:color w:val="auto"/>
          <w:spacing w:val="-5"/>
          <w:highlight w:val="none"/>
        </w:rPr>
        <w:t>标</w:t>
      </w:r>
      <w:r>
        <w:rPr>
          <w:rFonts w:ascii="宋体" w:hAnsi="宋体" w:eastAsia="宋体" w:cs="宋体"/>
          <w:color w:val="auto"/>
          <w:spacing w:val="-10"/>
          <w:highlight w:val="none"/>
        </w:rPr>
        <w:t>人进入评审范围。</w:t>
      </w:r>
    </w:p>
    <w:p>
      <w:pPr>
        <w:spacing w:line="420" w:lineRule="exact"/>
        <w:ind w:left="3"/>
        <w:outlineLvl w:val="0"/>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4</w:t>
      </w:r>
      <w:r>
        <w:rPr>
          <w:rFonts w:ascii="宋体" w:hAnsi="宋体" w:eastAsia="宋体" w:cs="宋体"/>
          <w:color w:val="auto"/>
          <w:spacing w:val="-11"/>
          <w:sz w:val="24"/>
          <w:szCs w:val="24"/>
          <w:highlight w:val="none"/>
        </w:rPr>
        <w:t>.3 投标文件的符合性审查</w:t>
      </w:r>
    </w:p>
    <w:p>
      <w:pPr>
        <w:spacing w:line="420" w:lineRule="exact"/>
        <w:ind w:left="3" w:right="13" w:firstLine="470"/>
        <w:rPr>
          <w:rFonts w:ascii="宋体" w:hAnsi="宋体" w:eastAsia="宋体" w:cs="宋体"/>
          <w:color w:val="auto"/>
          <w:highlight w:val="none"/>
        </w:rPr>
      </w:pPr>
      <w:r>
        <w:rPr>
          <w:rFonts w:ascii="宋体" w:hAnsi="宋体" w:eastAsia="宋体" w:cs="宋体"/>
          <w:color w:val="auto"/>
          <w:spacing w:val="-22"/>
          <w:highlight w:val="none"/>
        </w:rPr>
        <w:t>4.</w:t>
      </w:r>
      <w:r>
        <w:rPr>
          <w:rFonts w:ascii="宋体" w:hAnsi="宋体" w:eastAsia="宋体" w:cs="宋体"/>
          <w:color w:val="auto"/>
          <w:spacing w:val="-15"/>
          <w:highlight w:val="none"/>
        </w:rPr>
        <w:t>3</w:t>
      </w:r>
      <w:r>
        <w:rPr>
          <w:rFonts w:ascii="宋体" w:hAnsi="宋体" w:eastAsia="宋体" w:cs="宋体"/>
          <w:color w:val="auto"/>
          <w:spacing w:val="-11"/>
          <w:highlight w:val="none"/>
        </w:rPr>
        <w:t>.1 评标委员会应依照招标文件的要求和规定，首先对入评投标人的投标资格和投标文件进行符合</w:t>
      </w:r>
      <w:r>
        <w:rPr>
          <w:rFonts w:ascii="宋体" w:hAnsi="宋体" w:eastAsia="宋体" w:cs="宋体"/>
          <w:color w:val="auto"/>
          <w:highlight w:val="none"/>
        </w:rPr>
        <w:t xml:space="preserve"> </w:t>
      </w:r>
      <w:r>
        <w:rPr>
          <w:rFonts w:ascii="宋体" w:hAnsi="宋体" w:eastAsia="宋体" w:cs="宋体"/>
          <w:color w:val="auto"/>
          <w:spacing w:val="-20"/>
          <w:highlight w:val="none"/>
        </w:rPr>
        <w:t>性审查</w:t>
      </w:r>
      <w:r>
        <w:rPr>
          <w:rFonts w:ascii="宋体" w:hAnsi="宋体" w:eastAsia="宋体" w:cs="宋体"/>
          <w:color w:val="auto"/>
          <w:spacing w:val="-11"/>
          <w:highlight w:val="none"/>
        </w:rPr>
        <w:t>。</w:t>
      </w:r>
      <w:r>
        <w:rPr>
          <w:rFonts w:ascii="宋体" w:hAnsi="宋体" w:eastAsia="宋体" w:cs="宋体"/>
          <w:color w:val="auto"/>
          <w:spacing w:val="-10"/>
          <w:highlight w:val="none"/>
        </w:rPr>
        <w:t>符合性审查应包括三个方面内容：投标人资格审查、投标文件实质性格式要求响应性审查、投标</w:t>
      </w:r>
      <w:r>
        <w:rPr>
          <w:rFonts w:ascii="宋体" w:hAnsi="宋体" w:eastAsia="宋体" w:cs="宋体"/>
          <w:color w:val="auto"/>
          <w:highlight w:val="none"/>
        </w:rPr>
        <w:t xml:space="preserve"> </w:t>
      </w:r>
      <w:r>
        <w:rPr>
          <w:rFonts w:ascii="宋体" w:hAnsi="宋体" w:eastAsia="宋体" w:cs="宋体"/>
          <w:color w:val="auto"/>
          <w:spacing w:val="-22"/>
          <w:highlight w:val="none"/>
        </w:rPr>
        <w:t>文件</w:t>
      </w:r>
      <w:r>
        <w:rPr>
          <w:rFonts w:ascii="宋体" w:hAnsi="宋体" w:eastAsia="宋体" w:cs="宋体"/>
          <w:color w:val="auto"/>
          <w:spacing w:val="-12"/>
          <w:highlight w:val="none"/>
        </w:rPr>
        <w:t>实</w:t>
      </w:r>
      <w:r>
        <w:rPr>
          <w:rFonts w:ascii="宋体" w:hAnsi="宋体" w:eastAsia="宋体" w:cs="宋体"/>
          <w:color w:val="auto"/>
          <w:spacing w:val="-11"/>
          <w:highlight w:val="none"/>
        </w:rPr>
        <w:t>质性内容要求响应性审查。符合性审查未通过的投标文件不再进入后续评审。</w:t>
      </w:r>
    </w:p>
    <w:p>
      <w:pPr>
        <w:spacing w:line="420" w:lineRule="exact"/>
        <w:ind w:left="2" w:right="22" w:firstLine="471"/>
        <w:rPr>
          <w:rFonts w:ascii="宋体" w:hAnsi="宋体" w:eastAsia="宋体" w:cs="宋体"/>
          <w:color w:val="auto"/>
          <w:highlight w:val="none"/>
        </w:rPr>
      </w:pPr>
      <w:r>
        <w:rPr>
          <w:rFonts w:ascii="宋体" w:hAnsi="宋体" w:eastAsia="宋体" w:cs="宋体"/>
          <w:color w:val="auto"/>
          <w:spacing w:val="-22"/>
          <w:highlight w:val="none"/>
        </w:rPr>
        <w:t>4.3</w:t>
      </w:r>
      <w:r>
        <w:rPr>
          <w:rFonts w:ascii="宋体" w:hAnsi="宋体" w:eastAsia="宋体" w:cs="宋体"/>
          <w:color w:val="auto"/>
          <w:spacing w:val="-11"/>
          <w:highlight w:val="none"/>
        </w:rPr>
        <w:t>.2 投标人不得通过补充、修改或撤销投标文件中的内容使其成为实质性响应的投标。投标人在投</w:t>
      </w:r>
      <w:r>
        <w:rPr>
          <w:rFonts w:ascii="宋体" w:hAnsi="宋体" w:eastAsia="宋体" w:cs="宋体"/>
          <w:color w:val="auto"/>
          <w:highlight w:val="none"/>
        </w:rPr>
        <w:t xml:space="preserve"> </w:t>
      </w:r>
      <w:r>
        <w:rPr>
          <w:rFonts w:ascii="宋体" w:hAnsi="宋体" w:eastAsia="宋体" w:cs="宋体"/>
          <w:color w:val="auto"/>
          <w:spacing w:val="-15"/>
          <w:highlight w:val="none"/>
        </w:rPr>
        <w:t>标</w:t>
      </w:r>
      <w:r>
        <w:rPr>
          <w:rFonts w:ascii="宋体" w:hAnsi="宋体" w:eastAsia="宋体" w:cs="宋体"/>
          <w:color w:val="auto"/>
          <w:spacing w:val="-11"/>
          <w:highlight w:val="none"/>
        </w:rPr>
        <w:t>截止以后不得提交任何资料作为评标依据。</w:t>
      </w:r>
    </w:p>
    <w:p>
      <w:pPr>
        <w:spacing w:line="420" w:lineRule="exact"/>
        <w:ind w:left="2" w:right="11" w:firstLine="471"/>
        <w:rPr>
          <w:rFonts w:ascii="宋体" w:hAnsi="宋体" w:eastAsia="宋体" w:cs="宋体"/>
          <w:color w:val="auto"/>
          <w:highlight w:val="none"/>
        </w:rPr>
      </w:pPr>
      <w:r>
        <w:rPr>
          <w:rFonts w:ascii="宋体" w:hAnsi="宋体" w:eastAsia="宋体" w:cs="宋体"/>
          <w:color w:val="auto"/>
          <w:spacing w:val="-26"/>
          <w:highlight w:val="none"/>
        </w:rPr>
        <w:t>4</w:t>
      </w:r>
      <w:r>
        <w:rPr>
          <w:rFonts w:ascii="宋体" w:hAnsi="宋体" w:eastAsia="宋体" w:cs="宋体"/>
          <w:color w:val="auto"/>
          <w:spacing w:val="-20"/>
          <w:highlight w:val="none"/>
        </w:rPr>
        <w:t>.</w:t>
      </w:r>
      <w:r>
        <w:rPr>
          <w:rFonts w:ascii="宋体" w:hAnsi="宋体" w:eastAsia="宋体" w:cs="宋体"/>
          <w:color w:val="auto"/>
          <w:spacing w:val="-13"/>
          <w:highlight w:val="none"/>
        </w:rPr>
        <w:t>3.3 投标文件如存在以下情况之一的，由评标委员会全体成员按照少数服从多数的原则记名投票(不</w:t>
      </w:r>
      <w:r>
        <w:rPr>
          <w:rFonts w:ascii="宋体" w:hAnsi="宋体" w:eastAsia="宋体" w:cs="宋体"/>
          <w:color w:val="auto"/>
          <w:highlight w:val="none"/>
        </w:rPr>
        <w:t xml:space="preserve"> </w:t>
      </w:r>
      <w:r>
        <w:rPr>
          <w:rFonts w:ascii="宋体" w:hAnsi="宋体" w:eastAsia="宋体" w:cs="宋体"/>
          <w:color w:val="auto"/>
          <w:spacing w:val="-22"/>
          <w:highlight w:val="none"/>
        </w:rPr>
        <w:t>得</w:t>
      </w:r>
      <w:r>
        <w:rPr>
          <w:rFonts w:ascii="宋体" w:hAnsi="宋体" w:eastAsia="宋体" w:cs="宋体"/>
          <w:color w:val="auto"/>
          <w:spacing w:val="-16"/>
          <w:highlight w:val="none"/>
        </w:rPr>
        <w:t>弃</w:t>
      </w:r>
      <w:r>
        <w:rPr>
          <w:rFonts w:ascii="宋体" w:hAnsi="宋体" w:eastAsia="宋体" w:cs="宋体"/>
          <w:color w:val="auto"/>
          <w:spacing w:val="-11"/>
          <w:highlight w:val="none"/>
        </w:rPr>
        <w:t>权)认定，作为符合性审查未通过予以否决其投标，不再进行技术和商务的评审：</w:t>
      </w:r>
    </w:p>
    <w:p>
      <w:pPr>
        <w:spacing w:line="420" w:lineRule="exact"/>
        <w:ind w:left="516"/>
        <w:rPr>
          <w:rFonts w:ascii="宋体" w:hAnsi="宋体" w:eastAsia="宋体" w:cs="宋体"/>
          <w:color w:val="auto"/>
          <w:highlight w:val="none"/>
        </w:rPr>
      </w:pPr>
      <w:r>
        <w:rPr>
          <w:rFonts w:ascii="宋体" w:hAnsi="宋体" w:eastAsia="宋体" w:cs="宋体"/>
          <w:color w:val="auto"/>
          <w:spacing w:val="-15"/>
          <w:highlight w:val="none"/>
        </w:rPr>
        <w:t>1</w:t>
      </w:r>
      <w:r>
        <w:rPr>
          <w:rFonts w:ascii="宋体" w:hAnsi="宋体" w:eastAsia="宋体" w:cs="宋体"/>
          <w:color w:val="auto"/>
          <w:spacing w:val="-11"/>
          <w:highlight w:val="none"/>
        </w:rPr>
        <w:t>.</w:t>
      </w:r>
      <w:r>
        <w:rPr>
          <w:rFonts w:hint="eastAsia" w:ascii="宋体" w:hAnsi="宋体" w:eastAsia="宋体" w:cs="宋体"/>
          <w:color w:val="auto"/>
          <w:spacing w:val="-11"/>
          <w:highlight w:val="none"/>
        </w:rPr>
        <w:t>资信标、</w:t>
      </w:r>
      <w:r>
        <w:rPr>
          <w:rFonts w:ascii="宋体" w:hAnsi="宋体" w:eastAsia="宋体" w:cs="宋体"/>
          <w:color w:val="auto"/>
          <w:spacing w:val="-11"/>
          <w:highlight w:val="none"/>
        </w:rPr>
        <w:t>技术标符合性审查未通过的情形：</w:t>
      </w:r>
    </w:p>
    <w:p>
      <w:pPr>
        <w:spacing w:line="420" w:lineRule="exact"/>
        <w:ind w:left="2" w:right="256" w:firstLine="535"/>
        <w:rPr>
          <w:rFonts w:ascii="宋体" w:hAnsi="宋体" w:eastAsia="宋体" w:cs="宋体"/>
          <w:color w:val="auto"/>
          <w:highlight w:val="none"/>
        </w:rPr>
      </w:pPr>
      <w:r>
        <w:rPr>
          <w:rFonts w:ascii="宋体" w:hAnsi="宋体" w:eastAsia="宋体" w:cs="宋体"/>
          <w:color w:val="auto"/>
          <w:spacing w:val="-12"/>
          <w:highlight w:val="none"/>
        </w:rPr>
        <w:t>(1)投标人未按招标文件要求加盖单位印章或投标人的法定代表人(或其委托代理人)未按招标文</w:t>
      </w:r>
      <w:r>
        <w:rPr>
          <w:rFonts w:ascii="宋体" w:hAnsi="宋体" w:eastAsia="宋体" w:cs="宋体"/>
          <w:color w:val="auto"/>
          <w:spacing w:val="-5"/>
          <w:highlight w:val="none"/>
        </w:rPr>
        <w:t>件</w:t>
      </w:r>
      <w:r>
        <w:rPr>
          <w:rFonts w:ascii="宋体" w:hAnsi="宋体" w:eastAsia="宋体" w:cs="宋体"/>
          <w:color w:val="auto"/>
          <w:highlight w:val="none"/>
        </w:rPr>
        <w:t xml:space="preserve"> </w:t>
      </w:r>
      <w:r>
        <w:rPr>
          <w:rFonts w:ascii="宋体" w:hAnsi="宋体" w:eastAsia="宋体" w:cs="宋体"/>
          <w:color w:val="auto"/>
          <w:spacing w:val="-14"/>
          <w:highlight w:val="none"/>
        </w:rPr>
        <w:t>要</w:t>
      </w:r>
      <w:r>
        <w:rPr>
          <w:rFonts w:ascii="宋体" w:hAnsi="宋体" w:eastAsia="宋体" w:cs="宋体"/>
          <w:color w:val="auto"/>
          <w:spacing w:val="-10"/>
          <w:highlight w:val="none"/>
        </w:rPr>
        <w:t>求签字或盖章的。</w:t>
      </w:r>
    </w:p>
    <w:p>
      <w:pPr>
        <w:spacing w:line="420" w:lineRule="exact"/>
        <w:ind w:left="3" w:right="258" w:firstLine="534"/>
        <w:rPr>
          <w:rFonts w:ascii="宋体" w:hAnsi="宋体" w:eastAsia="宋体" w:cs="宋体"/>
          <w:color w:val="auto"/>
          <w:highlight w:val="none"/>
        </w:rPr>
      </w:pPr>
      <w:r>
        <w:rPr>
          <w:rFonts w:ascii="宋体" w:hAnsi="宋体" w:eastAsia="宋体" w:cs="宋体"/>
          <w:color w:val="auto"/>
          <w:spacing w:val="-19"/>
          <w:highlight w:val="none"/>
        </w:rPr>
        <w:t>(</w:t>
      </w:r>
      <w:r>
        <w:rPr>
          <w:rFonts w:ascii="宋体" w:hAnsi="宋体" w:eastAsia="宋体" w:cs="宋体"/>
          <w:color w:val="auto"/>
          <w:spacing w:val="-12"/>
          <w:highlight w:val="none"/>
        </w:rPr>
        <w:t>2)投标人法定代表人授权委托代理人签署投标文件，未提供有效授权委托书的或投标人法定代表</w:t>
      </w:r>
      <w:r>
        <w:rPr>
          <w:rFonts w:ascii="宋体" w:hAnsi="宋体" w:eastAsia="宋体" w:cs="宋体"/>
          <w:color w:val="auto"/>
          <w:highlight w:val="none"/>
        </w:rPr>
        <w:t xml:space="preserve"> </w:t>
      </w:r>
      <w:r>
        <w:rPr>
          <w:rFonts w:ascii="宋体" w:hAnsi="宋体" w:eastAsia="宋体" w:cs="宋体"/>
          <w:color w:val="auto"/>
          <w:spacing w:val="-20"/>
          <w:highlight w:val="none"/>
        </w:rPr>
        <w:t>人</w:t>
      </w:r>
      <w:r>
        <w:rPr>
          <w:rFonts w:ascii="宋体" w:hAnsi="宋体" w:eastAsia="宋体" w:cs="宋体"/>
          <w:color w:val="auto"/>
          <w:spacing w:val="-11"/>
          <w:highlight w:val="none"/>
        </w:rPr>
        <w:t>亲自签署投标文件，未提供法定代表人身份证明的。</w:t>
      </w:r>
    </w:p>
    <w:p>
      <w:pPr>
        <w:spacing w:line="420" w:lineRule="exact"/>
        <w:ind w:left="538"/>
        <w:rPr>
          <w:rFonts w:ascii="宋体" w:hAnsi="宋体" w:eastAsia="宋体" w:cs="宋体"/>
          <w:color w:val="auto"/>
          <w:highlight w:val="none"/>
        </w:rPr>
      </w:pPr>
      <w:r>
        <w:rPr>
          <w:rFonts w:ascii="宋体" w:hAnsi="宋体" w:eastAsia="宋体" w:cs="宋体"/>
          <w:color w:val="auto"/>
          <w:spacing w:val="-14"/>
          <w:highlight w:val="none"/>
        </w:rPr>
        <w:t>(</w:t>
      </w:r>
      <w:r>
        <w:rPr>
          <w:rFonts w:ascii="宋体" w:hAnsi="宋体" w:eastAsia="宋体" w:cs="宋体"/>
          <w:color w:val="auto"/>
          <w:spacing w:val="-12"/>
          <w:highlight w:val="none"/>
        </w:rPr>
        <w:t>3)联合体投标未附有效的联合体协议书的。</w:t>
      </w:r>
    </w:p>
    <w:p>
      <w:pPr>
        <w:spacing w:line="420" w:lineRule="exact"/>
        <w:ind w:left="12" w:right="251" w:firstLine="525"/>
        <w:rPr>
          <w:rFonts w:ascii="宋体" w:hAnsi="宋体" w:eastAsia="宋体" w:cs="宋体"/>
          <w:color w:val="auto"/>
          <w:highlight w:val="none"/>
        </w:rPr>
      </w:pPr>
      <w:r>
        <w:rPr>
          <w:rFonts w:ascii="宋体" w:hAnsi="宋体" w:eastAsia="宋体" w:cs="宋体"/>
          <w:color w:val="auto"/>
          <w:spacing w:val="-23"/>
          <w:highlight w:val="none"/>
        </w:rPr>
        <w:t>(</w:t>
      </w:r>
      <w:r>
        <w:rPr>
          <w:rFonts w:ascii="宋体" w:hAnsi="宋体" w:eastAsia="宋体" w:cs="宋体"/>
          <w:color w:val="auto"/>
          <w:spacing w:val="-13"/>
          <w:highlight w:val="none"/>
        </w:rPr>
        <w:t>4)投标人的投标资格不满足招标文件载明的强制性要求的(以投标人须知前附表第 10.3 款实质性</w:t>
      </w:r>
      <w:r>
        <w:rPr>
          <w:rFonts w:ascii="宋体" w:hAnsi="宋体" w:eastAsia="宋体" w:cs="宋体"/>
          <w:color w:val="auto"/>
          <w:highlight w:val="none"/>
        </w:rPr>
        <w:t xml:space="preserve"> </w:t>
      </w:r>
      <w:r>
        <w:rPr>
          <w:rFonts w:ascii="宋体" w:hAnsi="宋体" w:eastAsia="宋体" w:cs="宋体"/>
          <w:color w:val="auto"/>
          <w:spacing w:val="-18"/>
          <w:highlight w:val="none"/>
        </w:rPr>
        <w:t>响</w:t>
      </w:r>
      <w:r>
        <w:rPr>
          <w:rFonts w:ascii="宋体" w:hAnsi="宋体" w:eastAsia="宋体" w:cs="宋体"/>
          <w:color w:val="auto"/>
          <w:spacing w:val="-11"/>
          <w:highlight w:val="none"/>
        </w:rPr>
        <w:t>应招标文件资料为准),或不满足国家有关规定的。</w:t>
      </w:r>
    </w:p>
    <w:p>
      <w:pPr>
        <w:spacing w:line="420" w:lineRule="exact"/>
        <w:ind w:left="17" w:right="246" w:firstLine="520"/>
        <w:rPr>
          <w:rFonts w:ascii="宋体" w:hAnsi="宋体" w:eastAsia="宋体" w:cs="宋体"/>
          <w:color w:val="auto"/>
          <w:highlight w:val="none"/>
        </w:rPr>
      </w:pPr>
      <w:r>
        <w:rPr>
          <w:rFonts w:ascii="宋体" w:hAnsi="宋体" w:eastAsia="宋体" w:cs="宋体"/>
          <w:color w:val="auto"/>
          <w:spacing w:val="-5"/>
          <w:highlight w:val="none"/>
        </w:rPr>
        <w:t>(5)拟实行分包的，其分包的工作不满足招标文件载明的强制性要求的(以投标人须知前附</w:t>
      </w:r>
      <w:r>
        <w:rPr>
          <w:rFonts w:ascii="宋体" w:hAnsi="宋体" w:eastAsia="宋体" w:cs="宋体"/>
          <w:color w:val="auto"/>
          <w:spacing w:val="-4"/>
          <w:highlight w:val="none"/>
        </w:rPr>
        <w:t>表</w:t>
      </w:r>
      <w:r>
        <w:rPr>
          <w:rFonts w:ascii="宋体" w:hAnsi="宋体" w:eastAsia="宋体" w:cs="宋体"/>
          <w:color w:val="auto"/>
          <w:highlight w:val="none"/>
        </w:rPr>
        <w:t xml:space="preserve">第 </w:t>
      </w:r>
      <w:r>
        <w:rPr>
          <w:rFonts w:ascii="宋体" w:hAnsi="宋体" w:eastAsia="宋体" w:cs="宋体"/>
          <w:color w:val="auto"/>
          <w:spacing w:val="-16"/>
          <w:highlight w:val="none"/>
        </w:rPr>
        <w:t>1</w:t>
      </w:r>
      <w:r>
        <w:rPr>
          <w:rFonts w:ascii="宋体" w:hAnsi="宋体" w:eastAsia="宋体" w:cs="宋体"/>
          <w:color w:val="auto"/>
          <w:spacing w:val="-14"/>
          <w:highlight w:val="none"/>
        </w:rPr>
        <w:t>.11 款为准)。</w:t>
      </w:r>
    </w:p>
    <w:p>
      <w:pPr>
        <w:spacing w:line="420" w:lineRule="exact"/>
        <w:ind w:left="19" w:right="246" w:firstLine="519"/>
        <w:rPr>
          <w:rFonts w:ascii="宋体" w:hAnsi="宋体" w:eastAsia="宋体" w:cs="宋体"/>
          <w:color w:val="auto"/>
          <w:highlight w:val="none"/>
        </w:rPr>
      </w:pPr>
      <w:r>
        <w:rPr>
          <w:rFonts w:ascii="宋体" w:hAnsi="宋体" w:eastAsia="宋体" w:cs="宋体"/>
          <w:color w:val="auto"/>
          <w:spacing w:val="-18"/>
          <w:highlight w:val="none"/>
        </w:rPr>
        <w:t>(6</w:t>
      </w:r>
      <w:r>
        <w:rPr>
          <w:rFonts w:ascii="宋体" w:hAnsi="宋体" w:eastAsia="宋体" w:cs="宋体"/>
          <w:color w:val="auto"/>
          <w:spacing w:val="-14"/>
          <w:highlight w:val="none"/>
        </w:rPr>
        <w:t>)</w:t>
      </w:r>
      <w:r>
        <w:rPr>
          <w:rFonts w:ascii="宋体" w:hAnsi="宋体" w:eastAsia="宋体" w:cs="宋体"/>
          <w:color w:val="auto"/>
          <w:spacing w:val="-9"/>
          <w:highlight w:val="none"/>
        </w:rPr>
        <w:t>同一投标人提交两个以上不同的投标文件且未声明哪一个有效的(招标文件要求提交备选投标</w:t>
      </w:r>
      <w:r>
        <w:rPr>
          <w:rFonts w:ascii="宋体" w:hAnsi="宋体" w:eastAsia="宋体" w:cs="宋体"/>
          <w:color w:val="auto"/>
          <w:highlight w:val="none"/>
        </w:rPr>
        <w:t xml:space="preserve"> </w:t>
      </w:r>
      <w:r>
        <w:rPr>
          <w:rFonts w:ascii="宋体" w:hAnsi="宋体" w:eastAsia="宋体" w:cs="宋体"/>
          <w:color w:val="auto"/>
          <w:spacing w:val="-15"/>
          <w:highlight w:val="none"/>
        </w:rPr>
        <w:t>的</w:t>
      </w:r>
      <w:r>
        <w:rPr>
          <w:rFonts w:ascii="宋体" w:hAnsi="宋体" w:eastAsia="宋体" w:cs="宋体"/>
          <w:color w:val="auto"/>
          <w:spacing w:val="-12"/>
          <w:highlight w:val="none"/>
        </w:rPr>
        <w:t>除外)。</w:t>
      </w:r>
    </w:p>
    <w:p>
      <w:pPr>
        <w:spacing w:line="420" w:lineRule="exact"/>
        <w:ind w:right="248" w:firstLine="537"/>
        <w:rPr>
          <w:rFonts w:ascii="宋体" w:hAnsi="宋体" w:eastAsia="宋体" w:cs="宋体"/>
          <w:color w:val="auto"/>
          <w:highlight w:val="none"/>
        </w:rPr>
      </w:pPr>
      <w:r>
        <w:rPr>
          <w:rFonts w:ascii="宋体" w:hAnsi="宋体" w:eastAsia="宋体" w:cs="宋体"/>
          <w:color w:val="auto"/>
          <w:spacing w:val="-12"/>
          <w:highlight w:val="none"/>
        </w:rPr>
        <w:t>(7)投标人不以自己的名义或未按招标文件要求提供投标保证金或提供的投标保证金有缺陷而不</w:t>
      </w:r>
      <w:r>
        <w:rPr>
          <w:rFonts w:ascii="宋体" w:hAnsi="宋体" w:eastAsia="宋体" w:cs="宋体"/>
          <w:color w:val="auto"/>
          <w:spacing w:val="-10"/>
          <w:highlight w:val="none"/>
        </w:rPr>
        <w:t>能</w:t>
      </w:r>
      <w:r>
        <w:rPr>
          <w:rFonts w:ascii="宋体" w:hAnsi="宋体" w:eastAsia="宋体" w:cs="宋体"/>
          <w:color w:val="auto"/>
          <w:highlight w:val="none"/>
        </w:rPr>
        <w:t xml:space="preserve"> </w:t>
      </w:r>
      <w:r>
        <w:rPr>
          <w:rFonts w:ascii="宋体" w:hAnsi="宋体" w:eastAsia="宋体" w:cs="宋体"/>
          <w:color w:val="auto"/>
          <w:spacing w:val="-10"/>
          <w:highlight w:val="none"/>
        </w:rPr>
        <w:t>接</w:t>
      </w:r>
      <w:r>
        <w:rPr>
          <w:rFonts w:ascii="宋体" w:hAnsi="宋体" w:eastAsia="宋体" w:cs="宋体"/>
          <w:color w:val="auto"/>
          <w:spacing w:val="-7"/>
          <w:highlight w:val="none"/>
        </w:rPr>
        <w:t>受的。</w:t>
      </w:r>
    </w:p>
    <w:p>
      <w:pPr>
        <w:spacing w:line="420" w:lineRule="exact"/>
        <w:ind w:left="538"/>
        <w:rPr>
          <w:rFonts w:ascii="宋体" w:hAnsi="宋体" w:eastAsia="宋体" w:cs="宋体"/>
          <w:color w:val="auto"/>
          <w:highlight w:val="none"/>
        </w:rPr>
      </w:pPr>
      <w:r>
        <w:rPr>
          <w:rFonts w:ascii="宋体" w:hAnsi="宋体" w:eastAsia="宋体" w:cs="宋体"/>
          <w:color w:val="auto"/>
          <w:spacing w:val="-24"/>
          <w:highlight w:val="none"/>
        </w:rPr>
        <w:t>(8</w:t>
      </w:r>
      <w:r>
        <w:rPr>
          <w:rFonts w:ascii="宋体" w:hAnsi="宋体" w:eastAsia="宋体" w:cs="宋体"/>
          <w:color w:val="auto"/>
          <w:spacing w:val="-13"/>
          <w:highlight w:val="none"/>
        </w:rPr>
        <w:t>)</w:t>
      </w:r>
      <w:r>
        <w:rPr>
          <w:rFonts w:ascii="宋体" w:hAnsi="宋体" w:eastAsia="宋体" w:cs="宋体"/>
          <w:color w:val="auto"/>
          <w:spacing w:val="-12"/>
          <w:highlight w:val="none"/>
        </w:rPr>
        <w:t>载明的投标工期和质量不满足招标文件要求的(以投标人须知前附表第 1.3.2、1.3.3 项为准)。</w:t>
      </w:r>
    </w:p>
    <w:p>
      <w:pPr>
        <w:spacing w:line="420" w:lineRule="exact"/>
        <w:ind w:left="538"/>
        <w:rPr>
          <w:rFonts w:ascii="宋体" w:hAnsi="宋体" w:eastAsia="宋体" w:cs="宋体"/>
          <w:color w:val="auto"/>
          <w:highlight w:val="none"/>
        </w:rPr>
      </w:pPr>
      <w:r>
        <w:rPr>
          <w:rFonts w:ascii="宋体" w:hAnsi="宋体" w:eastAsia="宋体" w:cs="宋体"/>
          <w:color w:val="auto"/>
          <w:spacing w:val="-19"/>
          <w:highlight w:val="none"/>
        </w:rPr>
        <w:t>(</w:t>
      </w:r>
      <w:r>
        <w:rPr>
          <w:rFonts w:ascii="宋体" w:hAnsi="宋体" w:eastAsia="宋体" w:cs="宋体"/>
          <w:color w:val="auto"/>
          <w:spacing w:val="-12"/>
          <w:highlight w:val="none"/>
        </w:rPr>
        <w:t>9)采用的验收标准或主要技术指标达不到国家强制性标准或招标文件以下条款规定的：无</w:t>
      </w:r>
    </w:p>
    <w:p>
      <w:pPr>
        <w:spacing w:line="420" w:lineRule="exact"/>
        <w:ind w:left="538"/>
        <w:rPr>
          <w:color w:val="auto"/>
          <w:highlight w:val="none"/>
        </w:rPr>
      </w:pPr>
      <w:r>
        <w:rPr>
          <w:rFonts w:ascii="宋体" w:hAnsi="宋体" w:eastAsia="宋体" w:cs="宋体"/>
          <w:color w:val="auto"/>
          <w:spacing w:val="-12"/>
          <w:highlight w:val="none"/>
        </w:rPr>
        <w:t>(10)采用的施工工艺、方法或质量安全管理措施不能满足国家强制性标准或要求的</w:t>
      </w:r>
      <w:r>
        <w:rPr>
          <w:rFonts w:ascii="宋体" w:hAnsi="宋体" w:eastAsia="宋体" w:cs="宋体"/>
          <w:color w:val="auto"/>
          <w:spacing w:val="-10"/>
          <w:highlight w:val="none"/>
        </w:rPr>
        <w:t>。</w:t>
      </w:r>
    </w:p>
    <w:p>
      <w:pPr>
        <w:spacing w:line="420" w:lineRule="exact"/>
        <w:ind w:right="34" w:firstLine="500" w:firstLineChars="200"/>
        <w:rPr>
          <w:rFonts w:ascii="宋体" w:hAnsi="宋体" w:eastAsia="宋体" w:cs="宋体"/>
          <w:color w:val="auto"/>
          <w:highlight w:val="none"/>
        </w:rPr>
      </w:pPr>
      <w:r>
        <w:rPr>
          <w:rFonts w:ascii="宋体" w:hAnsi="宋体" w:eastAsia="宋体" w:cs="宋体"/>
          <w:color w:val="auto"/>
          <w:spacing w:val="20"/>
          <w:highlight w:val="none"/>
        </w:rPr>
        <w:t>(</w:t>
      </w:r>
      <w:r>
        <w:rPr>
          <w:rFonts w:ascii="宋体" w:hAnsi="宋体" w:eastAsia="宋体" w:cs="宋体"/>
          <w:color w:val="auto"/>
          <w:spacing w:val="11"/>
          <w:highlight w:val="none"/>
        </w:rPr>
        <w:t>1</w:t>
      </w:r>
      <w:r>
        <w:rPr>
          <w:rFonts w:ascii="宋体" w:hAnsi="宋体" w:eastAsia="宋体" w:cs="宋体"/>
          <w:color w:val="auto"/>
          <w:spacing w:val="10"/>
          <w:highlight w:val="none"/>
        </w:rPr>
        <w:t>1)投标人存在投标人须知正文第“1.4.3 投标人不得存在下列情形之一”项或投标人须</w:t>
      </w:r>
      <w:r>
        <w:rPr>
          <w:rFonts w:ascii="宋体" w:hAnsi="宋体" w:eastAsia="宋体" w:cs="宋体"/>
          <w:color w:val="auto"/>
          <w:highlight w:val="none"/>
        </w:rPr>
        <w:t xml:space="preserve"> </w:t>
      </w:r>
      <w:r>
        <w:rPr>
          <w:rFonts w:ascii="宋体" w:hAnsi="宋体" w:eastAsia="宋体" w:cs="宋体"/>
          <w:color w:val="auto"/>
          <w:spacing w:val="-13"/>
          <w:highlight w:val="none"/>
        </w:rPr>
        <w:t>知</w:t>
      </w:r>
      <w:r>
        <w:rPr>
          <w:rFonts w:ascii="宋体" w:hAnsi="宋体" w:eastAsia="宋体" w:cs="宋体"/>
          <w:color w:val="auto"/>
          <w:spacing w:val="-11"/>
          <w:highlight w:val="none"/>
        </w:rPr>
        <w:t>“9.2 对投标人的纪律要求”项规定情形之一的。</w:t>
      </w:r>
    </w:p>
    <w:p>
      <w:pPr>
        <w:spacing w:line="420" w:lineRule="exact"/>
        <w:ind w:left="500" w:right="3789" w:firstLine="34"/>
        <w:rPr>
          <w:rFonts w:ascii="宋体" w:hAnsi="宋体" w:eastAsia="宋体" w:cs="宋体"/>
          <w:color w:val="auto"/>
          <w:highlight w:val="none"/>
        </w:rPr>
      </w:pPr>
      <w:r>
        <w:rPr>
          <w:rFonts w:ascii="宋体" w:hAnsi="宋体" w:eastAsia="宋体" w:cs="宋体"/>
          <w:color w:val="auto"/>
          <w:spacing w:val="-26"/>
          <w:highlight w:val="none"/>
        </w:rPr>
        <w:t>(</w:t>
      </w:r>
      <w:r>
        <w:rPr>
          <w:rFonts w:ascii="宋体" w:hAnsi="宋体" w:eastAsia="宋体" w:cs="宋体"/>
          <w:color w:val="auto"/>
          <w:spacing w:val="-13"/>
          <w:highlight w:val="none"/>
        </w:rPr>
        <w:t>12)存在法律、法规、规章规定的其他无效投标情况的。</w:t>
      </w:r>
      <w:r>
        <w:rPr>
          <w:rFonts w:ascii="宋体" w:hAnsi="宋体" w:eastAsia="宋体" w:cs="宋体"/>
          <w:color w:val="auto"/>
          <w:highlight w:val="none"/>
        </w:rPr>
        <w:t xml:space="preserve"> </w:t>
      </w:r>
      <w:r>
        <w:rPr>
          <w:rFonts w:ascii="宋体" w:hAnsi="宋体" w:eastAsia="宋体" w:cs="宋体"/>
          <w:color w:val="auto"/>
          <w:spacing w:val="-18"/>
          <w:highlight w:val="none"/>
        </w:rPr>
        <w:t>2</w:t>
      </w:r>
      <w:r>
        <w:rPr>
          <w:rFonts w:ascii="宋体" w:hAnsi="宋体" w:eastAsia="宋体" w:cs="宋体"/>
          <w:color w:val="auto"/>
          <w:spacing w:val="-10"/>
          <w:highlight w:val="none"/>
        </w:rPr>
        <w:t>.商务标符合性审查未通过的情形：</w:t>
      </w:r>
    </w:p>
    <w:p>
      <w:pPr>
        <w:spacing w:line="420" w:lineRule="exact"/>
        <w:ind w:right="250" w:firstLine="535"/>
        <w:rPr>
          <w:rFonts w:ascii="宋体" w:hAnsi="宋体" w:eastAsia="宋体" w:cs="宋体"/>
          <w:color w:val="auto"/>
          <w:highlight w:val="none"/>
        </w:rPr>
      </w:pPr>
      <w:r>
        <w:rPr>
          <w:rFonts w:ascii="宋体" w:hAnsi="宋体" w:eastAsia="宋体" w:cs="宋体"/>
          <w:color w:val="auto"/>
          <w:spacing w:val="-16"/>
          <w:highlight w:val="none"/>
        </w:rPr>
        <w:t>(</w:t>
      </w:r>
      <w:r>
        <w:rPr>
          <w:rFonts w:ascii="宋体" w:hAnsi="宋体" w:eastAsia="宋体" w:cs="宋体"/>
          <w:color w:val="auto"/>
          <w:spacing w:val="-11"/>
          <w:highlight w:val="none"/>
        </w:rPr>
        <w:t>1)投标人未按招标文件要求加盖单位印章或投标人的法定代表人(或其委托代理人)未按招标文件</w:t>
      </w:r>
      <w:r>
        <w:rPr>
          <w:rFonts w:ascii="宋体" w:hAnsi="宋体" w:eastAsia="宋体" w:cs="宋体"/>
          <w:color w:val="auto"/>
          <w:highlight w:val="none"/>
        </w:rPr>
        <w:t xml:space="preserve"> </w:t>
      </w:r>
      <w:r>
        <w:rPr>
          <w:rFonts w:ascii="宋体" w:hAnsi="宋体" w:eastAsia="宋体" w:cs="宋体"/>
          <w:color w:val="auto"/>
          <w:spacing w:val="-14"/>
          <w:highlight w:val="none"/>
        </w:rPr>
        <w:t>要</w:t>
      </w:r>
      <w:r>
        <w:rPr>
          <w:rFonts w:ascii="宋体" w:hAnsi="宋体" w:eastAsia="宋体" w:cs="宋体"/>
          <w:color w:val="auto"/>
          <w:spacing w:val="-10"/>
          <w:highlight w:val="none"/>
        </w:rPr>
        <w:t>求签字或盖章的。</w:t>
      </w:r>
      <w:r>
        <w:rPr>
          <w:rFonts w:hint="eastAsia" w:ascii="宋体" w:hAnsi="宋体" w:eastAsia="宋体" w:cs="宋体"/>
          <w:color w:val="auto"/>
          <w:spacing w:val="-11"/>
          <w:highlight w:val="none"/>
        </w:rPr>
        <w:t>工程量清单报价表封面注册一级造价工程师（水利工程）或浙江省二级造价工程师（水利工程）未签字并加盖执业专用章的。</w:t>
      </w:r>
    </w:p>
    <w:p>
      <w:pPr>
        <w:spacing w:line="420" w:lineRule="exact"/>
        <w:ind w:left="16" w:right="244" w:firstLine="519"/>
        <w:rPr>
          <w:rFonts w:ascii="宋体" w:hAnsi="宋体" w:eastAsia="宋体" w:cs="宋体"/>
          <w:color w:val="auto"/>
          <w:highlight w:val="none"/>
        </w:rPr>
      </w:pPr>
      <w:r>
        <w:rPr>
          <w:rFonts w:ascii="宋体" w:hAnsi="宋体" w:eastAsia="宋体" w:cs="宋体"/>
          <w:color w:val="auto"/>
          <w:spacing w:val="-9"/>
          <w:highlight w:val="none"/>
        </w:rPr>
        <w:t>(2)同一投标人提交两个以上不同的投标报价且未声明哪一个有效的(招标文件要求提交备选投</w:t>
      </w:r>
      <w:r>
        <w:rPr>
          <w:rFonts w:ascii="宋体" w:hAnsi="宋体" w:eastAsia="宋体" w:cs="宋体"/>
          <w:color w:val="auto"/>
          <w:spacing w:val="-1"/>
          <w:highlight w:val="none"/>
        </w:rPr>
        <w:t>标</w:t>
      </w:r>
      <w:r>
        <w:rPr>
          <w:rFonts w:ascii="宋体" w:hAnsi="宋体" w:eastAsia="宋体" w:cs="宋体"/>
          <w:color w:val="auto"/>
          <w:highlight w:val="none"/>
        </w:rPr>
        <w:t xml:space="preserve"> </w:t>
      </w:r>
      <w:r>
        <w:rPr>
          <w:rFonts w:ascii="宋体" w:hAnsi="宋体" w:eastAsia="宋体" w:cs="宋体"/>
          <w:color w:val="auto"/>
          <w:spacing w:val="-15"/>
          <w:highlight w:val="none"/>
        </w:rPr>
        <w:t>的</w:t>
      </w:r>
      <w:r>
        <w:rPr>
          <w:rFonts w:ascii="宋体" w:hAnsi="宋体" w:eastAsia="宋体" w:cs="宋体"/>
          <w:color w:val="auto"/>
          <w:spacing w:val="-12"/>
          <w:highlight w:val="none"/>
        </w:rPr>
        <w:t>除外)。</w:t>
      </w:r>
    </w:p>
    <w:p>
      <w:pPr>
        <w:spacing w:line="420" w:lineRule="exact"/>
        <w:ind w:left="1" w:right="274" w:firstLine="533"/>
        <w:rPr>
          <w:rFonts w:ascii="宋体" w:hAnsi="宋体" w:eastAsia="宋体" w:cs="宋体"/>
          <w:color w:val="auto"/>
          <w:highlight w:val="none"/>
        </w:rPr>
      </w:pPr>
      <w:r>
        <w:rPr>
          <w:rFonts w:ascii="宋体" w:hAnsi="宋体" w:eastAsia="宋体" w:cs="宋体"/>
          <w:color w:val="auto"/>
          <w:spacing w:val="-24"/>
          <w:highlight w:val="none"/>
        </w:rPr>
        <w:t>(</w:t>
      </w:r>
      <w:r>
        <w:rPr>
          <w:rFonts w:ascii="宋体" w:hAnsi="宋体" w:eastAsia="宋体" w:cs="宋体"/>
          <w:color w:val="auto"/>
          <w:spacing w:val="-17"/>
          <w:highlight w:val="none"/>
        </w:rPr>
        <w:t>3</w:t>
      </w:r>
      <w:r>
        <w:rPr>
          <w:rFonts w:ascii="宋体" w:hAnsi="宋体" w:eastAsia="宋体" w:cs="宋体"/>
          <w:color w:val="auto"/>
          <w:spacing w:val="-12"/>
          <w:highlight w:val="none"/>
        </w:rPr>
        <w:t>)投标函载明的投标工期和质量不满足招标文件要求的(以投标人须知前附表第 1.3.2、1.3.3 项</w:t>
      </w:r>
      <w:r>
        <w:rPr>
          <w:rFonts w:ascii="宋体" w:hAnsi="宋体" w:eastAsia="宋体" w:cs="宋体"/>
          <w:color w:val="auto"/>
          <w:highlight w:val="none"/>
        </w:rPr>
        <w:t xml:space="preserve"> </w:t>
      </w:r>
      <w:r>
        <w:rPr>
          <w:rFonts w:ascii="宋体" w:hAnsi="宋体" w:eastAsia="宋体" w:cs="宋体"/>
          <w:color w:val="auto"/>
          <w:spacing w:val="-10"/>
          <w:highlight w:val="none"/>
        </w:rPr>
        <w:t>为</w:t>
      </w:r>
      <w:r>
        <w:rPr>
          <w:rFonts w:ascii="宋体" w:hAnsi="宋体" w:eastAsia="宋体" w:cs="宋体"/>
          <w:color w:val="auto"/>
          <w:spacing w:val="-9"/>
          <w:highlight w:val="none"/>
        </w:rPr>
        <w:t>准)。</w:t>
      </w:r>
    </w:p>
    <w:p>
      <w:pPr>
        <w:spacing w:line="420" w:lineRule="exact"/>
        <w:ind w:left="506"/>
        <w:rPr>
          <w:rFonts w:ascii="宋体" w:hAnsi="宋体" w:eastAsia="宋体" w:cs="宋体"/>
          <w:color w:val="auto"/>
          <w:highlight w:val="none"/>
        </w:rPr>
      </w:pPr>
      <w:r>
        <w:rPr>
          <w:rFonts w:ascii="宋体" w:hAnsi="宋体" w:eastAsia="宋体" w:cs="宋体"/>
          <w:color w:val="auto"/>
          <w:spacing w:val="-15"/>
          <w:highlight w:val="none"/>
        </w:rPr>
        <w:t>(</w:t>
      </w:r>
      <w:r>
        <w:rPr>
          <w:rFonts w:ascii="宋体" w:hAnsi="宋体" w:eastAsia="宋体" w:cs="宋体"/>
          <w:color w:val="auto"/>
          <w:spacing w:val="-12"/>
          <w:highlight w:val="none"/>
        </w:rPr>
        <w:t>4)投标报价高于招标文件设定的最高投标限价的或分项限价的。</w:t>
      </w:r>
    </w:p>
    <w:p>
      <w:pPr>
        <w:spacing w:line="420" w:lineRule="exact"/>
        <w:ind w:right="99" w:firstLine="505"/>
        <w:rPr>
          <w:rFonts w:ascii="宋体" w:hAnsi="宋体" w:eastAsia="宋体" w:cs="宋体"/>
          <w:color w:val="auto"/>
          <w:highlight w:val="none"/>
        </w:rPr>
      </w:pPr>
      <w:r>
        <w:rPr>
          <w:rFonts w:ascii="宋体" w:hAnsi="宋体" w:eastAsia="宋体" w:cs="宋体"/>
          <w:color w:val="auto"/>
          <w:spacing w:val="-22"/>
          <w:highlight w:val="none"/>
        </w:rPr>
        <w:t>(5)</w:t>
      </w:r>
      <w:r>
        <w:rPr>
          <w:rFonts w:ascii="宋体" w:hAnsi="宋体" w:eastAsia="宋体" w:cs="宋体"/>
          <w:color w:val="auto"/>
          <w:spacing w:val="-13"/>
          <w:highlight w:val="none"/>
        </w:rPr>
        <w:t>改</w:t>
      </w:r>
      <w:r>
        <w:rPr>
          <w:rFonts w:ascii="宋体" w:hAnsi="宋体" w:eastAsia="宋体" w:cs="宋体"/>
          <w:color w:val="auto"/>
          <w:spacing w:val="-11"/>
          <w:highlight w:val="none"/>
        </w:rPr>
        <w:t>变招标人提供的工程量清单中的项目编码、项目名称、项目主要特征、计量单位、工程数量、</w:t>
      </w:r>
      <w:r>
        <w:rPr>
          <w:rFonts w:ascii="宋体" w:hAnsi="宋体" w:eastAsia="宋体" w:cs="宋体"/>
          <w:color w:val="auto"/>
          <w:highlight w:val="none"/>
        </w:rPr>
        <w:t xml:space="preserve"> </w:t>
      </w:r>
      <w:r>
        <w:rPr>
          <w:rFonts w:ascii="宋体" w:hAnsi="宋体" w:eastAsia="宋体" w:cs="宋体"/>
          <w:color w:val="auto"/>
          <w:spacing w:val="-22"/>
          <w:highlight w:val="none"/>
        </w:rPr>
        <w:t>主</w:t>
      </w:r>
      <w:r>
        <w:rPr>
          <w:rFonts w:ascii="宋体" w:hAnsi="宋体" w:eastAsia="宋体" w:cs="宋体"/>
          <w:color w:val="auto"/>
          <w:spacing w:val="-20"/>
          <w:highlight w:val="none"/>
        </w:rPr>
        <w:t>要</w:t>
      </w:r>
      <w:r>
        <w:rPr>
          <w:rFonts w:ascii="宋体" w:hAnsi="宋体" w:eastAsia="宋体" w:cs="宋体"/>
          <w:color w:val="auto"/>
          <w:spacing w:val="-11"/>
          <w:highlight w:val="none"/>
        </w:rPr>
        <w:t>技术条款编码、金额等内容的(但按照国家规范所作的修改和招标文件规定的除外)。</w:t>
      </w:r>
    </w:p>
    <w:p>
      <w:pPr>
        <w:spacing w:line="420" w:lineRule="exact"/>
        <w:ind w:left="506"/>
        <w:rPr>
          <w:rFonts w:ascii="宋体" w:hAnsi="宋体" w:eastAsia="宋体" w:cs="宋体"/>
          <w:color w:val="auto"/>
          <w:highlight w:val="none"/>
        </w:rPr>
      </w:pPr>
      <w:r>
        <w:rPr>
          <w:rFonts w:ascii="宋体" w:hAnsi="宋体" w:eastAsia="宋体" w:cs="宋体"/>
          <w:color w:val="auto"/>
          <w:spacing w:val="-24"/>
          <w:highlight w:val="none"/>
        </w:rPr>
        <w:t>(6</w:t>
      </w:r>
      <w:r>
        <w:rPr>
          <w:rFonts w:ascii="宋体" w:hAnsi="宋体" w:eastAsia="宋体" w:cs="宋体"/>
          <w:color w:val="auto"/>
          <w:spacing w:val="-16"/>
          <w:highlight w:val="none"/>
        </w:rPr>
        <w:t>)</w:t>
      </w:r>
      <w:r>
        <w:rPr>
          <w:rFonts w:ascii="宋体" w:hAnsi="宋体" w:eastAsia="宋体" w:cs="宋体"/>
          <w:color w:val="auto"/>
          <w:spacing w:val="-12"/>
          <w:highlight w:val="none"/>
        </w:rPr>
        <w:t>投标人存在投标人须知“9.2 对投标人的纪律要求”项规定情形之一的。</w:t>
      </w:r>
    </w:p>
    <w:p>
      <w:pPr>
        <w:spacing w:line="420" w:lineRule="exact"/>
        <w:ind w:left="506"/>
        <w:rPr>
          <w:rFonts w:ascii="宋体" w:hAnsi="宋体" w:eastAsia="宋体" w:cs="宋体"/>
          <w:color w:val="auto"/>
          <w:highlight w:val="none"/>
        </w:rPr>
      </w:pPr>
      <w:r>
        <w:rPr>
          <w:rFonts w:ascii="宋体" w:hAnsi="宋体" w:eastAsia="宋体" w:cs="宋体"/>
          <w:color w:val="auto"/>
          <w:spacing w:val="-15"/>
          <w:highlight w:val="none"/>
        </w:rPr>
        <w:t>(</w:t>
      </w:r>
      <w:r>
        <w:rPr>
          <w:rFonts w:ascii="宋体" w:hAnsi="宋体" w:eastAsia="宋体" w:cs="宋体"/>
          <w:color w:val="auto"/>
          <w:spacing w:val="-12"/>
          <w:highlight w:val="none"/>
        </w:rPr>
        <w:t>7)存在法律、法规、规章规定的其他无效投标情况的。</w:t>
      </w:r>
    </w:p>
    <w:p>
      <w:pPr>
        <w:spacing w:line="420" w:lineRule="exact"/>
        <w:outlineLvl w:val="0"/>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4.4 投标文件的技术评</w:t>
      </w:r>
      <w:r>
        <w:rPr>
          <w:rFonts w:ascii="宋体" w:hAnsi="宋体" w:eastAsia="宋体" w:cs="宋体"/>
          <w:color w:val="auto"/>
          <w:spacing w:val="-10"/>
          <w:sz w:val="24"/>
          <w:szCs w:val="24"/>
          <w:highlight w:val="none"/>
        </w:rPr>
        <w:t>审</w:t>
      </w:r>
    </w:p>
    <w:p>
      <w:pPr>
        <w:spacing w:line="420" w:lineRule="exact"/>
        <w:ind w:firstLine="471"/>
        <w:rPr>
          <w:rFonts w:ascii="宋体" w:hAnsi="宋体" w:eastAsia="宋体" w:cs="宋体"/>
          <w:color w:val="auto"/>
          <w:highlight w:val="none"/>
        </w:rPr>
      </w:pPr>
      <w:r>
        <w:rPr>
          <w:rFonts w:ascii="宋体" w:hAnsi="宋体" w:eastAsia="宋体" w:cs="宋体"/>
          <w:color w:val="auto"/>
          <w:spacing w:val="-28"/>
          <w:highlight w:val="none"/>
        </w:rPr>
        <w:t>4.</w:t>
      </w:r>
      <w:r>
        <w:rPr>
          <w:rFonts w:ascii="宋体" w:hAnsi="宋体" w:eastAsia="宋体" w:cs="宋体"/>
          <w:color w:val="auto"/>
          <w:spacing w:val="-24"/>
          <w:highlight w:val="none"/>
        </w:rPr>
        <w:t>4</w:t>
      </w:r>
      <w:r>
        <w:rPr>
          <w:rFonts w:ascii="宋体" w:hAnsi="宋体" w:eastAsia="宋体" w:cs="宋体"/>
          <w:color w:val="auto"/>
          <w:spacing w:val="-14"/>
          <w:highlight w:val="none"/>
        </w:rPr>
        <w:t>.1 评标委员会应对通过符合性审查的投标文件进行技术评审。专家评审采用集体评议、记名表决、</w:t>
      </w:r>
      <w:r>
        <w:rPr>
          <w:rFonts w:ascii="宋体" w:hAnsi="宋体" w:eastAsia="宋体" w:cs="宋体"/>
          <w:color w:val="auto"/>
          <w:highlight w:val="none"/>
        </w:rPr>
        <w:t xml:space="preserve"> </w:t>
      </w:r>
      <w:r>
        <w:rPr>
          <w:rFonts w:ascii="宋体" w:hAnsi="宋体" w:eastAsia="宋体" w:cs="宋体"/>
          <w:color w:val="auto"/>
          <w:spacing w:val="-18"/>
          <w:highlight w:val="none"/>
        </w:rPr>
        <w:t>少</w:t>
      </w:r>
      <w:r>
        <w:rPr>
          <w:rFonts w:ascii="宋体" w:hAnsi="宋体" w:eastAsia="宋体" w:cs="宋体"/>
          <w:color w:val="auto"/>
          <w:spacing w:val="-10"/>
          <w:highlight w:val="none"/>
        </w:rPr>
        <w:t>数服从多数的方法进行。</w:t>
      </w:r>
    </w:p>
    <w:p>
      <w:pPr>
        <w:spacing w:line="420" w:lineRule="exact"/>
        <w:ind w:left="471"/>
        <w:rPr>
          <w:rFonts w:ascii="宋体" w:hAnsi="宋体" w:eastAsia="宋体" w:cs="宋体"/>
          <w:color w:val="auto"/>
          <w:highlight w:val="none"/>
        </w:rPr>
      </w:pPr>
      <w:r>
        <w:rPr>
          <w:rFonts w:ascii="宋体" w:hAnsi="宋体" w:eastAsia="宋体" w:cs="宋体"/>
          <w:color w:val="auto"/>
          <w:spacing w:val="-22"/>
          <w:position w:val="12"/>
          <w:highlight w:val="none"/>
        </w:rPr>
        <w:t>4.</w:t>
      </w:r>
      <w:r>
        <w:rPr>
          <w:rFonts w:ascii="宋体" w:hAnsi="宋体" w:eastAsia="宋体" w:cs="宋体"/>
          <w:color w:val="auto"/>
          <w:spacing w:val="-12"/>
          <w:position w:val="12"/>
          <w:highlight w:val="none"/>
        </w:rPr>
        <w:t>4</w:t>
      </w:r>
      <w:r>
        <w:rPr>
          <w:rFonts w:ascii="宋体" w:hAnsi="宋体" w:eastAsia="宋体" w:cs="宋体"/>
          <w:color w:val="auto"/>
          <w:spacing w:val="-11"/>
          <w:position w:val="12"/>
          <w:highlight w:val="none"/>
        </w:rPr>
        <w:t>.2 如投标文件有以下情况之一的，按技术评审不通过处理：</w:t>
      </w:r>
    </w:p>
    <w:p>
      <w:pPr>
        <w:spacing w:line="420" w:lineRule="exact"/>
        <w:ind w:left="506"/>
        <w:rPr>
          <w:rFonts w:ascii="宋体" w:hAnsi="宋体" w:eastAsia="宋体" w:cs="宋体"/>
          <w:color w:val="auto"/>
          <w:highlight w:val="none"/>
        </w:rPr>
      </w:pPr>
      <w:r>
        <w:rPr>
          <w:rFonts w:ascii="宋体" w:hAnsi="宋体" w:eastAsia="宋体" w:cs="宋体"/>
          <w:color w:val="auto"/>
          <w:spacing w:val="-14"/>
          <w:highlight w:val="none"/>
        </w:rPr>
        <w:t>(</w:t>
      </w:r>
      <w:r>
        <w:rPr>
          <w:rFonts w:ascii="宋体" w:hAnsi="宋体" w:eastAsia="宋体" w:cs="宋体"/>
          <w:color w:val="auto"/>
          <w:spacing w:val="-12"/>
          <w:highlight w:val="none"/>
        </w:rPr>
        <w:t>1)项目负责人或技术负责人不明确的。</w:t>
      </w:r>
    </w:p>
    <w:p>
      <w:pPr>
        <w:spacing w:line="420" w:lineRule="exact"/>
        <w:ind w:left="506"/>
        <w:rPr>
          <w:rFonts w:ascii="宋体" w:hAnsi="宋体" w:eastAsia="宋体" w:cs="宋体"/>
          <w:color w:val="auto"/>
          <w:highlight w:val="none"/>
        </w:rPr>
      </w:pPr>
      <w:r>
        <w:rPr>
          <w:rFonts w:ascii="宋体" w:hAnsi="宋体" w:eastAsia="宋体" w:cs="宋体"/>
          <w:color w:val="auto"/>
          <w:spacing w:val="-15"/>
          <w:highlight w:val="none"/>
        </w:rPr>
        <w:t>(</w:t>
      </w:r>
      <w:r>
        <w:rPr>
          <w:rFonts w:ascii="宋体" w:hAnsi="宋体" w:eastAsia="宋体" w:cs="宋体"/>
          <w:color w:val="auto"/>
          <w:spacing w:val="-12"/>
          <w:highlight w:val="none"/>
        </w:rPr>
        <w:t>2)主要的施工技术方案或安全保障措施不可行的。</w:t>
      </w:r>
    </w:p>
    <w:p>
      <w:pPr>
        <w:spacing w:line="420" w:lineRule="exact"/>
        <w:ind w:left="506"/>
        <w:rPr>
          <w:rFonts w:ascii="宋体" w:hAnsi="宋体" w:eastAsia="宋体" w:cs="宋体"/>
          <w:color w:val="auto"/>
          <w:highlight w:val="none"/>
        </w:rPr>
      </w:pPr>
      <w:r>
        <w:rPr>
          <w:rFonts w:ascii="宋体" w:hAnsi="宋体" w:eastAsia="宋体" w:cs="宋体"/>
          <w:color w:val="auto"/>
          <w:spacing w:val="-14"/>
          <w:highlight w:val="none"/>
        </w:rPr>
        <w:t>(</w:t>
      </w:r>
      <w:r>
        <w:rPr>
          <w:rFonts w:ascii="宋体" w:hAnsi="宋体" w:eastAsia="宋体" w:cs="宋体"/>
          <w:color w:val="auto"/>
          <w:spacing w:val="-12"/>
          <w:highlight w:val="none"/>
        </w:rPr>
        <w:t>3)主要施工机械设备不能满足施工需要的。</w:t>
      </w:r>
    </w:p>
    <w:p>
      <w:pPr>
        <w:spacing w:line="420" w:lineRule="exact"/>
        <w:ind w:left="506"/>
        <w:rPr>
          <w:rFonts w:ascii="宋体" w:hAnsi="宋体" w:eastAsia="宋体" w:cs="宋体"/>
          <w:color w:val="auto"/>
          <w:highlight w:val="none"/>
        </w:rPr>
      </w:pPr>
      <w:r>
        <w:rPr>
          <w:rFonts w:ascii="宋体" w:hAnsi="宋体" w:eastAsia="宋体" w:cs="宋体"/>
          <w:color w:val="auto"/>
          <w:spacing w:val="-14"/>
          <w:highlight w:val="none"/>
        </w:rPr>
        <w:t>(</w:t>
      </w:r>
      <w:r>
        <w:rPr>
          <w:rFonts w:ascii="宋体" w:hAnsi="宋体" w:eastAsia="宋体" w:cs="宋体"/>
          <w:color w:val="auto"/>
          <w:spacing w:val="-12"/>
          <w:highlight w:val="none"/>
        </w:rPr>
        <w:t>4)附有工程无法适用的其他技术和管理条款的。</w:t>
      </w:r>
    </w:p>
    <w:p>
      <w:pPr>
        <w:spacing w:line="420" w:lineRule="exact"/>
        <w:ind w:left="471"/>
        <w:rPr>
          <w:rFonts w:ascii="宋体" w:hAnsi="宋体" w:eastAsia="宋体" w:cs="宋体"/>
          <w:color w:val="auto"/>
          <w:highlight w:val="none"/>
        </w:rPr>
      </w:pPr>
      <w:r>
        <w:rPr>
          <w:rFonts w:ascii="宋体" w:hAnsi="宋体" w:eastAsia="宋体" w:cs="宋体"/>
          <w:color w:val="auto"/>
          <w:spacing w:val="-22"/>
          <w:highlight w:val="none"/>
        </w:rPr>
        <w:t>4</w:t>
      </w:r>
      <w:r>
        <w:rPr>
          <w:rFonts w:ascii="宋体" w:hAnsi="宋体" w:eastAsia="宋体" w:cs="宋体"/>
          <w:color w:val="auto"/>
          <w:spacing w:val="-19"/>
          <w:highlight w:val="none"/>
        </w:rPr>
        <w:t>.</w:t>
      </w:r>
      <w:r>
        <w:rPr>
          <w:rFonts w:ascii="宋体" w:hAnsi="宋体" w:eastAsia="宋体" w:cs="宋体"/>
          <w:color w:val="auto"/>
          <w:spacing w:val="-11"/>
          <w:highlight w:val="none"/>
        </w:rPr>
        <w:t>4.3 技术评审不通过的投标文件不再进入后续评审。</w:t>
      </w:r>
    </w:p>
    <w:p>
      <w:pPr>
        <w:spacing w:line="420" w:lineRule="exact"/>
        <w:outlineLvl w:val="0"/>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4</w:t>
      </w:r>
      <w:r>
        <w:rPr>
          <w:rFonts w:ascii="宋体" w:hAnsi="宋体" w:eastAsia="宋体" w:cs="宋体"/>
          <w:color w:val="auto"/>
          <w:spacing w:val="-11"/>
          <w:sz w:val="24"/>
          <w:szCs w:val="24"/>
          <w:highlight w:val="none"/>
        </w:rPr>
        <w:t>.5 投标文件的商务评审</w:t>
      </w:r>
    </w:p>
    <w:p>
      <w:pPr>
        <w:spacing w:line="420" w:lineRule="exact"/>
        <w:ind w:left="16" w:right="69" w:firstLine="454"/>
        <w:rPr>
          <w:rFonts w:ascii="宋体" w:hAnsi="宋体" w:eastAsia="宋体" w:cs="宋体"/>
          <w:color w:val="auto"/>
          <w:highlight w:val="none"/>
        </w:rPr>
      </w:pPr>
      <w:r>
        <w:rPr>
          <w:rFonts w:ascii="宋体" w:hAnsi="宋体" w:eastAsia="宋体" w:cs="宋体"/>
          <w:color w:val="auto"/>
          <w:spacing w:val="-17"/>
          <w:highlight w:val="none"/>
        </w:rPr>
        <w:t>4</w:t>
      </w:r>
      <w:r>
        <w:rPr>
          <w:rFonts w:ascii="宋体" w:hAnsi="宋体" w:eastAsia="宋体" w:cs="宋体"/>
          <w:color w:val="auto"/>
          <w:spacing w:val="-12"/>
          <w:highlight w:val="none"/>
        </w:rPr>
        <w:t>.5.1 评标委员会对通过符合性评审、技术评审的投标文件进行商务评审。评标委员会应对商务报价</w:t>
      </w:r>
      <w:r>
        <w:rPr>
          <w:rFonts w:ascii="宋体" w:hAnsi="宋体" w:eastAsia="宋体" w:cs="宋体"/>
          <w:color w:val="auto"/>
          <w:highlight w:val="none"/>
        </w:rPr>
        <w:t xml:space="preserve"> </w:t>
      </w:r>
      <w:r>
        <w:rPr>
          <w:rFonts w:ascii="宋体" w:hAnsi="宋体" w:eastAsia="宋体" w:cs="宋体"/>
          <w:color w:val="auto"/>
          <w:spacing w:val="-13"/>
          <w:highlight w:val="none"/>
        </w:rPr>
        <w:t>的</w:t>
      </w:r>
      <w:r>
        <w:rPr>
          <w:rFonts w:ascii="宋体" w:hAnsi="宋体" w:eastAsia="宋体" w:cs="宋体"/>
          <w:color w:val="auto"/>
          <w:spacing w:val="-12"/>
          <w:highlight w:val="none"/>
        </w:rPr>
        <w:t>范围、数量、单价、费用组成和总价等进行全面审阅和对比分析，找出报价差异的原因及存在的问题。</w:t>
      </w:r>
    </w:p>
    <w:p>
      <w:pPr>
        <w:spacing w:line="420" w:lineRule="exact"/>
        <w:ind w:right="59" w:firstLine="471"/>
        <w:rPr>
          <w:rFonts w:ascii="宋体" w:hAnsi="宋体" w:eastAsia="宋体" w:cs="宋体"/>
          <w:color w:val="auto"/>
          <w:highlight w:val="none"/>
        </w:rPr>
      </w:pPr>
      <w:r>
        <w:rPr>
          <w:rFonts w:ascii="宋体" w:hAnsi="宋体" w:eastAsia="宋体" w:cs="宋体"/>
          <w:color w:val="auto"/>
          <w:spacing w:val="-12"/>
          <w:highlight w:val="none"/>
        </w:rPr>
        <w:t>4.5.2 商务评审应以报价口径范围一致的投标评标价为依据。投标评标价应在最终报价的基础上，</w:t>
      </w:r>
      <w:r>
        <w:rPr>
          <w:rFonts w:ascii="宋体" w:hAnsi="宋体" w:eastAsia="宋体" w:cs="宋体"/>
          <w:color w:val="auto"/>
          <w:spacing w:val="-8"/>
          <w:highlight w:val="none"/>
        </w:rPr>
        <w:t>按</w:t>
      </w:r>
      <w:r>
        <w:rPr>
          <w:rFonts w:ascii="宋体" w:hAnsi="宋体" w:eastAsia="宋体" w:cs="宋体"/>
          <w:color w:val="auto"/>
          <w:highlight w:val="none"/>
        </w:rPr>
        <w:t xml:space="preserve"> </w:t>
      </w:r>
      <w:r>
        <w:rPr>
          <w:rFonts w:ascii="宋体" w:hAnsi="宋体" w:eastAsia="宋体" w:cs="宋体"/>
          <w:color w:val="auto"/>
          <w:spacing w:val="-13"/>
          <w:highlight w:val="none"/>
        </w:rPr>
        <w:t>照</w:t>
      </w:r>
      <w:r>
        <w:rPr>
          <w:rFonts w:ascii="宋体" w:hAnsi="宋体" w:eastAsia="宋体" w:cs="宋体"/>
          <w:color w:val="auto"/>
          <w:spacing w:val="-11"/>
          <w:highlight w:val="none"/>
        </w:rPr>
        <w:t>招标文件约定的因素和方法进行计算。凡属招标文件的原因造成报价口径范围不一致的，应调整投标报</w:t>
      </w:r>
      <w:r>
        <w:rPr>
          <w:rFonts w:ascii="宋体" w:hAnsi="宋体" w:eastAsia="宋体" w:cs="宋体"/>
          <w:color w:val="auto"/>
          <w:highlight w:val="none"/>
        </w:rPr>
        <w:t xml:space="preserve"> </w:t>
      </w:r>
      <w:r>
        <w:rPr>
          <w:rFonts w:ascii="宋体" w:hAnsi="宋体" w:eastAsia="宋体" w:cs="宋体"/>
          <w:color w:val="auto"/>
          <w:spacing w:val="-12"/>
          <w:highlight w:val="none"/>
        </w:rPr>
        <w:t>价</w:t>
      </w:r>
      <w:r>
        <w:rPr>
          <w:rFonts w:ascii="宋体" w:hAnsi="宋体" w:eastAsia="宋体" w:cs="宋体"/>
          <w:color w:val="auto"/>
          <w:spacing w:val="-11"/>
          <w:highlight w:val="none"/>
        </w:rPr>
        <w:t>。其中算术错误的调整原则为：</w:t>
      </w:r>
    </w:p>
    <w:p>
      <w:pPr>
        <w:spacing w:line="420" w:lineRule="exact"/>
        <w:ind w:left="506"/>
        <w:rPr>
          <w:rFonts w:ascii="宋体" w:hAnsi="宋体" w:eastAsia="宋体" w:cs="宋体"/>
          <w:color w:val="auto"/>
          <w:highlight w:val="none"/>
        </w:rPr>
      </w:pPr>
      <w:r>
        <w:rPr>
          <w:rFonts w:ascii="宋体" w:hAnsi="宋体" w:eastAsia="宋体" w:cs="宋体"/>
          <w:color w:val="auto"/>
          <w:spacing w:val="-15"/>
          <w:highlight w:val="none"/>
        </w:rPr>
        <w:t>(</w:t>
      </w:r>
      <w:r>
        <w:rPr>
          <w:rFonts w:ascii="宋体" w:hAnsi="宋体" w:eastAsia="宋体" w:cs="宋体"/>
          <w:color w:val="auto"/>
          <w:spacing w:val="-12"/>
          <w:highlight w:val="none"/>
        </w:rPr>
        <w:t>1)用数字表示的金额与文字表示的数额不一致时，以文字数额为准。</w:t>
      </w:r>
    </w:p>
    <w:p>
      <w:pPr>
        <w:spacing w:line="420" w:lineRule="exact"/>
        <w:ind w:right="60" w:firstLine="506"/>
        <w:rPr>
          <w:rFonts w:ascii="宋体" w:hAnsi="宋体" w:eastAsia="宋体" w:cs="宋体"/>
          <w:color w:val="auto"/>
          <w:highlight w:val="none"/>
        </w:rPr>
      </w:pPr>
      <w:r>
        <w:rPr>
          <w:rFonts w:ascii="宋体" w:hAnsi="宋体" w:eastAsia="宋体" w:cs="宋体"/>
          <w:color w:val="auto"/>
          <w:spacing w:val="-11"/>
          <w:highlight w:val="none"/>
        </w:rPr>
        <w:t>(2)凡属投标人自身失误造成多算、少算、漏算的，不调整投标报价。若有算术性差错，均在投标</w:t>
      </w:r>
      <w:r>
        <w:rPr>
          <w:rFonts w:ascii="宋体" w:hAnsi="宋体" w:eastAsia="宋体" w:cs="宋体"/>
          <w:color w:val="auto"/>
          <w:spacing w:val="-6"/>
          <w:highlight w:val="none"/>
        </w:rPr>
        <w:t>报</w:t>
      </w:r>
      <w:r>
        <w:rPr>
          <w:rFonts w:ascii="宋体" w:hAnsi="宋体" w:eastAsia="宋体" w:cs="宋体"/>
          <w:color w:val="auto"/>
          <w:highlight w:val="none"/>
        </w:rPr>
        <w:t xml:space="preserve"> </w:t>
      </w:r>
      <w:r>
        <w:rPr>
          <w:rFonts w:ascii="宋体" w:hAnsi="宋体" w:eastAsia="宋体" w:cs="宋体"/>
          <w:color w:val="auto"/>
          <w:spacing w:val="-20"/>
          <w:highlight w:val="none"/>
        </w:rPr>
        <w:t>价</w:t>
      </w:r>
      <w:r>
        <w:rPr>
          <w:rFonts w:ascii="宋体" w:hAnsi="宋体" w:eastAsia="宋体" w:cs="宋体"/>
          <w:color w:val="auto"/>
          <w:spacing w:val="-11"/>
          <w:highlight w:val="none"/>
        </w:rPr>
        <w:t>不变的前提下按招标人要求调整单价及有关费用，调整后的单价及有关费用对投标人起约束作用，如果</w:t>
      </w:r>
      <w:r>
        <w:rPr>
          <w:rFonts w:ascii="宋体" w:hAnsi="宋体" w:eastAsia="宋体" w:cs="宋体"/>
          <w:color w:val="auto"/>
          <w:highlight w:val="none"/>
        </w:rPr>
        <w:t xml:space="preserve"> </w:t>
      </w:r>
      <w:r>
        <w:rPr>
          <w:rFonts w:ascii="宋体" w:hAnsi="宋体" w:eastAsia="宋体" w:cs="宋体"/>
          <w:color w:val="auto"/>
          <w:spacing w:val="-22"/>
          <w:highlight w:val="none"/>
        </w:rPr>
        <w:t>投</w:t>
      </w:r>
      <w:r>
        <w:rPr>
          <w:rFonts w:ascii="宋体" w:hAnsi="宋体" w:eastAsia="宋体" w:cs="宋体"/>
          <w:color w:val="auto"/>
          <w:spacing w:val="-14"/>
          <w:highlight w:val="none"/>
        </w:rPr>
        <w:t>标</w:t>
      </w:r>
      <w:r>
        <w:rPr>
          <w:rFonts w:ascii="宋体" w:hAnsi="宋体" w:eastAsia="宋体" w:cs="宋体"/>
          <w:color w:val="auto"/>
          <w:spacing w:val="-11"/>
          <w:highlight w:val="none"/>
        </w:rPr>
        <w:t>人不接受修正后的单价及有关费用，则按商务评审不合格处理。</w:t>
      </w:r>
    </w:p>
    <w:p>
      <w:pPr>
        <w:spacing w:line="420" w:lineRule="exact"/>
        <w:ind w:left="451"/>
        <w:rPr>
          <w:rFonts w:ascii="宋体" w:hAnsi="宋体" w:eastAsia="宋体" w:cs="宋体"/>
          <w:color w:val="auto"/>
          <w:highlight w:val="none"/>
        </w:rPr>
      </w:pPr>
      <w:r>
        <w:rPr>
          <w:rFonts w:ascii="宋体" w:hAnsi="宋体" w:eastAsia="宋体" w:cs="宋体"/>
          <w:color w:val="auto"/>
          <w:spacing w:val="-22"/>
          <w:highlight w:val="none"/>
        </w:rPr>
        <w:t>4.</w:t>
      </w:r>
      <w:r>
        <w:rPr>
          <w:rFonts w:ascii="宋体" w:hAnsi="宋体" w:eastAsia="宋体" w:cs="宋体"/>
          <w:color w:val="auto"/>
          <w:spacing w:val="-14"/>
          <w:highlight w:val="none"/>
        </w:rPr>
        <w:t>5</w:t>
      </w:r>
      <w:r>
        <w:rPr>
          <w:rFonts w:ascii="宋体" w:hAnsi="宋体" w:eastAsia="宋体" w:cs="宋体"/>
          <w:color w:val="auto"/>
          <w:spacing w:val="-11"/>
          <w:highlight w:val="none"/>
        </w:rPr>
        <w:t>.3 投标报价中，如有以下情况之一的，按商务评审不合格处理：</w:t>
      </w:r>
    </w:p>
    <w:p>
      <w:pPr>
        <w:spacing w:line="420" w:lineRule="exact"/>
        <w:ind w:left="487"/>
        <w:rPr>
          <w:rFonts w:ascii="宋体" w:hAnsi="宋体" w:eastAsia="宋体" w:cs="宋体"/>
          <w:color w:val="auto"/>
          <w:highlight w:val="none"/>
        </w:rPr>
      </w:pPr>
      <w:r>
        <w:rPr>
          <w:rFonts w:ascii="宋体" w:hAnsi="宋体" w:eastAsia="宋体" w:cs="宋体"/>
          <w:color w:val="auto"/>
          <w:spacing w:val="-14"/>
          <w:highlight w:val="none"/>
        </w:rPr>
        <w:t>(</w:t>
      </w:r>
      <w:r>
        <w:rPr>
          <w:rFonts w:ascii="宋体" w:hAnsi="宋体" w:eastAsia="宋体" w:cs="宋体"/>
          <w:color w:val="auto"/>
          <w:spacing w:val="-12"/>
          <w:highlight w:val="none"/>
        </w:rPr>
        <w:t>1)投标人拒绝修正不平衡报价或拒绝提供报价分析说明和证明材料的。</w:t>
      </w:r>
    </w:p>
    <w:p>
      <w:pPr>
        <w:spacing w:line="420" w:lineRule="exact"/>
        <w:ind w:left="487"/>
        <w:rPr>
          <w:rFonts w:ascii="宋体" w:hAnsi="宋体" w:eastAsia="宋体" w:cs="宋体"/>
          <w:color w:val="auto"/>
          <w:highlight w:val="none"/>
        </w:rPr>
      </w:pPr>
      <w:r>
        <w:rPr>
          <w:rFonts w:ascii="宋体" w:hAnsi="宋体" w:eastAsia="宋体" w:cs="宋体"/>
          <w:color w:val="auto"/>
          <w:spacing w:val="-25"/>
          <w:highlight w:val="none"/>
        </w:rPr>
        <w:t>(</w:t>
      </w:r>
      <w:r>
        <w:rPr>
          <w:rFonts w:ascii="宋体" w:hAnsi="宋体" w:eastAsia="宋体" w:cs="宋体"/>
          <w:color w:val="auto"/>
          <w:spacing w:val="-13"/>
          <w:highlight w:val="none"/>
        </w:rPr>
        <w:t>2)因投标人自身多算、少算、错算、漏算而造成的错误金额超过投标总价的 3%的。</w:t>
      </w:r>
    </w:p>
    <w:p>
      <w:pPr>
        <w:spacing w:line="420" w:lineRule="exact"/>
        <w:ind w:left="487"/>
        <w:rPr>
          <w:rFonts w:ascii="宋体" w:hAnsi="宋体" w:eastAsia="宋体" w:cs="宋体"/>
          <w:color w:val="auto"/>
          <w:spacing w:val="-13"/>
          <w:highlight w:val="none"/>
        </w:rPr>
      </w:pPr>
      <w:r>
        <w:rPr>
          <w:rFonts w:ascii="宋体" w:hAnsi="宋体" w:eastAsia="宋体" w:cs="宋体"/>
          <w:color w:val="auto"/>
          <w:spacing w:val="-13"/>
          <w:highlight w:val="none"/>
        </w:rPr>
        <w:t>(3)</w:t>
      </w:r>
      <w:r>
        <w:rPr>
          <w:rFonts w:hint="eastAsia" w:ascii="宋体" w:hAnsi="宋体" w:eastAsia="宋体" w:cs="宋体"/>
          <w:color w:val="auto"/>
          <w:spacing w:val="-13"/>
          <w:highlight w:val="none"/>
        </w:rPr>
        <w:t>安全施工费低于招标文件规定的。</w:t>
      </w:r>
    </w:p>
    <w:p>
      <w:pPr>
        <w:pStyle w:val="21"/>
        <w:spacing w:line="420" w:lineRule="exact"/>
        <w:ind w:left="0" w:leftChars="0" w:firstLine="394"/>
        <w:rPr>
          <w:color w:val="auto"/>
          <w:highlight w:val="none"/>
        </w:rPr>
      </w:pPr>
      <w:r>
        <w:rPr>
          <w:rFonts w:hint="eastAsia" w:ascii="宋体" w:hAnsi="宋体" w:eastAsia="宋体" w:cs="宋体"/>
          <w:color w:val="auto"/>
          <w:spacing w:val="-13"/>
          <w:highlight w:val="none"/>
        </w:rPr>
        <w:t xml:space="preserve">（4) </w:t>
      </w:r>
      <w:r>
        <w:rPr>
          <w:rFonts w:hint="eastAsia" w:ascii="宋体" w:hAnsi="宋体" w:eastAsia="宋体" w:cs="宋体"/>
          <w:color w:val="auto"/>
          <w:spacing w:val="-12"/>
          <w:highlight w:val="none"/>
        </w:rPr>
        <w:t>预留金、暂估价未按工程量清单中的价格填报。</w:t>
      </w:r>
    </w:p>
    <w:p>
      <w:pPr>
        <w:spacing w:line="420" w:lineRule="exact"/>
        <w:ind w:right="6" w:firstLine="462" w:firstLineChars="300"/>
        <w:rPr>
          <w:rFonts w:ascii="宋体" w:hAnsi="宋体" w:eastAsia="宋体" w:cs="宋体"/>
          <w:color w:val="auto"/>
          <w:highlight w:val="none"/>
        </w:rPr>
      </w:pPr>
      <w:r>
        <w:rPr>
          <w:rFonts w:ascii="宋体" w:hAnsi="宋体" w:eastAsia="宋体" w:cs="宋体"/>
          <w:color w:val="auto"/>
          <w:spacing w:val="-28"/>
          <w:highlight w:val="none"/>
        </w:rPr>
        <w:t>(</w:t>
      </w:r>
      <w:r>
        <w:rPr>
          <w:rFonts w:hint="eastAsia" w:ascii="宋体" w:hAnsi="宋体" w:eastAsia="宋体" w:cs="宋体"/>
          <w:color w:val="auto"/>
          <w:spacing w:val="-28"/>
          <w:highlight w:val="none"/>
        </w:rPr>
        <w:t>5</w:t>
      </w:r>
      <w:r>
        <w:rPr>
          <w:rFonts w:ascii="宋体" w:hAnsi="宋体" w:eastAsia="宋体" w:cs="宋体"/>
          <w:color w:val="auto"/>
          <w:spacing w:val="-14"/>
          <w:highlight w:val="none"/>
        </w:rPr>
        <w:t>)通过符合性审查、技术评审的最低投标评标价低于通过符合性审查和技术评审的次低投标评标价的</w:t>
      </w:r>
      <w:r>
        <w:rPr>
          <w:rFonts w:ascii="宋体" w:hAnsi="宋体" w:eastAsia="宋体" w:cs="宋体"/>
          <w:color w:val="auto"/>
          <w:highlight w:val="none"/>
        </w:rPr>
        <w:t xml:space="preserve"> </w:t>
      </w:r>
      <w:r>
        <w:rPr>
          <w:rFonts w:ascii="宋体" w:hAnsi="宋体" w:eastAsia="宋体" w:cs="宋体"/>
          <w:color w:val="auto"/>
          <w:spacing w:val="-22"/>
          <w:highlight w:val="none"/>
        </w:rPr>
        <w:t>8</w:t>
      </w:r>
      <w:r>
        <w:rPr>
          <w:rFonts w:ascii="宋体" w:hAnsi="宋体" w:eastAsia="宋体" w:cs="宋体"/>
          <w:color w:val="auto"/>
          <w:spacing w:val="-13"/>
          <w:highlight w:val="none"/>
        </w:rPr>
        <w:t>%</w:t>
      </w:r>
      <w:r>
        <w:rPr>
          <w:rFonts w:ascii="宋体" w:hAnsi="宋体" w:eastAsia="宋体" w:cs="宋体"/>
          <w:color w:val="auto"/>
          <w:spacing w:val="-11"/>
          <w:highlight w:val="none"/>
        </w:rPr>
        <w:t>,且经询标投标人对其报价不能充分说明理由，或提供的相关材料无法证明报价不低于其成本价的。</w:t>
      </w:r>
    </w:p>
    <w:p>
      <w:pPr>
        <w:spacing w:line="420" w:lineRule="exact"/>
        <w:ind w:left="496"/>
        <w:rPr>
          <w:rFonts w:ascii="宋体" w:hAnsi="宋体" w:eastAsia="宋体" w:cs="宋体"/>
          <w:color w:val="auto"/>
          <w:spacing w:val="-22"/>
          <w:highlight w:val="none"/>
        </w:rPr>
      </w:pPr>
      <w:r>
        <w:rPr>
          <w:rFonts w:ascii="宋体" w:hAnsi="宋体" w:eastAsia="宋体" w:cs="宋体"/>
          <w:color w:val="auto"/>
          <w:spacing w:val="-14"/>
          <w:highlight w:val="none"/>
        </w:rPr>
        <w:t>(</w:t>
      </w:r>
      <w:r>
        <w:rPr>
          <w:rFonts w:hint="eastAsia" w:ascii="宋体" w:hAnsi="宋体" w:eastAsia="宋体" w:cs="宋体"/>
          <w:color w:val="auto"/>
          <w:spacing w:val="-14"/>
          <w:highlight w:val="none"/>
        </w:rPr>
        <w:t>6</w:t>
      </w:r>
      <w:r>
        <w:rPr>
          <w:rFonts w:ascii="宋体" w:hAnsi="宋体" w:eastAsia="宋体" w:cs="宋体"/>
          <w:color w:val="auto"/>
          <w:spacing w:val="-12"/>
          <w:highlight w:val="none"/>
        </w:rPr>
        <w:t>)评标委员会认定属投标人自身原因有重大漏项的。</w:t>
      </w:r>
    </w:p>
    <w:p>
      <w:pPr>
        <w:spacing w:line="420" w:lineRule="exact"/>
        <w:ind w:left="460"/>
        <w:rPr>
          <w:rFonts w:ascii="宋体" w:hAnsi="宋体" w:eastAsia="宋体" w:cs="宋体"/>
          <w:color w:val="auto"/>
          <w:highlight w:val="none"/>
        </w:rPr>
      </w:pPr>
      <w:r>
        <w:rPr>
          <w:rFonts w:ascii="宋体" w:hAnsi="宋体" w:eastAsia="宋体" w:cs="宋体"/>
          <w:color w:val="auto"/>
          <w:spacing w:val="-22"/>
          <w:highlight w:val="none"/>
        </w:rPr>
        <w:t>4</w:t>
      </w:r>
      <w:r>
        <w:rPr>
          <w:rFonts w:ascii="宋体" w:hAnsi="宋体" w:eastAsia="宋体" w:cs="宋体"/>
          <w:color w:val="auto"/>
          <w:spacing w:val="-21"/>
          <w:highlight w:val="none"/>
        </w:rPr>
        <w:t>.</w:t>
      </w:r>
      <w:r>
        <w:rPr>
          <w:rFonts w:ascii="宋体" w:hAnsi="宋体" w:eastAsia="宋体" w:cs="宋体"/>
          <w:color w:val="auto"/>
          <w:spacing w:val="-11"/>
          <w:highlight w:val="none"/>
        </w:rPr>
        <w:t>5.4 商务标评审不通过的投标文件不再进入后续评分。</w:t>
      </w:r>
    </w:p>
    <w:p>
      <w:pPr>
        <w:spacing w:line="420" w:lineRule="exact"/>
        <w:ind w:left="460"/>
        <w:rPr>
          <w:rFonts w:ascii="宋体" w:hAnsi="宋体" w:eastAsia="宋体" w:cs="宋体"/>
          <w:color w:val="auto"/>
          <w:highlight w:val="none"/>
        </w:rPr>
      </w:pPr>
      <w:r>
        <w:rPr>
          <w:rFonts w:ascii="宋体" w:hAnsi="宋体" w:eastAsia="宋体" w:cs="宋体"/>
          <w:color w:val="auto"/>
          <w:spacing w:val="-22"/>
          <w:highlight w:val="none"/>
        </w:rPr>
        <w:t>4</w:t>
      </w:r>
      <w:r>
        <w:rPr>
          <w:rFonts w:ascii="宋体" w:hAnsi="宋体" w:eastAsia="宋体" w:cs="宋体"/>
          <w:color w:val="auto"/>
          <w:spacing w:val="-17"/>
          <w:highlight w:val="none"/>
        </w:rPr>
        <w:t>.</w:t>
      </w:r>
      <w:r>
        <w:rPr>
          <w:rFonts w:ascii="宋体" w:hAnsi="宋体" w:eastAsia="宋体" w:cs="宋体"/>
          <w:color w:val="auto"/>
          <w:spacing w:val="-11"/>
          <w:highlight w:val="none"/>
        </w:rPr>
        <w:t>5.5 商务评分计算办法(以下评分基准价的确定方法仅供参考):</w:t>
      </w:r>
    </w:p>
    <w:p>
      <w:pPr>
        <w:spacing w:line="420" w:lineRule="exact"/>
        <w:ind w:left="475"/>
        <w:rPr>
          <w:rFonts w:ascii="宋体" w:hAnsi="宋体" w:eastAsia="宋体" w:cs="宋体"/>
          <w:color w:val="auto"/>
          <w:highlight w:val="none"/>
        </w:rPr>
      </w:pPr>
      <w:r>
        <w:rPr>
          <w:rFonts w:ascii="宋体" w:hAnsi="宋体" w:eastAsia="宋体" w:cs="宋体"/>
          <w:color w:val="auto"/>
          <w:spacing w:val="-22"/>
          <w:highlight w:val="none"/>
        </w:rPr>
        <w:t>1)</w:t>
      </w:r>
      <w:r>
        <w:rPr>
          <w:rFonts w:ascii="宋体" w:hAnsi="宋体" w:eastAsia="宋体" w:cs="宋体"/>
          <w:color w:val="auto"/>
          <w:spacing w:val="-17"/>
          <w:highlight w:val="none"/>
        </w:rPr>
        <w:t>评</w:t>
      </w:r>
      <w:r>
        <w:rPr>
          <w:rFonts w:ascii="宋体" w:hAnsi="宋体" w:eastAsia="宋体" w:cs="宋体"/>
          <w:color w:val="auto"/>
          <w:spacing w:val="-11"/>
          <w:highlight w:val="none"/>
        </w:rPr>
        <w:t>分基准价的确定：商务标评审通过的各入评投标人评标价的算术平均值为评分基准价。</w:t>
      </w:r>
    </w:p>
    <w:p>
      <w:pPr>
        <w:spacing w:line="420" w:lineRule="exact"/>
        <w:ind w:left="10" w:right="49" w:firstLine="447"/>
        <w:rPr>
          <w:rFonts w:ascii="宋体" w:hAnsi="宋体" w:eastAsia="宋体" w:cs="宋体"/>
          <w:color w:val="auto"/>
          <w:highlight w:val="none"/>
        </w:rPr>
      </w:pPr>
      <w:r>
        <w:rPr>
          <w:rFonts w:ascii="宋体" w:hAnsi="宋体" w:eastAsia="宋体" w:cs="宋体"/>
          <w:color w:val="auto"/>
          <w:spacing w:val="-24"/>
          <w:highlight w:val="none"/>
        </w:rPr>
        <w:t>评分</w:t>
      </w:r>
      <w:r>
        <w:rPr>
          <w:rFonts w:ascii="宋体" w:hAnsi="宋体" w:eastAsia="宋体" w:cs="宋体"/>
          <w:color w:val="auto"/>
          <w:spacing w:val="-17"/>
          <w:highlight w:val="none"/>
        </w:rPr>
        <w:t>基</w:t>
      </w:r>
      <w:r>
        <w:rPr>
          <w:rFonts w:ascii="宋体" w:hAnsi="宋体" w:eastAsia="宋体" w:cs="宋体"/>
          <w:color w:val="auto"/>
          <w:spacing w:val="-12"/>
          <w:highlight w:val="none"/>
        </w:rPr>
        <w:t>准价由评标委员会依据上述方法计算，除计算差错外，确认后的评分基准价在本次招标期间保</w:t>
      </w:r>
      <w:r>
        <w:rPr>
          <w:rFonts w:ascii="宋体" w:hAnsi="宋体" w:eastAsia="宋体" w:cs="宋体"/>
          <w:color w:val="auto"/>
          <w:highlight w:val="none"/>
        </w:rPr>
        <w:t xml:space="preserve"> </w:t>
      </w:r>
      <w:r>
        <w:rPr>
          <w:rFonts w:ascii="宋体" w:hAnsi="宋体" w:eastAsia="宋体" w:cs="宋体"/>
          <w:color w:val="auto"/>
          <w:spacing w:val="-10"/>
          <w:highlight w:val="none"/>
        </w:rPr>
        <w:t>持</w:t>
      </w:r>
      <w:r>
        <w:rPr>
          <w:rFonts w:ascii="宋体" w:hAnsi="宋体" w:eastAsia="宋体" w:cs="宋体"/>
          <w:color w:val="auto"/>
          <w:spacing w:val="-8"/>
          <w:highlight w:val="none"/>
        </w:rPr>
        <w:t>不变。</w:t>
      </w:r>
    </w:p>
    <w:p>
      <w:pPr>
        <w:spacing w:line="420" w:lineRule="exact"/>
        <w:ind w:left="8" w:right="8" w:firstLine="451"/>
        <w:rPr>
          <w:rFonts w:ascii="宋体" w:hAnsi="宋体" w:eastAsia="宋体" w:cs="宋体"/>
          <w:color w:val="auto"/>
          <w:highlight w:val="none"/>
        </w:rPr>
      </w:pPr>
      <w:r>
        <w:rPr>
          <w:rFonts w:ascii="宋体" w:hAnsi="宋体" w:eastAsia="宋体" w:cs="宋体"/>
          <w:color w:val="auto"/>
          <w:spacing w:val="-11"/>
          <w:highlight w:val="none"/>
        </w:rPr>
        <w:t>计算差错，仅限于以下两种情况：(1)纯算术性四则运算差错；(2)未按约定的计算方法，多计或者少</w:t>
      </w:r>
      <w:r>
        <w:rPr>
          <w:rFonts w:ascii="宋体" w:hAnsi="宋体" w:eastAsia="宋体" w:cs="宋体"/>
          <w:color w:val="auto"/>
          <w:highlight w:val="none"/>
        </w:rPr>
        <w:t xml:space="preserve"> </w:t>
      </w:r>
      <w:r>
        <w:rPr>
          <w:rFonts w:ascii="宋体" w:hAnsi="宋体" w:eastAsia="宋体" w:cs="宋体"/>
          <w:color w:val="auto"/>
          <w:spacing w:val="-22"/>
          <w:highlight w:val="none"/>
        </w:rPr>
        <w:t>计投</w:t>
      </w:r>
      <w:r>
        <w:rPr>
          <w:rFonts w:ascii="宋体" w:hAnsi="宋体" w:eastAsia="宋体" w:cs="宋体"/>
          <w:color w:val="auto"/>
          <w:spacing w:val="-15"/>
          <w:highlight w:val="none"/>
        </w:rPr>
        <w:t>标</w:t>
      </w:r>
      <w:r>
        <w:rPr>
          <w:rFonts w:ascii="宋体" w:hAnsi="宋体" w:eastAsia="宋体" w:cs="宋体"/>
          <w:color w:val="auto"/>
          <w:spacing w:val="-11"/>
          <w:highlight w:val="none"/>
        </w:rPr>
        <w:t>人报价的。由于评标差错导致否决投标错误，重新评标纠正等情况，不属于计算差错。</w:t>
      </w:r>
    </w:p>
    <w:p>
      <w:pPr>
        <w:spacing w:line="420" w:lineRule="exact"/>
        <w:ind w:left="11" w:right="37" w:firstLine="450"/>
        <w:rPr>
          <w:rFonts w:ascii="宋体" w:hAnsi="宋体" w:eastAsia="宋体" w:cs="宋体"/>
          <w:color w:val="auto"/>
          <w:highlight w:val="none"/>
        </w:rPr>
      </w:pPr>
      <w:r>
        <w:rPr>
          <w:rFonts w:ascii="宋体" w:hAnsi="宋体" w:eastAsia="宋体" w:cs="宋体"/>
          <w:color w:val="auto"/>
          <w:spacing w:val="-21"/>
          <w:highlight w:val="none"/>
        </w:rPr>
        <w:t>2</w:t>
      </w:r>
      <w:r>
        <w:rPr>
          <w:rFonts w:ascii="宋体" w:hAnsi="宋体" w:eastAsia="宋体" w:cs="宋体"/>
          <w:color w:val="auto"/>
          <w:spacing w:val="-12"/>
          <w:highlight w:val="none"/>
        </w:rPr>
        <w:t>)报价评分值的计算：以评分基准价为基础，将各入评投标人的评标价与评分基准价比较，计算出偏</w:t>
      </w:r>
      <w:r>
        <w:rPr>
          <w:rFonts w:ascii="宋体" w:hAnsi="宋体" w:eastAsia="宋体" w:cs="宋体"/>
          <w:color w:val="auto"/>
          <w:highlight w:val="none"/>
        </w:rPr>
        <w:t xml:space="preserve"> </w:t>
      </w:r>
      <w:r>
        <w:rPr>
          <w:rFonts w:ascii="宋体" w:hAnsi="宋体" w:eastAsia="宋体" w:cs="宋体"/>
          <w:color w:val="auto"/>
          <w:spacing w:val="-16"/>
          <w:highlight w:val="none"/>
        </w:rPr>
        <w:t>离</w:t>
      </w:r>
      <w:r>
        <w:rPr>
          <w:rFonts w:ascii="宋体" w:hAnsi="宋体" w:eastAsia="宋体" w:cs="宋体"/>
          <w:color w:val="auto"/>
          <w:spacing w:val="-11"/>
          <w:highlight w:val="none"/>
        </w:rPr>
        <w:t>基准价的百分数后，再进行计分。即：</w:t>
      </w:r>
    </w:p>
    <w:p>
      <w:pPr>
        <w:spacing w:line="420" w:lineRule="exact"/>
        <w:ind w:left="460"/>
        <w:rPr>
          <w:rFonts w:ascii="宋体" w:hAnsi="宋体" w:eastAsia="宋体" w:cs="宋体"/>
          <w:color w:val="auto"/>
          <w:highlight w:val="none"/>
        </w:rPr>
      </w:pPr>
      <w:r>
        <w:rPr>
          <w:rFonts w:ascii="宋体" w:hAnsi="宋体" w:eastAsia="宋体" w:cs="宋体"/>
          <w:color w:val="auto"/>
          <w:spacing w:val="-10"/>
          <w:highlight w:val="none"/>
        </w:rPr>
        <w:t>a</w:t>
      </w:r>
      <w:r>
        <w:rPr>
          <w:rFonts w:ascii="宋体" w:hAnsi="宋体" w:eastAsia="宋体" w:cs="宋体"/>
          <w:color w:val="auto"/>
          <w:spacing w:val="-12"/>
          <w:highlight w:val="none"/>
        </w:rPr>
        <w:t>.投标评标价等于评分基准价时，得满分(</w:t>
      </w:r>
      <w:r>
        <w:rPr>
          <w:rFonts w:hint="eastAsia" w:ascii="宋体" w:hAnsi="宋体" w:eastAsia="宋体" w:cs="宋体"/>
          <w:color w:val="auto"/>
          <w:spacing w:val="-12"/>
          <w:highlight w:val="none"/>
          <w:u w:val="single"/>
          <w:lang w:val="en-US" w:eastAsia="zh-CN"/>
        </w:rPr>
        <w:t>99</w:t>
      </w:r>
      <w:r>
        <w:rPr>
          <w:rFonts w:ascii="宋体" w:hAnsi="宋体" w:eastAsia="宋体" w:cs="宋体"/>
          <w:color w:val="auto"/>
          <w:spacing w:val="-12"/>
          <w:highlight w:val="none"/>
          <w:u w:val="single"/>
        </w:rPr>
        <w:t xml:space="preserve"> </w:t>
      </w:r>
      <w:r>
        <w:rPr>
          <w:rFonts w:ascii="宋体" w:hAnsi="宋体" w:eastAsia="宋体" w:cs="宋体"/>
          <w:color w:val="auto"/>
          <w:spacing w:val="-12"/>
          <w:highlight w:val="none"/>
        </w:rPr>
        <w:t>分)</w:t>
      </w:r>
    </w:p>
    <w:p>
      <w:pPr>
        <w:spacing w:line="420" w:lineRule="exact"/>
        <w:ind w:left="456"/>
        <w:rPr>
          <w:rFonts w:ascii="宋体" w:hAnsi="宋体" w:eastAsia="宋体" w:cs="宋体"/>
          <w:color w:val="auto"/>
          <w:highlight w:val="none"/>
        </w:rPr>
      </w:pPr>
      <w:r>
        <w:rPr>
          <w:rFonts w:ascii="宋体" w:hAnsi="宋体" w:eastAsia="宋体" w:cs="宋体"/>
          <w:color w:val="auto"/>
          <w:spacing w:val="-20"/>
          <w:highlight w:val="none"/>
        </w:rPr>
        <w:t xml:space="preserve">b.投标评标价每低于评分基准价 1 个百分点，扣 </w:t>
      </w:r>
      <w:r>
        <w:rPr>
          <w:rFonts w:ascii="宋体" w:hAnsi="宋体" w:eastAsia="宋体" w:cs="宋体"/>
          <w:color w:val="auto"/>
          <w:spacing w:val="-20"/>
          <w:highlight w:val="none"/>
          <w:u w:val="single"/>
        </w:rPr>
        <w:t xml:space="preserve"> 1 </w:t>
      </w:r>
      <w:r>
        <w:rPr>
          <w:rFonts w:ascii="宋体" w:hAnsi="宋体" w:eastAsia="宋体" w:cs="宋体"/>
          <w:color w:val="auto"/>
          <w:spacing w:val="-20"/>
          <w:highlight w:val="none"/>
        </w:rPr>
        <w:t>分。</w:t>
      </w:r>
    </w:p>
    <w:p>
      <w:pPr>
        <w:spacing w:line="420" w:lineRule="exact"/>
        <w:ind w:left="463"/>
        <w:rPr>
          <w:rFonts w:ascii="宋体" w:hAnsi="宋体" w:eastAsia="宋体" w:cs="宋体"/>
          <w:color w:val="auto"/>
          <w:highlight w:val="none"/>
        </w:rPr>
      </w:pPr>
      <w:r>
        <w:rPr>
          <w:rFonts w:ascii="宋体" w:hAnsi="宋体" w:eastAsia="宋体" w:cs="宋体"/>
          <w:color w:val="auto"/>
          <w:spacing w:val="-13"/>
          <w:highlight w:val="none"/>
        </w:rPr>
        <w:t>c</w:t>
      </w:r>
      <w:r>
        <w:rPr>
          <w:rFonts w:ascii="宋体" w:hAnsi="宋体" w:eastAsia="宋体" w:cs="宋体"/>
          <w:color w:val="auto"/>
          <w:spacing w:val="-26"/>
          <w:highlight w:val="none"/>
        </w:rPr>
        <w:t>.</w:t>
      </w:r>
      <w:r>
        <w:rPr>
          <w:rFonts w:ascii="宋体" w:hAnsi="宋体" w:eastAsia="宋体" w:cs="宋体"/>
          <w:color w:val="auto"/>
          <w:spacing w:val="-19"/>
          <w:highlight w:val="none"/>
        </w:rPr>
        <w:t>投</w:t>
      </w:r>
      <w:r>
        <w:rPr>
          <w:rFonts w:ascii="宋体" w:hAnsi="宋体" w:eastAsia="宋体" w:cs="宋体"/>
          <w:color w:val="auto"/>
          <w:spacing w:val="-13"/>
          <w:highlight w:val="none"/>
        </w:rPr>
        <w:t>标评标价每高于评分基准价 1 个百分点，扣</w:t>
      </w:r>
      <w:r>
        <w:rPr>
          <w:rFonts w:ascii="宋体" w:hAnsi="宋体" w:eastAsia="宋体" w:cs="宋体"/>
          <w:color w:val="auto"/>
          <w:spacing w:val="-13"/>
          <w:highlight w:val="none"/>
          <w:u w:val="single"/>
        </w:rPr>
        <w:t xml:space="preserve">1.5 </w:t>
      </w:r>
      <w:r>
        <w:rPr>
          <w:rFonts w:ascii="宋体" w:hAnsi="宋体" w:eastAsia="宋体" w:cs="宋体"/>
          <w:color w:val="auto"/>
          <w:spacing w:val="-13"/>
          <w:highlight w:val="none"/>
        </w:rPr>
        <w:t>分。</w:t>
      </w:r>
    </w:p>
    <w:p>
      <w:pPr>
        <w:spacing w:line="420" w:lineRule="exact"/>
        <w:ind w:left="11" w:right="5" w:firstLine="471"/>
        <w:rPr>
          <w:rFonts w:ascii="宋体" w:hAnsi="宋体" w:eastAsia="宋体" w:cs="宋体"/>
          <w:color w:val="auto"/>
          <w:highlight w:val="none"/>
        </w:rPr>
      </w:pPr>
      <w:r>
        <w:rPr>
          <w:rFonts w:ascii="宋体" w:hAnsi="宋体" w:eastAsia="宋体" w:cs="宋体"/>
          <w:color w:val="auto"/>
          <w:spacing w:val="-36"/>
          <w:highlight w:val="none"/>
        </w:rPr>
        <w:t>以</w:t>
      </w:r>
      <w:r>
        <w:rPr>
          <w:rFonts w:ascii="宋体" w:hAnsi="宋体" w:eastAsia="宋体" w:cs="宋体"/>
          <w:color w:val="auto"/>
          <w:spacing w:val="-21"/>
          <w:highlight w:val="none"/>
        </w:rPr>
        <w:t>上</w:t>
      </w:r>
      <w:r>
        <w:rPr>
          <w:rFonts w:ascii="宋体" w:hAnsi="宋体" w:eastAsia="宋体" w:cs="宋体"/>
          <w:color w:val="auto"/>
          <w:spacing w:val="-18"/>
          <w:highlight w:val="none"/>
        </w:rPr>
        <w:t>评分计算过程保留小数 3 位，第 4 位四舍五入，最终结果保留小数 2 位，第 3 位四舍五入，评分</w:t>
      </w:r>
      <w:r>
        <w:rPr>
          <w:rFonts w:ascii="宋体" w:hAnsi="宋体" w:eastAsia="宋体" w:cs="宋体"/>
          <w:color w:val="auto"/>
          <w:highlight w:val="none"/>
        </w:rPr>
        <w:t xml:space="preserve"> </w:t>
      </w:r>
      <w:r>
        <w:rPr>
          <w:rFonts w:ascii="宋体" w:hAnsi="宋体" w:eastAsia="宋体" w:cs="宋体"/>
          <w:color w:val="auto"/>
          <w:spacing w:val="-22"/>
          <w:highlight w:val="none"/>
        </w:rPr>
        <w:t>不足</w:t>
      </w:r>
      <w:r>
        <w:rPr>
          <w:rFonts w:ascii="宋体" w:hAnsi="宋体" w:eastAsia="宋体" w:cs="宋体"/>
          <w:color w:val="auto"/>
          <w:spacing w:val="-16"/>
          <w:highlight w:val="none"/>
        </w:rPr>
        <w:t>一</w:t>
      </w:r>
      <w:r>
        <w:rPr>
          <w:rFonts w:ascii="宋体" w:hAnsi="宋体" w:eastAsia="宋体" w:cs="宋体"/>
          <w:color w:val="auto"/>
          <w:spacing w:val="-11"/>
          <w:highlight w:val="none"/>
        </w:rPr>
        <w:t>个百分点时，使用直线插入法计算。商务报价评分最低分</w:t>
      </w:r>
      <w:r>
        <w:rPr>
          <w:rFonts w:ascii="宋体" w:hAnsi="宋体" w:eastAsia="宋体" w:cs="宋体"/>
          <w:color w:val="auto"/>
          <w:spacing w:val="-11"/>
          <w:highlight w:val="none"/>
          <w:u w:val="single"/>
        </w:rPr>
        <w:t xml:space="preserve"> 50 </w:t>
      </w:r>
      <w:r>
        <w:rPr>
          <w:rFonts w:ascii="宋体" w:hAnsi="宋体" w:eastAsia="宋体" w:cs="宋体"/>
          <w:color w:val="auto"/>
          <w:spacing w:val="-11"/>
          <w:highlight w:val="none"/>
        </w:rPr>
        <w:t xml:space="preserve"> 分。</w:t>
      </w:r>
    </w:p>
    <w:p>
      <w:pPr>
        <w:spacing w:line="420" w:lineRule="exact"/>
        <w:ind w:left="9"/>
        <w:outlineLvl w:val="0"/>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4.6 投标文件的资信评</w:t>
      </w:r>
      <w:r>
        <w:rPr>
          <w:rFonts w:ascii="宋体" w:hAnsi="宋体" w:eastAsia="宋体" w:cs="宋体"/>
          <w:color w:val="auto"/>
          <w:spacing w:val="-10"/>
          <w:sz w:val="24"/>
          <w:szCs w:val="24"/>
          <w:highlight w:val="none"/>
        </w:rPr>
        <w:t>审</w:t>
      </w:r>
    </w:p>
    <w:p>
      <w:pPr>
        <w:pStyle w:val="9"/>
        <w:spacing w:line="420" w:lineRule="exact"/>
        <w:rPr>
          <w:color w:val="auto"/>
          <w:sz w:val="21"/>
          <w:szCs w:val="21"/>
          <w:highlight w:val="none"/>
        </w:rPr>
      </w:pPr>
      <w:r>
        <w:rPr>
          <w:rFonts w:hint="eastAsia"/>
          <w:color w:val="auto"/>
          <w:sz w:val="21"/>
          <w:szCs w:val="21"/>
          <w:highlight w:val="none"/>
        </w:rPr>
        <w:t>投标文件的资信评审包括投标人的诚信、企业信用等级、项目负责人类似业绩。评标委员会全体成员查阅投标文件及相关证明材料并进行集体讨论后统一评分。</w:t>
      </w:r>
    </w:p>
    <w:p>
      <w:pPr>
        <w:pStyle w:val="9"/>
        <w:spacing w:line="420" w:lineRule="exact"/>
        <w:ind w:firstLine="392"/>
        <w:rPr>
          <w:color w:val="auto"/>
          <w:spacing w:val="-9"/>
          <w:sz w:val="21"/>
          <w:szCs w:val="21"/>
          <w:highlight w:val="none"/>
        </w:rPr>
      </w:pPr>
      <w:bookmarkStart w:id="364" w:name="EBac5f6b1181d747d9a92ec49aedc9ded1"/>
      <w:r>
        <w:rPr>
          <w:rFonts w:hint="eastAsia" w:eastAsia="宋体"/>
          <w:color w:val="auto"/>
          <w:spacing w:val="-7"/>
          <w:sz w:val="21"/>
          <w:szCs w:val="21"/>
          <w:highlight w:val="none"/>
        </w:rPr>
        <w:t>1、</w:t>
      </w:r>
      <w:r>
        <w:rPr>
          <w:rFonts w:hint="eastAsia"/>
          <w:color w:val="auto"/>
          <w:spacing w:val="-7"/>
          <w:sz w:val="21"/>
          <w:szCs w:val="21"/>
          <w:highlight w:val="none"/>
        </w:rPr>
        <w:t xml:space="preserve">☑ </w:t>
      </w:r>
      <w:bookmarkEnd w:id="364"/>
      <w:r>
        <w:rPr>
          <w:rFonts w:hint="eastAsia"/>
          <w:color w:val="auto"/>
          <w:sz w:val="21"/>
          <w:szCs w:val="21"/>
          <w:highlight w:val="none"/>
        </w:rPr>
        <w:t>投标人诚信（采用扣分法，扣分不设分值限定，以实际次数扣分</w:t>
      </w:r>
      <w:r>
        <w:rPr>
          <w:rFonts w:hint="eastAsia"/>
          <w:color w:val="auto"/>
          <w:spacing w:val="-9"/>
          <w:sz w:val="21"/>
          <w:szCs w:val="21"/>
          <w:highlight w:val="none"/>
        </w:rPr>
        <w:t>）：</w:t>
      </w:r>
    </w:p>
    <w:p>
      <w:pPr>
        <w:pStyle w:val="9"/>
        <w:spacing w:line="420" w:lineRule="exact"/>
        <w:rPr>
          <w:color w:val="auto"/>
          <w:sz w:val="21"/>
          <w:szCs w:val="21"/>
          <w:highlight w:val="none"/>
        </w:rPr>
      </w:pPr>
      <w:r>
        <w:rPr>
          <w:rFonts w:hint="eastAsia"/>
          <w:color w:val="auto"/>
          <w:sz w:val="21"/>
          <w:szCs w:val="21"/>
          <w:highlight w:val="none"/>
        </w:rPr>
        <w:t>投标人在投标截止时间前被浙江省发展改革委作出行政处罚决定且在公告期限内</w:t>
      </w:r>
      <w:r>
        <w:rPr>
          <w:rFonts w:hint="eastAsia"/>
          <w:color w:val="auto"/>
          <w:spacing w:val="-10"/>
          <w:sz w:val="21"/>
          <w:szCs w:val="21"/>
          <w:highlight w:val="none"/>
        </w:rPr>
        <w:t>的，每次扣</w:t>
      </w:r>
      <w:r>
        <w:rPr>
          <w:color w:val="auto"/>
          <w:sz w:val="21"/>
          <w:szCs w:val="21"/>
          <w:highlight w:val="none"/>
        </w:rPr>
        <w:t>1</w:t>
      </w:r>
      <w:r>
        <w:rPr>
          <w:rFonts w:hint="eastAsia"/>
          <w:color w:val="auto"/>
          <w:spacing w:val="-9"/>
          <w:sz w:val="21"/>
          <w:szCs w:val="21"/>
          <w:highlight w:val="none"/>
        </w:rPr>
        <w:t>分；以浙江政务服务网行政处罚结果信息公开内容为准，时间以省发</w:t>
      </w:r>
      <w:r>
        <w:rPr>
          <w:rFonts w:hint="eastAsia"/>
          <w:color w:val="auto"/>
          <w:sz w:val="21"/>
          <w:szCs w:val="21"/>
          <w:highlight w:val="none"/>
        </w:rPr>
        <w:t>展改革委作出处理决定的时间为准。</w:t>
      </w:r>
    </w:p>
    <w:p>
      <w:pPr>
        <w:pStyle w:val="9"/>
        <w:spacing w:line="400" w:lineRule="exact"/>
        <w:ind w:firstLine="420" w:firstLineChars="200"/>
        <w:rPr>
          <w:color w:val="auto"/>
          <w:sz w:val="21"/>
          <w:szCs w:val="21"/>
          <w:highlight w:val="none"/>
        </w:rPr>
      </w:pPr>
      <w:r>
        <w:rPr>
          <w:color w:val="auto"/>
          <w:sz w:val="21"/>
          <w:szCs w:val="21"/>
          <w:highlight w:val="none"/>
        </w:rPr>
        <w:t>2</w:t>
      </w:r>
      <w:r>
        <w:rPr>
          <w:rFonts w:hint="eastAsia"/>
          <w:color w:val="auto"/>
          <w:sz w:val="21"/>
          <w:szCs w:val="21"/>
          <w:highlight w:val="none"/>
        </w:rPr>
        <w:t>、企业信用等级最高评分为</w:t>
      </w:r>
      <w:r>
        <w:rPr>
          <w:color w:val="auto"/>
          <w:sz w:val="21"/>
          <w:szCs w:val="21"/>
          <w:highlight w:val="none"/>
        </w:rPr>
        <w:t>1</w:t>
      </w:r>
      <w:r>
        <w:rPr>
          <w:rFonts w:hint="eastAsia"/>
          <w:color w:val="auto"/>
          <w:sz w:val="21"/>
          <w:szCs w:val="21"/>
          <w:highlight w:val="none"/>
        </w:rPr>
        <w:t>分</w:t>
      </w:r>
      <w:r>
        <w:rPr>
          <w:rFonts w:hint="eastAsia" w:eastAsia="宋体"/>
          <w:color w:val="auto"/>
          <w:sz w:val="21"/>
          <w:szCs w:val="21"/>
          <w:highlight w:val="none"/>
        </w:rPr>
        <w:t>。</w:t>
      </w:r>
      <w:r>
        <w:rPr>
          <w:rFonts w:hint="eastAsia"/>
          <w:color w:val="auto"/>
          <w:sz w:val="21"/>
          <w:szCs w:val="21"/>
          <w:highlight w:val="none"/>
        </w:rPr>
        <w:t>具体分值见下表</w:t>
      </w:r>
    </w:p>
    <w:tbl>
      <w:tblPr>
        <w:tblStyle w:val="22"/>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7262"/>
        <w:gridCol w:w="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vAlign w:val="center"/>
          </w:tcPr>
          <w:p>
            <w:pPr>
              <w:pStyle w:val="9"/>
              <w:spacing w:line="360" w:lineRule="exact"/>
              <w:ind w:firstLine="0"/>
              <w:rPr>
                <w:rFonts w:asciiTheme="majorEastAsia" w:hAnsiTheme="majorEastAsia" w:eastAsiaTheme="majorEastAsia"/>
                <w:color w:val="auto"/>
                <w:sz w:val="21"/>
                <w:szCs w:val="21"/>
                <w:highlight w:val="none"/>
              </w:rPr>
            </w:pPr>
            <w:r>
              <w:rPr>
                <w:rFonts w:hint="eastAsia" w:asciiTheme="majorEastAsia" w:hAnsiTheme="majorEastAsia" w:eastAsiaTheme="majorEastAsia"/>
                <w:color w:val="auto"/>
                <w:sz w:val="21"/>
                <w:szCs w:val="21"/>
                <w:highlight w:val="none"/>
              </w:rPr>
              <w:t>序号</w:t>
            </w:r>
          </w:p>
        </w:tc>
        <w:tc>
          <w:tcPr>
            <w:tcW w:w="7262" w:type="dxa"/>
            <w:vAlign w:val="center"/>
          </w:tcPr>
          <w:p>
            <w:pPr>
              <w:pStyle w:val="9"/>
              <w:spacing w:line="360" w:lineRule="exact"/>
              <w:jc w:val="center"/>
              <w:rPr>
                <w:rFonts w:asciiTheme="majorEastAsia" w:hAnsiTheme="majorEastAsia" w:eastAsiaTheme="majorEastAsia"/>
                <w:color w:val="auto"/>
                <w:sz w:val="21"/>
                <w:szCs w:val="21"/>
                <w:highlight w:val="none"/>
              </w:rPr>
            </w:pPr>
            <w:r>
              <w:rPr>
                <w:rFonts w:hint="eastAsia" w:asciiTheme="majorEastAsia" w:hAnsiTheme="majorEastAsia" w:eastAsiaTheme="majorEastAsia"/>
                <w:color w:val="auto"/>
                <w:sz w:val="21"/>
                <w:szCs w:val="21"/>
                <w:highlight w:val="none"/>
              </w:rPr>
              <w:t>内</w:t>
            </w:r>
            <w:r>
              <w:rPr>
                <w:rFonts w:asciiTheme="majorEastAsia" w:hAnsiTheme="majorEastAsia" w:eastAsiaTheme="majorEastAsia"/>
                <w:color w:val="auto"/>
                <w:sz w:val="21"/>
                <w:szCs w:val="21"/>
                <w:highlight w:val="none"/>
              </w:rPr>
              <w:t xml:space="preserve">    </w:t>
            </w:r>
            <w:r>
              <w:rPr>
                <w:rFonts w:hint="eastAsia" w:asciiTheme="majorEastAsia" w:hAnsiTheme="majorEastAsia" w:eastAsiaTheme="majorEastAsia"/>
                <w:color w:val="auto"/>
                <w:sz w:val="21"/>
                <w:szCs w:val="21"/>
                <w:highlight w:val="none"/>
              </w:rPr>
              <w:t>容</w:t>
            </w:r>
          </w:p>
        </w:tc>
        <w:tc>
          <w:tcPr>
            <w:tcW w:w="955" w:type="dxa"/>
            <w:vAlign w:val="center"/>
          </w:tcPr>
          <w:p>
            <w:pPr>
              <w:pStyle w:val="9"/>
              <w:spacing w:line="360" w:lineRule="exact"/>
              <w:ind w:firstLine="0"/>
              <w:jc w:val="center"/>
              <w:rPr>
                <w:rFonts w:asciiTheme="majorEastAsia" w:hAnsiTheme="majorEastAsia" w:eastAsiaTheme="majorEastAsia"/>
                <w:color w:val="auto"/>
                <w:sz w:val="21"/>
                <w:szCs w:val="21"/>
                <w:highlight w:val="none"/>
              </w:rPr>
            </w:pPr>
            <w:r>
              <w:rPr>
                <w:rFonts w:hint="eastAsia" w:asciiTheme="majorEastAsia" w:hAnsiTheme="majorEastAsia" w:eastAsiaTheme="majorEastAsia"/>
                <w:color w:val="auto"/>
                <w:sz w:val="21"/>
                <w:szCs w:val="21"/>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vAlign w:val="center"/>
          </w:tcPr>
          <w:p>
            <w:pPr>
              <w:pStyle w:val="9"/>
              <w:spacing w:line="360" w:lineRule="exact"/>
              <w:ind w:firstLine="0"/>
              <w:rPr>
                <w:rFonts w:asciiTheme="majorEastAsia" w:hAnsiTheme="majorEastAsia" w:eastAsiaTheme="majorEastAsia"/>
                <w:color w:val="auto"/>
                <w:sz w:val="21"/>
                <w:szCs w:val="21"/>
                <w:highlight w:val="none"/>
              </w:rPr>
            </w:pPr>
            <w:r>
              <w:rPr>
                <w:rFonts w:hint="eastAsia" w:asciiTheme="majorEastAsia" w:hAnsiTheme="majorEastAsia" w:eastAsiaTheme="majorEastAsia"/>
                <w:color w:val="auto"/>
                <w:sz w:val="21"/>
                <w:szCs w:val="21"/>
                <w:highlight w:val="none"/>
              </w:rPr>
              <w:t>（1）</w:t>
            </w:r>
          </w:p>
        </w:tc>
        <w:tc>
          <w:tcPr>
            <w:tcW w:w="7262" w:type="dxa"/>
            <w:vAlign w:val="center"/>
          </w:tcPr>
          <w:p>
            <w:pPr>
              <w:pStyle w:val="9"/>
              <w:spacing w:line="360" w:lineRule="exact"/>
              <w:ind w:firstLine="0"/>
              <w:rPr>
                <w:rFonts w:asciiTheme="majorEastAsia" w:hAnsiTheme="majorEastAsia" w:eastAsiaTheme="majorEastAsia"/>
                <w:color w:val="auto"/>
                <w:sz w:val="21"/>
                <w:szCs w:val="21"/>
                <w:highlight w:val="none"/>
              </w:rPr>
            </w:pPr>
            <w:r>
              <w:rPr>
                <w:rFonts w:hint="eastAsia" w:asciiTheme="majorEastAsia" w:hAnsiTheme="majorEastAsia" w:eastAsiaTheme="majorEastAsia"/>
                <w:color w:val="auto"/>
                <w:sz w:val="21"/>
                <w:szCs w:val="21"/>
                <w:highlight w:val="none"/>
              </w:rPr>
              <w:t>企业信用等级</w:t>
            </w:r>
          </w:p>
        </w:tc>
        <w:tc>
          <w:tcPr>
            <w:tcW w:w="955" w:type="dxa"/>
            <w:vAlign w:val="center"/>
          </w:tcPr>
          <w:p>
            <w:pPr>
              <w:pStyle w:val="9"/>
              <w:spacing w:line="360" w:lineRule="exact"/>
              <w:ind w:firstLine="0"/>
              <w:jc w:val="center"/>
              <w:rPr>
                <w:rFonts w:asciiTheme="majorEastAsia" w:hAnsiTheme="majorEastAsia" w:eastAsiaTheme="majorEastAsia"/>
                <w:color w:val="auto"/>
                <w:sz w:val="21"/>
                <w:szCs w:val="21"/>
                <w:highlight w:val="none"/>
              </w:rPr>
            </w:pPr>
            <w:r>
              <w:rPr>
                <w:rFonts w:asciiTheme="majorEastAsia" w:hAnsiTheme="majorEastAsia" w:eastAsiaTheme="majorEastAsia"/>
                <w:color w:val="auto"/>
                <w:sz w:val="21"/>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vAlign w:val="center"/>
          </w:tcPr>
          <w:p>
            <w:pPr>
              <w:pStyle w:val="9"/>
              <w:spacing w:line="360" w:lineRule="exact"/>
              <w:ind w:firstLine="0"/>
              <w:rPr>
                <w:rFonts w:asciiTheme="majorEastAsia" w:hAnsiTheme="majorEastAsia" w:eastAsiaTheme="majorEastAsia"/>
                <w:color w:val="auto"/>
                <w:sz w:val="21"/>
                <w:szCs w:val="21"/>
                <w:highlight w:val="none"/>
              </w:rPr>
            </w:pPr>
          </w:p>
        </w:tc>
        <w:tc>
          <w:tcPr>
            <w:tcW w:w="7262" w:type="dxa"/>
            <w:vAlign w:val="center"/>
          </w:tcPr>
          <w:p>
            <w:pPr>
              <w:pStyle w:val="36"/>
              <w:spacing w:after="0" w:line="360" w:lineRule="exact"/>
              <w:ind w:firstLine="0"/>
              <w:rPr>
                <w:rFonts w:asciiTheme="majorEastAsia" w:hAnsiTheme="majorEastAsia" w:eastAsiaTheme="majorEastAsia"/>
                <w:snapToGrid w:val="0"/>
                <w:color w:val="auto"/>
                <w:sz w:val="21"/>
                <w:szCs w:val="21"/>
                <w:highlight w:val="none"/>
              </w:rPr>
            </w:pPr>
            <w:r>
              <w:rPr>
                <w:rFonts w:hint="eastAsia" w:asciiTheme="majorEastAsia" w:hAnsiTheme="majorEastAsia" w:eastAsiaTheme="majorEastAsia"/>
                <w:color w:val="auto"/>
                <w:sz w:val="21"/>
                <w:szCs w:val="21"/>
                <w:highlight w:val="none"/>
              </w:rPr>
              <w:t>浙江省水利建设市场信用评价等级</w:t>
            </w:r>
            <w:r>
              <w:rPr>
                <w:rFonts w:hint="eastAsia" w:asciiTheme="majorEastAsia" w:hAnsiTheme="majorEastAsia" w:eastAsiaTheme="majorEastAsia"/>
                <w:color w:val="auto"/>
                <w:sz w:val="21"/>
                <w:szCs w:val="21"/>
                <w:highlight w:val="none"/>
                <w:lang w:eastAsia="zh-CN"/>
              </w:rPr>
              <w:t>（</w:t>
            </w:r>
            <w:r>
              <w:rPr>
                <w:rFonts w:hint="eastAsia" w:asciiTheme="majorEastAsia" w:hAnsiTheme="majorEastAsia" w:eastAsiaTheme="majorEastAsia"/>
                <w:color w:val="auto"/>
                <w:sz w:val="21"/>
                <w:szCs w:val="21"/>
                <w:highlight w:val="none"/>
              </w:rPr>
              <w:t>施工类）</w:t>
            </w:r>
            <w:r>
              <w:rPr>
                <w:rFonts w:hint="eastAsia" w:asciiTheme="majorEastAsia" w:hAnsiTheme="majorEastAsia" w:eastAsiaTheme="majorEastAsia"/>
                <w:color w:val="auto"/>
                <w:sz w:val="21"/>
                <w:szCs w:val="21"/>
                <w:highlight w:val="none"/>
                <w:lang w:eastAsia="zh-CN"/>
              </w:rPr>
              <w:t>：</w:t>
            </w:r>
            <w:r>
              <w:rPr>
                <w:rFonts w:hint="eastAsia" w:asciiTheme="majorEastAsia" w:hAnsiTheme="majorEastAsia" w:eastAsiaTheme="majorEastAsia"/>
                <w:color w:val="auto"/>
                <w:sz w:val="21"/>
                <w:szCs w:val="21"/>
                <w:highlight w:val="none"/>
                <w:lang w:val="en-US" w:eastAsia="zh-CN" w:bidi="en-US"/>
              </w:rPr>
              <w:t>A</w:t>
            </w:r>
            <w:r>
              <w:rPr>
                <w:rFonts w:hint="eastAsia" w:asciiTheme="majorEastAsia" w:hAnsiTheme="majorEastAsia" w:eastAsiaTheme="majorEastAsia"/>
                <w:color w:val="auto"/>
                <w:sz w:val="21"/>
                <w:szCs w:val="21"/>
                <w:highlight w:val="none"/>
              </w:rPr>
              <w:t>等级</w:t>
            </w:r>
          </w:p>
        </w:tc>
        <w:tc>
          <w:tcPr>
            <w:tcW w:w="955" w:type="dxa"/>
            <w:vAlign w:val="center"/>
          </w:tcPr>
          <w:p>
            <w:pPr>
              <w:spacing w:line="360" w:lineRule="exact"/>
              <w:jc w:val="center"/>
              <w:rPr>
                <w:rFonts w:asciiTheme="majorEastAsia" w:hAnsiTheme="majorEastAsia" w:eastAsiaTheme="majorEastAsia"/>
                <w:color w:val="auto"/>
                <w:highlight w:val="none"/>
              </w:rPr>
            </w:pPr>
            <w:r>
              <w:rPr>
                <w:rFonts w:hint="eastAsia" w:asciiTheme="majorEastAsia" w:hAnsiTheme="majorEastAsia" w:eastAsiaTheme="majorEastAsia"/>
                <w:bCs/>
                <w:color w:val="auto"/>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vAlign w:val="center"/>
          </w:tcPr>
          <w:p>
            <w:pPr>
              <w:pStyle w:val="9"/>
              <w:spacing w:line="360" w:lineRule="exact"/>
              <w:ind w:firstLine="0"/>
              <w:rPr>
                <w:rFonts w:asciiTheme="majorEastAsia" w:hAnsiTheme="majorEastAsia" w:eastAsiaTheme="majorEastAsia"/>
                <w:color w:val="auto"/>
                <w:sz w:val="21"/>
                <w:szCs w:val="21"/>
                <w:highlight w:val="none"/>
              </w:rPr>
            </w:pPr>
          </w:p>
        </w:tc>
        <w:tc>
          <w:tcPr>
            <w:tcW w:w="7262" w:type="dxa"/>
            <w:vAlign w:val="center"/>
          </w:tcPr>
          <w:p>
            <w:pPr>
              <w:pStyle w:val="36"/>
              <w:spacing w:after="0" w:line="360" w:lineRule="exact"/>
              <w:ind w:firstLine="0"/>
              <w:rPr>
                <w:rFonts w:asciiTheme="majorEastAsia" w:hAnsiTheme="majorEastAsia" w:eastAsiaTheme="majorEastAsia"/>
                <w:snapToGrid w:val="0"/>
                <w:color w:val="auto"/>
                <w:sz w:val="21"/>
                <w:szCs w:val="21"/>
                <w:highlight w:val="none"/>
              </w:rPr>
            </w:pPr>
            <w:r>
              <w:rPr>
                <w:rFonts w:hint="eastAsia" w:asciiTheme="majorEastAsia" w:hAnsiTheme="majorEastAsia" w:eastAsiaTheme="majorEastAsia"/>
                <w:color w:val="auto"/>
                <w:sz w:val="21"/>
                <w:szCs w:val="21"/>
                <w:highlight w:val="none"/>
              </w:rPr>
              <w:t>浙江省水利建设市场信用评价等级</w:t>
            </w:r>
            <w:r>
              <w:rPr>
                <w:rFonts w:hint="eastAsia" w:asciiTheme="majorEastAsia" w:hAnsiTheme="majorEastAsia" w:eastAsiaTheme="majorEastAsia"/>
                <w:color w:val="auto"/>
                <w:sz w:val="21"/>
                <w:szCs w:val="21"/>
                <w:highlight w:val="none"/>
                <w:lang w:eastAsia="zh-CN"/>
              </w:rPr>
              <w:t>（</w:t>
            </w:r>
            <w:r>
              <w:rPr>
                <w:rFonts w:hint="eastAsia" w:asciiTheme="majorEastAsia" w:hAnsiTheme="majorEastAsia" w:eastAsiaTheme="majorEastAsia"/>
                <w:color w:val="auto"/>
                <w:sz w:val="21"/>
                <w:szCs w:val="21"/>
                <w:highlight w:val="none"/>
              </w:rPr>
              <w:t>施工类）</w:t>
            </w:r>
            <w:r>
              <w:rPr>
                <w:rFonts w:hint="eastAsia" w:asciiTheme="majorEastAsia" w:hAnsiTheme="majorEastAsia" w:eastAsiaTheme="majorEastAsia"/>
                <w:color w:val="auto"/>
                <w:sz w:val="21"/>
                <w:szCs w:val="21"/>
                <w:highlight w:val="none"/>
                <w:lang w:eastAsia="zh-CN"/>
              </w:rPr>
              <w:t>：</w:t>
            </w:r>
            <w:r>
              <w:rPr>
                <w:rFonts w:hint="eastAsia" w:asciiTheme="majorEastAsia" w:hAnsiTheme="majorEastAsia" w:eastAsiaTheme="majorEastAsia"/>
                <w:color w:val="auto"/>
                <w:sz w:val="21"/>
                <w:szCs w:val="21"/>
                <w:highlight w:val="none"/>
                <w:lang w:val="en-US" w:eastAsia="zh-CN" w:bidi="en-US"/>
              </w:rPr>
              <w:t>B</w:t>
            </w:r>
            <w:r>
              <w:rPr>
                <w:rFonts w:hint="eastAsia" w:asciiTheme="majorEastAsia" w:hAnsiTheme="majorEastAsia" w:eastAsiaTheme="majorEastAsia"/>
                <w:color w:val="auto"/>
                <w:sz w:val="21"/>
                <w:szCs w:val="21"/>
                <w:highlight w:val="none"/>
              </w:rPr>
              <w:t>等级</w:t>
            </w:r>
          </w:p>
        </w:tc>
        <w:tc>
          <w:tcPr>
            <w:tcW w:w="955" w:type="dxa"/>
            <w:vAlign w:val="center"/>
          </w:tcPr>
          <w:p>
            <w:pPr>
              <w:spacing w:line="360" w:lineRule="exact"/>
              <w:jc w:val="center"/>
              <w:rPr>
                <w:rFonts w:asciiTheme="majorEastAsia" w:hAnsiTheme="majorEastAsia" w:eastAsiaTheme="majorEastAsia"/>
                <w:color w:val="auto"/>
                <w:highlight w:val="none"/>
              </w:rPr>
            </w:pPr>
            <w:r>
              <w:rPr>
                <w:rFonts w:hint="eastAsia" w:asciiTheme="majorEastAsia" w:hAnsiTheme="majorEastAsia" w:eastAsiaTheme="majorEastAsia"/>
                <w:bCs/>
                <w:color w:val="auto"/>
                <w:highlight w:val="none"/>
              </w:rPr>
              <w:t>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vAlign w:val="center"/>
          </w:tcPr>
          <w:p>
            <w:pPr>
              <w:pStyle w:val="9"/>
              <w:spacing w:line="360" w:lineRule="exact"/>
              <w:ind w:firstLine="0"/>
              <w:rPr>
                <w:rFonts w:asciiTheme="majorEastAsia" w:hAnsiTheme="majorEastAsia" w:eastAsiaTheme="majorEastAsia"/>
                <w:color w:val="auto"/>
                <w:sz w:val="21"/>
                <w:szCs w:val="21"/>
                <w:highlight w:val="none"/>
              </w:rPr>
            </w:pPr>
          </w:p>
        </w:tc>
        <w:tc>
          <w:tcPr>
            <w:tcW w:w="7262" w:type="dxa"/>
            <w:vAlign w:val="center"/>
          </w:tcPr>
          <w:p>
            <w:pPr>
              <w:pStyle w:val="36"/>
              <w:spacing w:after="0" w:line="360" w:lineRule="exact"/>
              <w:ind w:firstLine="0"/>
              <w:rPr>
                <w:rFonts w:asciiTheme="majorEastAsia" w:hAnsiTheme="majorEastAsia" w:eastAsiaTheme="majorEastAsia"/>
                <w:snapToGrid w:val="0"/>
                <w:color w:val="auto"/>
                <w:sz w:val="21"/>
                <w:szCs w:val="21"/>
                <w:highlight w:val="none"/>
              </w:rPr>
            </w:pPr>
            <w:r>
              <w:rPr>
                <w:rFonts w:hint="eastAsia" w:asciiTheme="majorEastAsia" w:hAnsiTheme="majorEastAsia" w:eastAsiaTheme="majorEastAsia"/>
                <w:color w:val="auto"/>
                <w:sz w:val="21"/>
                <w:szCs w:val="21"/>
                <w:highlight w:val="none"/>
              </w:rPr>
              <w:t>浙江省水利建设市场信用评价等级</w:t>
            </w:r>
            <w:r>
              <w:rPr>
                <w:rFonts w:hint="eastAsia" w:asciiTheme="majorEastAsia" w:hAnsiTheme="majorEastAsia" w:eastAsiaTheme="majorEastAsia"/>
                <w:color w:val="auto"/>
                <w:sz w:val="21"/>
                <w:szCs w:val="21"/>
                <w:highlight w:val="none"/>
                <w:lang w:eastAsia="zh-CN"/>
              </w:rPr>
              <w:t>（</w:t>
            </w:r>
            <w:r>
              <w:rPr>
                <w:rFonts w:hint="eastAsia" w:asciiTheme="majorEastAsia" w:hAnsiTheme="majorEastAsia" w:eastAsiaTheme="majorEastAsia"/>
                <w:color w:val="auto"/>
                <w:sz w:val="21"/>
                <w:szCs w:val="21"/>
                <w:highlight w:val="none"/>
              </w:rPr>
              <w:t>施工类）</w:t>
            </w:r>
            <w:r>
              <w:rPr>
                <w:rFonts w:hint="eastAsia" w:asciiTheme="majorEastAsia" w:hAnsiTheme="majorEastAsia" w:eastAsiaTheme="majorEastAsia"/>
                <w:color w:val="auto"/>
                <w:sz w:val="21"/>
                <w:szCs w:val="21"/>
                <w:highlight w:val="none"/>
                <w:lang w:eastAsia="zh-CN"/>
              </w:rPr>
              <w:t>：</w:t>
            </w:r>
            <w:r>
              <w:rPr>
                <w:rFonts w:hint="eastAsia" w:asciiTheme="majorEastAsia" w:hAnsiTheme="majorEastAsia" w:eastAsiaTheme="majorEastAsia"/>
                <w:color w:val="auto"/>
                <w:sz w:val="21"/>
                <w:szCs w:val="21"/>
                <w:highlight w:val="none"/>
                <w:lang w:val="en-US" w:eastAsia="zh-CN" w:bidi="en-US"/>
              </w:rPr>
              <w:t>C</w:t>
            </w:r>
            <w:r>
              <w:rPr>
                <w:rFonts w:hint="eastAsia" w:asciiTheme="majorEastAsia" w:hAnsiTheme="majorEastAsia" w:eastAsiaTheme="majorEastAsia"/>
                <w:color w:val="auto"/>
                <w:sz w:val="21"/>
                <w:szCs w:val="21"/>
                <w:highlight w:val="none"/>
              </w:rPr>
              <w:t>等级</w:t>
            </w:r>
          </w:p>
        </w:tc>
        <w:tc>
          <w:tcPr>
            <w:tcW w:w="955" w:type="dxa"/>
            <w:vAlign w:val="center"/>
          </w:tcPr>
          <w:p>
            <w:pPr>
              <w:spacing w:line="360" w:lineRule="exact"/>
              <w:jc w:val="center"/>
              <w:rPr>
                <w:rFonts w:asciiTheme="majorEastAsia" w:hAnsiTheme="majorEastAsia" w:eastAsiaTheme="majorEastAsia"/>
                <w:color w:val="auto"/>
                <w:highlight w:val="none"/>
              </w:rPr>
            </w:pPr>
            <w:r>
              <w:rPr>
                <w:rFonts w:hint="eastAsia" w:asciiTheme="majorEastAsia" w:hAnsiTheme="majorEastAsia" w:eastAsiaTheme="majorEastAsia"/>
                <w:bCs/>
                <w:color w:val="auto"/>
                <w:highlight w:val="none"/>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vAlign w:val="center"/>
          </w:tcPr>
          <w:p>
            <w:pPr>
              <w:pStyle w:val="9"/>
              <w:spacing w:line="360" w:lineRule="exact"/>
              <w:ind w:firstLine="0"/>
              <w:rPr>
                <w:rFonts w:asciiTheme="majorEastAsia" w:hAnsiTheme="majorEastAsia" w:eastAsiaTheme="majorEastAsia"/>
                <w:color w:val="auto"/>
                <w:sz w:val="21"/>
                <w:szCs w:val="21"/>
                <w:highlight w:val="none"/>
              </w:rPr>
            </w:pPr>
          </w:p>
        </w:tc>
        <w:tc>
          <w:tcPr>
            <w:tcW w:w="7262" w:type="dxa"/>
          </w:tcPr>
          <w:p>
            <w:pPr>
              <w:pStyle w:val="36"/>
              <w:spacing w:after="0" w:line="360" w:lineRule="exact"/>
              <w:ind w:firstLine="0"/>
              <w:rPr>
                <w:rFonts w:asciiTheme="majorEastAsia" w:hAnsiTheme="majorEastAsia" w:eastAsiaTheme="majorEastAsia"/>
                <w:snapToGrid w:val="0"/>
                <w:color w:val="auto"/>
                <w:sz w:val="21"/>
                <w:szCs w:val="21"/>
                <w:highlight w:val="none"/>
              </w:rPr>
            </w:pPr>
            <w:r>
              <w:rPr>
                <w:rFonts w:hint="eastAsia" w:asciiTheme="majorEastAsia" w:hAnsiTheme="majorEastAsia" w:eastAsiaTheme="majorEastAsia"/>
                <w:color w:val="auto"/>
                <w:sz w:val="21"/>
                <w:szCs w:val="21"/>
                <w:highlight w:val="none"/>
              </w:rPr>
              <w:t>浙江省水利建设市场信用评价等级</w:t>
            </w:r>
            <w:r>
              <w:rPr>
                <w:rFonts w:hint="eastAsia" w:asciiTheme="majorEastAsia" w:hAnsiTheme="majorEastAsia" w:eastAsiaTheme="majorEastAsia"/>
                <w:color w:val="auto"/>
                <w:sz w:val="21"/>
                <w:szCs w:val="21"/>
                <w:highlight w:val="none"/>
                <w:lang w:eastAsia="zh-CN"/>
              </w:rPr>
              <w:t>（</w:t>
            </w:r>
            <w:r>
              <w:rPr>
                <w:rFonts w:hint="eastAsia" w:asciiTheme="majorEastAsia" w:hAnsiTheme="majorEastAsia" w:eastAsiaTheme="majorEastAsia"/>
                <w:color w:val="auto"/>
                <w:sz w:val="21"/>
                <w:szCs w:val="21"/>
                <w:highlight w:val="none"/>
              </w:rPr>
              <w:t>施工类）</w:t>
            </w:r>
            <w:r>
              <w:rPr>
                <w:rFonts w:hint="eastAsia" w:asciiTheme="majorEastAsia" w:hAnsiTheme="majorEastAsia" w:eastAsiaTheme="majorEastAsia"/>
                <w:color w:val="auto"/>
                <w:sz w:val="21"/>
                <w:szCs w:val="21"/>
                <w:highlight w:val="none"/>
                <w:lang w:eastAsia="zh-CN"/>
              </w:rPr>
              <w:t>：</w:t>
            </w:r>
            <w:r>
              <w:rPr>
                <w:rFonts w:hint="eastAsia" w:asciiTheme="majorEastAsia" w:hAnsiTheme="majorEastAsia" w:eastAsiaTheme="majorEastAsia"/>
                <w:color w:val="auto"/>
                <w:sz w:val="21"/>
                <w:szCs w:val="21"/>
                <w:highlight w:val="none"/>
                <w:lang w:val="en-US" w:eastAsia="zh-CN" w:bidi="en-US"/>
              </w:rPr>
              <w:t>D</w:t>
            </w:r>
            <w:r>
              <w:rPr>
                <w:rFonts w:hint="eastAsia" w:asciiTheme="majorEastAsia" w:hAnsiTheme="majorEastAsia" w:eastAsiaTheme="majorEastAsia"/>
                <w:color w:val="auto"/>
                <w:sz w:val="21"/>
                <w:szCs w:val="21"/>
                <w:highlight w:val="none"/>
              </w:rPr>
              <w:t>及以下等级或无信用评价等级）</w:t>
            </w:r>
          </w:p>
        </w:tc>
        <w:tc>
          <w:tcPr>
            <w:tcW w:w="955" w:type="dxa"/>
            <w:vAlign w:val="center"/>
          </w:tcPr>
          <w:p>
            <w:pPr>
              <w:spacing w:line="360" w:lineRule="exact"/>
              <w:jc w:val="center"/>
              <w:rPr>
                <w:rFonts w:asciiTheme="majorEastAsia" w:hAnsiTheme="majorEastAsia" w:eastAsiaTheme="majorEastAsia"/>
                <w:color w:val="auto"/>
                <w:highlight w:val="none"/>
              </w:rPr>
            </w:pPr>
            <w:r>
              <w:rPr>
                <w:rFonts w:hint="eastAsia" w:asciiTheme="majorEastAsia" w:hAnsiTheme="majorEastAsia" w:eastAsiaTheme="majorEastAsia"/>
                <w:bCs/>
                <w:color w:val="auto"/>
                <w:highlight w:val="none"/>
              </w:rPr>
              <w:t>0</w:t>
            </w:r>
          </w:p>
        </w:tc>
      </w:tr>
    </w:tbl>
    <w:p>
      <w:pPr>
        <w:spacing w:line="440" w:lineRule="exact"/>
        <w:ind w:firstLine="420" w:firstLineChars="200"/>
        <w:rPr>
          <w:color w:val="auto"/>
          <w:highlight w:val="none"/>
        </w:rPr>
      </w:pPr>
      <w:r>
        <w:rPr>
          <w:rFonts w:hint="eastAsia"/>
          <w:color w:val="auto"/>
          <w:highlight w:val="none"/>
        </w:rPr>
        <w:t>企业信用等级证明材料指：招标公告发布当月（或之后月份）浙江水利建设市场信用评价网页打印件。</w:t>
      </w:r>
    </w:p>
    <w:p>
      <w:pPr>
        <w:spacing w:line="460" w:lineRule="exact"/>
        <w:outlineLvl w:val="0"/>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4.7 询标</w:t>
      </w:r>
    </w:p>
    <w:p>
      <w:pPr>
        <w:spacing w:line="400" w:lineRule="exact"/>
        <w:ind w:firstLine="478"/>
        <w:jc w:val="both"/>
        <w:rPr>
          <w:rFonts w:ascii="宋体" w:hAnsi="宋体" w:eastAsia="宋体" w:cs="宋体"/>
          <w:color w:val="auto"/>
          <w:highlight w:val="none"/>
        </w:rPr>
      </w:pPr>
      <w:r>
        <w:rPr>
          <w:rFonts w:ascii="宋体" w:hAnsi="宋体" w:eastAsia="宋体" w:cs="宋体"/>
          <w:color w:val="auto"/>
          <w:spacing w:val="-13"/>
          <w:highlight w:val="none"/>
        </w:rPr>
        <w:t>1.凡评标委员会拟作出否决投标决定的，应先向投标人进行书面询问核实。未进行询问核实程序的</w:t>
      </w:r>
      <w:r>
        <w:rPr>
          <w:rFonts w:ascii="宋体" w:hAnsi="宋体" w:eastAsia="宋体" w:cs="宋体"/>
          <w:color w:val="auto"/>
          <w:spacing w:val="-9"/>
          <w:highlight w:val="none"/>
        </w:rPr>
        <w:t>，</w:t>
      </w:r>
      <w:r>
        <w:rPr>
          <w:rFonts w:ascii="宋体" w:hAnsi="宋体" w:eastAsia="宋体" w:cs="宋体"/>
          <w:color w:val="auto"/>
          <w:highlight w:val="none"/>
        </w:rPr>
        <w:t xml:space="preserve"> </w:t>
      </w:r>
      <w:r>
        <w:rPr>
          <w:rFonts w:ascii="宋体" w:hAnsi="宋体" w:eastAsia="宋体" w:cs="宋体"/>
          <w:color w:val="auto"/>
          <w:spacing w:val="-11"/>
          <w:highlight w:val="none"/>
        </w:rPr>
        <w:t>不得做出否决投标决定，投标人放弃接受询问核实机会的除外。</w:t>
      </w:r>
      <w:r>
        <w:rPr>
          <w:rFonts w:hint="eastAsia" w:ascii="宋体" w:hAnsi="宋体" w:eastAsia="宋体" w:cs="宋体"/>
          <w:color w:val="auto"/>
          <w:spacing w:val="-6"/>
          <w:highlight w:val="none"/>
        </w:rPr>
        <w:t>在评标过程中，</w:t>
      </w:r>
      <w:r>
        <w:rPr>
          <w:rFonts w:hint="eastAsia"/>
          <w:color w:val="auto"/>
          <w:highlight w:val="none"/>
        </w:rPr>
        <w:t>评标委员会要求投标人进行澄清、说明或者补正的，通过电子邮箱</w:t>
      </w:r>
      <w:r>
        <w:rPr>
          <w:rFonts w:hint="eastAsia" w:eastAsia="宋体"/>
          <w:color w:val="auto"/>
          <w:highlight w:val="none"/>
          <w:lang w:eastAsia="zh-CN"/>
        </w:rPr>
        <w:t>347546322</w:t>
      </w:r>
      <w:r>
        <w:rPr>
          <w:rFonts w:hint="eastAsia"/>
          <w:color w:val="auto"/>
          <w:highlight w:val="none"/>
        </w:rPr>
        <w:t>@qq.com 的方式作出澄清、说明或者补正，提交澄清、说明或补正的时间为通知后</w:t>
      </w:r>
      <w:r>
        <w:rPr>
          <w:rFonts w:hint="eastAsia" w:eastAsia="宋体"/>
          <w:color w:val="auto"/>
          <w:highlight w:val="none"/>
        </w:rPr>
        <w:t>半</w:t>
      </w:r>
      <w:r>
        <w:rPr>
          <w:rFonts w:hint="eastAsia"/>
          <w:color w:val="auto"/>
          <w:highlight w:val="none"/>
        </w:rPr>
        <w:t>小时内。投标单位的报名人在评标过程中，应要保持手机畅通。</w:t>
      </w:r>
      <w:r>
        <w:rPr>
          <w:rFonts w:hint="eastAsia" w:ascii="宋体" w:hAnsi="宋体"/>
          <w:color w:val="auto"/>
          <w:highlight w:val="none"/>
        </w:rPr>
        <w:t>评标委员会不接受投标人主动提出的澄清、说明或补正。</w:t>
      </w:r>
    </w:p>
    <w:p>
      <w:pPr>
        <w:spacing w:line="460" w:lineRule="exact"/>
        <w:ind w:left="1" w:right="57" w:firstLine="501"/>
        <w:rPr>
          <w:rFonts w:ascii="宋体" w:hAnsi="宋体" w:eastAsia="宋体" w:cs="宋体"/>
          <w:color w:val="auto"/>
          <w:highlight w:val="none"/>
        </w:rPr>
      </w:pPr>
      <w:r>
        <w:rPr>
          <w:rFonts w:ascii="宋体" w:hAnsi="宋体" w:eastAsia="宋体" w:cs="宋体"/>
          <w:color w:val="auto"/>
          <w:spacing w:val="-11"/>
          <w:highlight w:val="none"/>
        </w:rPr>
        <w:t>投标人应自行关注评标委员会发</w:t>
      </w:r>
      <w:r>
        <w:rPr>
          <w:rFonts w:ascii="宋体" w:hAnsi="宋体" w:eastAsia="宋体" w:cs="宋体"/>
          <w:color w:val="auto"/>
          <w:spacing w:val="-4"/>
          <w:highlight w:val="none"/>
        </w:rPr>
        <w:t>出</w:t>
      </w:r>
      <w:r>
        <w:rPr>
          <w:rFonts w:ascii="宋体" w:hAnsi="宋体" w:eastAsia="宋体" w:cs="宋体"/>
          <w:color w:val="auto"/>
          <w:spacing w:val="-22"/>
          <w:highlight w:val="none"/>
        </w:rPr>
        <w:t>的澄</w:t>
      </w:r>
      <w:r>
        <w:rPr>
          <w:rFonts w:ascii="宋体" w:hAnsi="宋体" w:eastAsia="宋体" w:cs="宋体"/>
          <w:color w:val="auto"/>
          <w:spacing w:val="-20"/>
          <w:highlight w:val="none"/>
        </w:rPr>
        <w:t>清</w:t>
      </w:r>
      <w:r>
        <w:rPr>
          <w:rFonts w:ascii="宋体" w:hAnsi="宋体" w:eastAsia="宋体" w:cs="宋体"/>
          <w:color w:val="auto"/>
          <w:spacing w:val="-11"/>
          <w:highlight w:val="none"/>
        </w:rPr>
        <w:t>并及时答复，在规定的时限内投标人不参加核实或不予答复的，视为放弃接受询问核实机会。</w:t>
      </w:r>
    </w:p>
    <w:p>
      <w:pPr>
        <w:spacing w:line="460" w:lineRule="exact"/>
        <w:ind w:left="490"/>
        <w:rPr>
          <w:rFonts w:ascii="宋体" w:hAnsi="宋体" w:eastAsia="宋体" w:cs="宋体"/>
          <w:color w:val="auto"/>
          <w:highlight w:val="none"/>
        </w:rPr>
      </w:pPr>
      <w:r>
        <w:rPr>
          <w:rFonts w:ascii="宋体" w:hAnsi="宋体" w:eastAsia="宋体" w:cs="宋体"/>
          <w:color w:val="auto"/>
          <w:spacing w:val="-22"/>
          <w:highlight w:val="none"/>
        </w:rPr>
        <w:t>2</w:t>
      </w:r>
      <w:r>
        <w:rPr>
          <w:rFonts w:ascii="宋体" w:hAnsi="宋体" w:eastAsia="宋体" w:cs="宋体"/>
          <w:color w:val="auto"/>
          <w:spacing w:val="-17"/>
          <w:highlight w:val="none"/>
        </w:rPr>
        <w:t>.</w:t>
      </w:r>
      <w:r>
        <w:rPr>
          <w:rFonts w:ascii="宋体" w:hAnsi="宋体" w:eastAsia="宋体" w:cs="宋体"/>
          <w:color w:val="auto"/>
          <w:spacing w:val="-11"/>
          <w:highlight w:val="none"/>
        </w:rPr>
        <w:t>除本评标办法规定的否决情形以外，招标文件中其他条款均不得作为否决投标文件的依据。</w:t>
      </w:r>
    </w:p>
    <w:p>
      <w:pPr>
        <w:spacing w:line="460" w:lineRule="exact"/>
        <w:outlineLvl w:val="0"/>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4.8 投标文件的综合评</w:t>
      </w:r>
      <w:r>
        <w:rPr>
          <w:rFonts w:ascii="宋体" w:hAnsi="宋体" w:eastAsia="宋体" w:cs="宋体"/>
          <w:color w:val="auto"/>
          <w:spacing w:val="-10"/>
          <w:sz w:val="24"/>
          <w:szCs w:val="24"/>
          <w:highlight w:val="none"/>
        </w:rPr>
        <w:t>分</w:t>
      </w:r>
    </w:p>
    <w:p>
      <w:pPr>
        <w:spacing w:line="460" w:lineRule="exact"/>
        <w:ind w:left="490"/>
        <w:rPr>
          <w:rFonts w:ascii="宋体" w:hAnsi="宋体" w:eastAsia="宋体" w:cs="宋体"/>
          <w:color w:val="auto"/>
          <w:highlight w:val="none"/>
        </w:rPr>
      </w:pPr>
      <w:r>
        <w:rPr>
          <w:rFonts w:ascii="宋体" w:hAnsi="宋体" w:eastAsia="宋体" w:cs="宋体"/>
          <w:color w:val="auto"/>
          <w:spacing w:val="-26"/>
          <w:highlight w:val="none"/>
        </w:rPr>
        <w:t>投标</w:t>
      </w:r>
      <w:r>
        <w:rPr>
          <w:rFonts w:ascii="宋体" w:hAnsi="宋体" w:eastAsia="宋体" w:cs="宋体"/>
          <w:color w:val="auto"/>
          <w:spacing w:val="-15"/>
          <w:highlight w:val="none"/>
        </w:rPr>
        <w:t>文</w:t>
      </w:r>
      <w:r>
        <w:rPr>
          <w:rFonts w:ascii="宋体" w:hAnsi="宋体" w:eastAsia="宋体" w:cs="宋体"/>
          <w:color w:val="auto"/>
          <w:spacing w:val="-13"/>
          <w:highlight w:val="none"/>
        </w:rPr>
        <w:t>件的综合评分为投标文件的资信评分与投标文件的商务评分之和，满分为 100 分。</w:t>
      </w:r>
    </w:p>
    <w:p>
      <w:pPr>
        <w:spacing w:line="460" w:lineRule="exact"/>
        <w:outlineLvl w:val="0"/>
        <w:rPr>
          <w:rFonts w:ascii="宋体" w:hAnsi="宋体" w:eastAsia="宋体" w:cs="宋体"/>
          <w:color w:val="auto"/>
          <w:sz w:val="24"/>
          <w:szCs w:val="24"/>
          <w:highlight w:val="none"/>
        </w:rPr>
      </w:pPr>
      <w:r>
        <w:rPr>
          <w:rFonts w:ascii="宋体" w:hAnsi="宋体" w:eastAsia="宋体" w:cs="宋体"/>
          <w:color w:val="auto"/>
          <w:spacing w:val="-12"/>
          <w:sz w:val="24"/>
          <w:szCs w:val="24"/>
          <w:highlight w:val="none"/>
        </w:rPr>
        <w:t>4.9 推荐中标候选</w:t>
      </w:r>
      <w:r>
        <w:rPr>
          <w:rFonts w:ascii="宋体" w:hAnsi="宋体" w:eastAsia="宋体" w:cs="宋体"/>
          <w:color w:val="auto"/>
          <w:spacing w:val="-10"/>
          <w:sz w:val="24"/>
          <w:szCs w:val="24"/>
          <w:highlight w:val="none"/>
        </w:rPr>
        <w:t>人</w:t>
      </w:r>
    </w:p>
    <w:p>
      <w:pPr>
        <w:spacing w:line="460" w:lineRule="exact"/>
        <w:ind w:right="103" w:firstLine="487"/>
        <w:rPr>
          <w:rFonts w:ascii="宋体" w:hAnsi="宋体" w:eastAsia="宋体" w:cs="宋体"/>
          <w:color w:val="auto"/>
          <w:highlight w:val="none"/>
        </w:rPr>
      </w:pPr>
      <w:r>
        <w:rPr>
          <w:rFonts w:ascii="宋体" w:hAnsi="宋体" w:eastAsia="宋体" w:cs="宋体"/>
          <w:color w:val="auto"/>
          <w:spacing w:val="-18"/>
          <w:highlight w:val="none"/>
        </w:rPr>
        <w:t>评</w:t>
      </w:r>
      <w:r>
        <w:rPr>
          <w:rFonts w:ascii="宋体" w:hAnsi="宋体" w:eastAsia="宋体" w:cs="宋体"/>
          <w:color w:val="auto"/>
          <w:spacing w:val="-14"/>
          <w:highlight w:val="none"/>
        </w:rPr>
        <w:t>标</w:t>
      </w:r>
      <w:r>
        <w:rPr>
          <w:rFonts w:ascii="宋体" w:hAnsi="宋体" w:eastAsia="宋体" w:cs="宋体"/>
          <w:color w:val="auto"/>
          <w:spacing w:val="-9"/>
          <w:highlight w:val="none"/>
        </w:rPr>
        <w:t>委员会根据综合评分对通过商务评审的投标文件按照由高到低的顺序进行排序，推荐中标</w:t>
      </w:r>
      <w:r>
        <w:rPr>
          <w:rFonts w:hint="eastAsia" w:ascii="宋体" w:hAnsi="宋体" w:eastAsia="宋体" w:cs="宋体"/>
          <w:color w:val="auto"/>
          <w:spacing w:val="-9"/>
          <w:highlight w:val="none"/>
          <w:lang w:eastAsia="zh-CN"/>
        </w:rPr>
        <w:t>候选人</w:t>
      </w:r>
      <w:r>
        <w:rPr>
          <w:rFonts w:ascii="宋体" w:hAnsi="宋体" w:eastAsia="宋体" w:cs="宋体"/>
          <w:color w:val="auto"/>
          <w:spacing w:val="-12"/>
          <w:highlight w:val="none"/>
        </w:rPr>
        <w:t>。综合评分相同时，报价低者优先。评分、报价均相同时，由评标委员会全体成员按照少数服从多数</w:t>
      </w:r>
      <w:r>
        <w:rPr>
          <w:rFonts w:ascii="宋体" w:hAnsi="宋体" w:eastAsia="宋体" w:cs="宋体"/>
          <w:color w:val="auto"/>
          <w:spacing w:val="-3"/>
          <w:highlight w:val="none"/>
        </w:rPr>
        <w:t>的</w:t>
      </w:r>
      <w:r>
        <w:rPr>
          <w:rFonts w:ascii="宋体" w:hAnsi="宋体" w:eastAsia="宋体" w:cs="宋体"/>
          <w:color w:val="auto"/>
          <w:highlight w:val="none"/>
        </w:rPr>
        <w:t xml:space="preserve"> </w:t>
      </w:r>
      <w:r>
        <w:rPr>
          <w:rFonts w:ascii="宋体" w:hAnsi="宋体" w:eastAsia="宋体" w:cs="宋体"/>
          <w:color w:val="auto"/>
          <w:spacing w:val="-20"/>
          <w:highlight w:val="none"/>
        </w:rPr>
        <w:t>原</w:t>
      </w:r>
      <w:r>
        <w:rPr>
          <w:rFonts w:ascii="宋体" w:hAnsi="宋体" w:eastAsia="宋体" w:cs="宋体"/>
          <w:color w:val="auto"/>
          <w:spacing w:val="-14"/>
          <w:highlight w:val="none"/>
        </w:rPr>
        <w:t>则</w:t>
      </w:r>
      <w:r>
        <w:rPr>
          <w:rFonts w:ascii="宋体" w:hAnsi="宋体" w:eastAsia="宋体" w:cs="宋体"/>
          <w:color w:val="auto"/>
          <w:spacing w:val="-10"/>
          <w:highlight w:val="none"/>
        </w:rPr>
        <w:t>记名投票(不得弃权)决定中标候选人。</w:t>
      </w:r>
    </w:p>
    <w:p>
      <w:pPr>
        <w:spacing w:line="460" w:lineRule="exact"/>
        <w:ind w:left="479"/>
        <w:rPr>
          <w:rFonts w:ascii="宋体" w:hAnsi="宋体" w:eastAsia="宋体" w:cs="宋体"/>
          <w:color w:val="auto"/>
          <w:highlight w:val="none"/>
        </w:rPr>
      </w:pPr>
      <w:r>
        <w:rPr>
          <w:rFonts w:ascii="宋体" w:hAnsi="宋体" w:eastAsia="宋体" w:cs="宋体"/>
          <w:color w:val="auto"/>
          <w:spacing w:val="-17"/>
          <w:highlight w:val="none"/>
        </w:rPr>
        <w:t>本</w:t>
      </w:r>
      <w:r>
        <w:rPr>
          <w:rFonts w:ascii="宋体" w:hAnsi="宋体" w:eastAsia="宋体" w:cs="宋体"/>
          <w:color w:val="auto"/>
          <w:spacing w:val="-11"/>
          <w:highlight w:val="none"/>
        </w:rPr>
        <w:t>评标办法未尽事宜由评标委员会集体讨论决定。</w:t>
      </w:r>
    </w:p>
    <w:p>
      <w:pPr>
        <w:spacing w:line="460" w:lineRule="exact"/>
        <w:outlineLvl w:val="0"/>
        <w:rPr>
          <w:rFonts w:ascii="宋体" w:hAnsi="宋体" w:eastAsia="宋体" w:cs="宋体"/>
          <w:color w:val="auto"/>
          <w:sz w:val="24"/>
          <w:szCs w:val="24"/>
          <w:highlight w:val="none"/>
        </w:rPr>
      </w:pPr>
      <w:r>
        <w:rPr>
          <w:rFonts w:ascii="宋体" w:hAnsi="宋体" w:eastAsia="宋体" w:cs="宋体"/>
          <w:color w:val="auto"/>
          <w:spacing w:val="-14"/>
          <w:sz w:val="24"/>
          <w:szCs w:val="24"/>
          <w:highlight w:val="none"/>
        </w:rPr>
        <w:t>4</w:t>
      </w:r>
      <w:r>
        <w:rPr>
          <w:rFonts w:ascii="宋体" w:hAnsi="宋体" w:eastAsia="宋体" w:cs="宋体"/>
          <w:color w:val="auto"/>
          <w:spacing w:val="-11"/>
          <w:sz w:val="24"/>
          <w:szCs w:val="24"/>
          <w:highlight w:val="none"/>
        </w:rPr>
        <w:t>.10 评标报告</w:t>
      </w:r>
    </w:p>
    <w:p>
      <w:pPr>
        <w:spacing w:line="460" w:lineRule="exact"/>
        <w:ind w:left="480"/>
        <w:rPr>
          <w:rFonts w:ascii="宋体" w:hAnsi="宋体" w:eastAsia="宋体" w:cs="宋体"/>
          <w:color w:val="auto"/>
          <w:highlight w:val="none"/>
        </w:rPr>
      </w:pPr>
      <w:r>
        <w:rPr>
          <w:rFonts w:ascii="宋体" w:hAnsi="宋体" w:eastAsia="宋体" w:cs="宋体"/>
          <w:color w:val="auto"/>
          <w:spacing w:val="-24"/>
          <w:highlight w:val="none"/>
        </w:rPr>
        <w:t>4.</w:t>
      </w:r>
      <w:r>
        <w:rPr>
          <w:rFonts w:ascii="宋体" w:hAnsi="宋体" w:eastAsia="宋体" w:cs="宋体"/>
          <w:color w:val="auto"/>
          <w:spacing w:val="-17"/>
          <w:highlight w:val="none"/>
        </w:rPr>
        <w:t>1</w:t>
      </w:r>
      <w:r>
        <w:rPr>
          <w:rFonts w:ascii="宋体" w:hAnsi="宋体" w:eastAsia="宋体" w:cs="宋体"/>
          <w:color w:val="auto"/>
          <w:spacing w:val="-12"/>
          <w:highlight w:val="none"/>
        </w:rPr>
        <w:t>0.1 评标委员会对投标文件作出的评审结论，应当符合有关法律、法规、规章和招标文件的规定。</w:t>
      </w:r>
    </w:p>
    <w:p>
      <w:pPr>
        <w:spacing w:line="460" w:lineRule="exact"/>
        <w:ind w:left="6" w:right="46" w:firstLine="473"/>
        <w:rPr>
          <w:rFonts w:ascii="宋体" w:hAnsi="宋体" w:eastAsia="宋体" w:cs="宋体"/>
          <w:color w:val="auto"/>
          <w:highlight w:val="none"/>
        </w:rPr>
      </w:pPr>
      <w:r>
        <w:rPr>
          <w:rFonts w:ascii="宋体" w:hAnsi="宋体" w:eastAsia="宋体" w:cs="宋体"/>
          <w:color w:val="auto"/>
          <w:spacing w:val="-26"/>
          <w:highlight w:val="none"/>
        </w:rPr>
        <w:t>4.</w:t>
      </w:r>
      <w:r>
        <w:rPr>
          <w:rFonts w:ascii="宋体" w:hAnsi="宋体" w:eastAsia="宋体" w:cs="宋体"/>
          <w:color w:val="auto"/>
          <w:spacing w:val="-14"/>
          <w:highlight w:val="none"/>
        </w:rPr>
        <w:t>1</w:t>
      </w:r>
      <w:r>
        <w:rPr>
          <w:rFonts w:ascii="宋体" w:hAnsi="宋体" w:eastAsia="宋体" w:cs="宋体"/>
          <w:color w:val="auto"/>
          <w:spacing w:val="-13"/>
          <w:highlight w:val="none"/>
        </w:rPr>
        <w:t>0.2 评标委员会应根据评标情况，推荐中标候选人，并向招标人提交评标报告。评标报告由评标委</w:t>
      </w:r>
      <w:r>
        <w:rPr>
          <w:rFonts w:ascii="宋体" w:hAnsi="宋体" w:eastAsia="宋体" w:cs="宋体"/>
          <w:color w:val="auto"/>
          <w:highlight w:val="none"/>
        </w:rPr>
        <w:t xml:space="preserve"> </w:t>
      </w:r>
      <w:r>
        <w:rPr>
          <w:rFonts w:ascii="宋体" w:hAnsi="宋体" w:eastAsia="宋体" w:cs="宋体"/>
          <w:color w:val="auto"/>
          <w:spacing w:val="-20"/>
          <w:highlight w:val="none"/>
        </w:rPr>
        <w:t>员会成</w:t>
      </w:r>
      <w:r>
        <w:rPr>
          <w:rFonts w:ascii="宋体" w:hAnsi="宋体" w:eastAsia="宋体" w:cs="宋体"/>
          <w:color w:val="auto"/>
          <w:spacing w:val="-15"/>
          <w:highlight w:val="none"/>
        </w:rPr>
        <w:t>员</w:t>
      </w:r>
      <w:r>
        <w:rPr>
          <w:rFonts w:ascii="宋体" w:hAnsi="宋体" w:eastAsia="宋体" w:cs="宋体"/>
          <w:color w:val="auto"/>
          <w:spacing w:val="-10"/>
          <w:highlight w:val="none"/>
        </w:rPr>
        <w:t>起草，评标委员会全体成员应在评标报告上签字确认，评标专家如有保留意见可以在评标报告中</w:t>
      </w:r>
      <w:r>
        <w:rPr>
          <w:rFonts w:ascii="宋体" w:hAnsi="宋体" w:eastAsia="宋体" w:cs="宋体"/>
          <w:color w:val="auto"/>
          <w:highlight w:val="none"/>
        </w:rPr>
        <w:t xml:space="preserve"> </w:t>
      </w:r>
      <w:r>
        <w:rPr>
          <w:rFonts w:ascii="宋体" w:hAnsi="宋体" w:eastAsia="宋体" w:cs="宋体"/>
          <w:color w:val="auto"/>
          <w:spacing w:val="-12"/>
          <w:highlight w:val="none"/>
        </w:rPr>
        <w:t>阐明。评标委员会成员拒绝在评标报告上签字又不书面说明其不同意见和理由的，视为同意评标结果</w:t>
      </w:r>
      <w:r>
        <w:rPr>
          <w:rFonts w:ascii="宋体" w:hAnsi="宋体" w:eastAsia="宋体" w:cs="宋体"/>
          <w:color w:val="auto"/>
          <w:spacing w:val="-5"/>
          <w:highlight w:val="none"/>
        </w:rPr>
        <w:t>。</w:t>
      </w:r>
    </w:p>
    <w:p>
      <w:pPr>
        <w:spacing w:line="460" w:lineRule="exact"/>
        <w:ind w:left="480"/>
        <w:rPr>
          <w:rFonts w:ascii="宋体" w:hAnsi="宋体" w:eastAsia="宋体" w:cs="宋体"/>
          <w:color w:val="auto"/>
          <w:highlight w:val="none"/>
        </w:rPr>
      </w:pPr>
      <w:r>
        <w:rPr>
          <w:rFonts w:ascii="宋体" w:hAnsi="宋体" w:eastAsia="宋体" w:cs="宋体"/>
          <w:color w:val="auto"/>
          <w:spacing w:val="-16"/>
          <w:highlight w:val="none"/>
        </w:rPr>
        <w:t>4</w:t>
      </w:r>
      <w:r>
        <w:rPr>
          <w:rFonts w:ascii="宋体" w:hAnsi="宋体" w:eastAsia="宋体" w:cs="宋体"/>
          <w:color w:val="auto"/>
          <w:spacing w:val="-11"/>
          <w:highlight w:val="none"/>
        </w:rPr>
        <w:t>.10.3 评标报告应包括以下内容：</w:t>
      </w:r>
    </w:p>
    <w:p>
      <w:pPr>
        <w:spacing w:line="460" w:lineRule="exact"/>
        <w:ind w:left="515"/>
        <w:rPr>
          <w:rFonts w:ascii="宋体" w:hAnsi="宋体" w:eastAsia="宋体" w:cs="宋体"/>
          <w:color w:val="auto"/>
          <w:highlight w:val="none"/>
        </w:rPr>
      </w:pPr>
      <w:r>
        <w:rPr>
          <w:rFonts w:ascii="宋体" w:hAnsi="宋体" w:eastAsia="宋体" w:cs="宋体"/>
          <w:color w:val="auto"/>
          <w:spacing w:val="-15"/>
          <w:highlight w:val="none"/>
        </w:rPr>
        <w:t>(</w:t>
      </w:r>
      <w:r>
        <w:rPr>
          <w:rFonts w:ascii="宋体" w:hAnsi="宋体" w:eastAsia="宋体" w:cs="宋体"/>
          <w:color w:val="auto"/>
          <w:spacing w:val="-12"/>
          <w:highlight w:val="none"/>
        </w:rPr>
        <w:t>1)开标记录。</w:t>
      </w:r>
    </w:p>
    <w:p>
      <w:pPr>
        <w:spacing w:line="460" w:lineRule="exact"/>
        <w:ind w:left="515"/>
        <w:rPr>
          <w:rFonts w:ascii="宋体" w:hAnsi="宋体" w:eastAsia="宋体" w:cs="宋体"/>
          <w:color w:val="auto"/>
          <w:highlight w:val="none"/>
        </w:rPr>
      </w:pPr>
      <w:r>
        <w:rPr>
          <w:rFonts w:ascii="宋体" w:hAnsi="宋体" w:eastAsia="宋体" w:cs="宋体"/>
          <w:color w:val="auto"/>
          <w:spacing w:val="-15"/>
          <w:highlight w:val="none"/>
        </w:rPr>
        <w:t>(</w:t>
      </w:r>
      <w:r>
        <w:rPr>
          <w:rFonts w:ascii="宋体" w:hAnsi="宋体" w:eastAsia="宋体" w:cs="宋体"/>
          <w:color w:val="auto"/>
          <w:spacing w:val="-12"/>
          <w:highlight w:val="none"/>
        </w:rPr>
        <w:t>2)评标内容、过程和结果。</w:t>
      </w:r>
    </w:p>
    <w:p>
      <w:pPr>
        <w:spacing w:line="460" w:lineRule="exact"/>
        <w:ind w:left="515"/>
        <w:rPr>
          <w:rFonts w:ascii="宋体" w:hAnsi="宋体" w:eastAsia="宋体" w:cs="宋体"/>
          <w:color w:val="auto"/>
          <w:highlight w:val="none"/>
        </w:rPr>
      </w:pPr>
      <w:r>
        <w:rPr>
          <w:rFonts w:ascii="宋体" w:hAnsi="宋体" w:eastAsia="宋体" w:cs="宋体"/>
          <w:color w:val="auto"/>
          <w:spacing w:val="-15"/>
          <w:highlight w:val="none"/>
        </w:rPr>
        <w:t>(</w:t>
      </w:r>
      <w:r>
        <w:rPr>
          <w:rFonts w:ascii="宋体" w:hAnsi="宋体" w:eastAsia="宋体" w:cs="宋体"/>
          <w:color w:val="auto"/>
          <w:spacing w:val="-12"/>
          <w:highlight w:val="none"/>
        </w:rPr>
        <w:t>3)被否决情况说明及依据。</w:t>
      </w:r>
    </w:p>
    <w:p>
      <w:pPr>
        <w:spacing w:line="460" w:lineRule="exact"/>
        <w:ind w:left="515"/>
        <w:rPr>
          <w:rFonts w:ascii="宋体" w:hAnsi="宋体" w:eastAsia="宋体" w:cs="宋体"/>
          <w:color w:val="auto"/>
          <w:highlight w:val="none"/>
        </w:rPr>
      </w:pPr>
      <w:r>
        <w:rPr>
          <w:rFonts w:ascii="宋体" w:hAnsi="宋体" w:eastAsia="宋体" w:cs="宋体"/>
          <w:color w:val="auto"/>
          <w:spacing w:val="-15"/>
          <w:highlight w:val="none"/>
        </w:rPr>
        <w:t>(</w:t>
      </w:r>
      <w:r>
        <w:rPr>
          <w:rFonts w:ascii="宋体" w:hAnsi="宋体" w:eastAsia="宋体" w:cs="宋体"/>
          <w:color w:val="auto"/>
          <w:spacing w:val="-12"/>
          <w:highlight w:val="none"/>
        </w:rPr>
        <w:t>4)询标澄清纪要。</w:t>
      </w:r>
    </w:p>
    <w:p>
      <w:pPr>
        <w:spacing w:line="460" w:lineRule="exact"/>
        <w:ind w:left="515"/>
        <w:rPr>
          <w:rFonts w:ascii="宋体" w:hAnsi="宋体" w:eastAsia="宋体" w:cs="宋体"/>
          <w:color w:val="auto"/>
          <w:highlight w:val="none"/>
        </w:rPr>
      </w:pPr>
      <w:r>
        <w:rPr>
          <w:rFonts w:ascii="宋体" w:hAnsi="宋体" w:eastAsia="宋体" w:cs="宋体"/>
          <w:color w:val="auto"/>
          <w:spacing w:val="-14"/>
          <w:highlight w:val="none"/>
        </w:rPr>
        <w:t>(</w:t>
      </w:r>
      <w:r>
        <w:rPr>
          <w:rFonts w:ascii="宋体" w:hAnsi="宋体" w:eastAsia="宋体" w:cs="宋体"/>
          <w:color w:val="auto"/>
          <w:spacing w:val="-12"/>
          <w:highlight w:val="none"/>
        </w:rPr>
        <w:t>5)中标候选人的优劣对比和存在问题。</w:t>
      </w:r>
    </w:p>
    <w:p>
      <w:pPr>
        <w:spacing w:line="460" w:lineRule="exact"/>
        <w:ind w:left="515"/>
        <w:rPr>
          <w:rFonts w:ascii="宋体" w:hAnsi="宋体" w:eastAsia="宋体" w:cs="宋体"/>
          <w:color w:val="auto"/>
          <w:highlight w:val="none"/>
        </w:rPr>
      </w:pPr>
      <w:r>
        <w:rPr>
          <w:rFonts w:ascii="宋体" w:hAnsi="宋体" w:eastAsia="宋体" w:cs="宋体"/>
          <w:color w:val="auto"/>
          <w:spacing w:val="-17"/>
          <w:highlight w:val="none"/>
        </w:rPr>
        <w:t>(</w:t>
      </w:r>
      <w:r>
        <w:rPr>
          <w:rFonts w:ascii="宋体" w:hAnsi="宋体" w:eastAsia="宋体" w:cs="宋体"/>
          <w:color w:val="auto"/>
          <w:spacing w:val="-12"/>
          <w:highlight w:val="none"/>
        </w:rPr>
        <w:t>6)其他建议。</w:t>
      </w:r>
    </w:p>
    <w:p>
      <w:pPr>
        <w:spacing w:line="460" w:lineRule="exact"/>
        <w:rPr>
          <w:color w:val="auto"/>
          <w:highlight w:val="none"/>
        </w:rPr>
        <w:sectPr>
          <w:footerReference r:id="rId14" w:type="default"/>
          <w:pgSz w:w="11900" w:h="16841"/>
          <w:pgMar w:top="400" w:right="1194" w:bottom="1014" w:left="1483" w:header="1077" w:footer="907" w:gutter="0"/>
          <w:cols w:space="720" w:num="1"/>
        </w:sectPr>
      </w:pPr>
    </w:p>
    <w:p>
      <w:pPr>
        <w:pStyle w:val="31"/>
        <w:spacing w:after="0" w:line="460" w:lineRule="exact"/>
        <w:outlineLvl w:val="1"/>
        <w:rPr>
          <w:color w:val="auto"/>
          <w:sz w:val="21"/>
          <w:szCs w:val="21"/>
          <w:highlight w:val="none"/>
        </w:rPr>
      </w:pPr>
      <w:r>
        <w:rPr>
          <w:color w:val="auto"/>
          <w:sz w:val="21"/>
          <w:szCs w:val="21"/>
          <w:highlight w:val="none"/>
        </w:rPr>
        <w:t>附件</w:t>
      </w:r>
      <w:r>
        <w:rPr>
          <w:color w:val="auto"/>
          <w:sz w:val="21"/>
          <w:szCs w:val="21"/>
          <w:highlight w:val="none"/>
          <w:lang w:val="zh-CN" w:eastAsia="zh-CN"/>
        </w:rPr>
        <w:t>一：</w:t>
      </w:r>
      <w:r>
        <w:rPr>
          <w:color w:val="auto"/>
          <w:sz w:val="21"/>
          <w:szCs w:val="21"/>
          <w:highlight w:val="none"/>
        </w:rPr>
        <w:t>投标文件澄清通知</w:t>
      </w:r>
      <w:bookmarkEnd w:id="361"/>
      <w:bookmarkEnd w:id="362"/>
      <w:bookmarkEnd w:id="363"/>
    </w:p>
    <w:p>
      <w:pPr>
        <w:pStyle w:val="32"/>
        <w:keepNext/>
        <w:keepLines/>
        <w:spacing w:beforeLines="200" w:after="680"/>
        <w:jc w:val="center"/>
        <w:outlineLvl w:val="1"/>
        <w:rPr>
          <w:b/>
          <w:bCs/>
          <w:color w:val="auto"/>
          <w:sz w:val="36"/>
          <w:szCs w:val="36"/>
          <w:highlight w:val="none"/>
        </w:rPr>
      </w:pPr>
      <w:bookmarkStart w:id="365" w:name="_Toc17860"/>
      <w:bookmarkStart w:id="366" w:name="_Toc11293"/>
      <w:bookmarkStart w:id="367" w:name="_Toc19131"/>
      <w:r>
        <w:rPr>
          <w:b/>
          <w:bCs/>
          <w:color w:val="auto"/>
          <w:sz w:val="36"/>
          <w:szCs w:val="36"/>
          <w:highlight w:val="none"/>
        </w:rPr>
        <w:t>投标文件澄清通知</w:t>
      </w:r>
      <w:bookmarkEnd w:id="365"/>
      <w:bookmarkEnd w:id="366"/>
      <w:bookmarkEnd w:id="367"/>
    </w:p>
    <w:p>
      <w:pPr>
        <w:pStyle w:val="33"/>
        <w:keepNext/>
        <w:keepLines/>
        <w:spacing w:beforeLines="100" w:after="1000"/>
        <w:jc w:val="center"/>
        <w:outlineLvl w:val="9"/>
        <w:rPr>
          <w:color w:val="auto"/>
          <w:sz w:val="30"/>
          <w:szCs w:val="30"/>
          <w:highlight w:val="none"/>
          <w:lang w:eastAsia="zh-CN"/>
        </w:rPr>
      </w:pPr>
      <w:bookmarkStart w:id="368" w:name="_Toc22467"/>
      <w:bookmarkStart w:id="369" w:name="_Toc26022"/>
      <w:bookmarkStart w:id="370" w:name="_Toc22696"/>
      <w:r>
        <w:rPr>
          <w:color w:val="auto"/>
          <w:sz w:val="30"/>
          <w:szCs w:val="30"/>
          <w:highlight w:val="none"/>
        </w:rPr>
        <w:t>编号</w:t>
      </w:r>
      <w:r>
        <w:rPr>
          <w:rFonts w:hint="eastAsia"/>
          <w:color w:val="auto"/>
          <w:sz w:val="30"/>
          <w:szCs w:val="30"/>
          <w:highlight w:val="none"/>
          <w:lang w:eastAsia="zh-CN"/>
        </w:rPr>
        <w:t>：</w:t>
      </w:r>
      <w:bookmarkEnd w:id="368"/>
      <w:bookmarkEnd w:id="369"/>
      <w:bookmarkEnd w:id="370"/>
    </w:p>
    <w:p>
      <w:pPr>
        <w:pStyle w:val="30"/>
        <w:tabs>
          <w:tab w:val="left" w:pos="2796"/>
        </w:tabs>
        <w:spacing w:after="0" w:line="500" w:lineRule="exact"/>
        <w:ind w:firstLine="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rFonts w:hint="eastAsia"/>
          <w:color w:val="auto"/>
          <w:sz w:val="24"/>
          <w:szCs w:val="24"/>
          <w:highlight w:val="none"/>
          <w:lang w:val="en-US" w:eastAsia="zh-CN"/>
        </w:rPr>
        <w:t>投标人</w:t>
      </w:r>
      <w:r>
        <w:rPr>
          <w:color w:val="auto"/>
          <w:sz w:val="24"/>
          <w:szCs w:val="24"/>
          <w:highlight w:val="none"/>
        </w:rPr>
        <w:t>名称）：</w:t>
      </w:r>
    </w:p>
    <w:p>
      <w:pPr>
        <w:pStyle w:val="30"/>
        <w:tabs>
          <w:tab w:val="left" w:pos="2796"/>
        </w:tabs>
        <w:spacing w:after="0" w:line="700" w:lineRule="exact"/>
        <w:ind w:firstLine="720" w:firstLineChars="3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标段名称）评标委员会对你方的投标文件进行了仔细的审查，现需你方对下列问题以书面形式予以澄清：</w:t>
      </w:r>
    </w:p>
    <w:p>
      <w:pPr>
        <w:pStyle w:val="30"/>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1</w:t>
      </w:r>
      <w:r>
        <w:rPr>
          <w:rFonts w:hint="eastAsia"/>
          <w:color w:val="auto"/>
          <w:sz w:val="24"/>
          <w:szCs w:val="24"/>
          <w:highlight w:val="none"/>
          <w:lang w:val="en-US" w:eastAsia="zh-CN"/>
        </w:rPr>
        <w:t xml:space="preserve"> ......</w:t>
      </w:r>
    </w:p>
    <w:p>
      <w:pPr>
        <w:pStyle w:val="30"/>
        <w:tabs>
          <w:tab w:val="left" w:pos="2796"/>
        </w:tabs>
        <w:spacing w:after="0" w:line="700" w:lineRule="exact"/>
        <w:ind w:firstLine="480" w:firstLineChars="200"/>
        <w:rPr>
          <w:color w:val="auto"/>
          <w:sz w:val="24"/>
          <w:szCs w:val="24"/>
          <w:highlight w:val="none"/>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lang w:val="en-US" w:eastAsia="zh-CN"/>
        </w:rPr>
        <w:tab/>
      </w:r>
    </w:p>
    <w:p>
      <w:pPr>
        <w:pStyle w:val="30"/>
        <w:tabs>
          <w:tab w:val="left" w:pos="4488"/>
        </w:tabs>
        <w:spacing w:after="680" w:line="240" w:lineRule="auto"/>
        <w:ind w:firstLine="680" w:firstLineChars="200"/>
        <w:jc w:val="right"/>
        <w:rPr>
          <w:color w:val="auto"/>
          <w:highlight w:val="none"/>
        </w:rPr>
      </w:pPr>
    </w:p>
    <w:p>
      <w:pPr>
        <w:pStyle w:val="30"/>
        <w:tabs>
          <w:tab w:val="left" w:pos="4488"/>
        </w:tabs>
        <w:spacing w:after="680" w:line="240" w:lineRule="auto"/>
        <w:ind w:firstLine="0"/>
        <w:jc w:val="right"/>
        <w:rPr>
          <w:color w:val="auto"/>
          <w:highlight w:val="none"/>
        </w:rPr>
      </w:pPr>
    </w:p>
    <w:p>
      <w:pPr>
        <w:pStyle w:val="30"/>
        <w:tabs>
          <w:tab w:val="left" w:pos="4488"/>
        </w:tabs>
        <w:spacing w:after="680" w:line="460" w:lineRule="exact"/>
        <w:ind w:firstLine="0"/>
        <w:jc w:val="right"/>
        <w:rPr>
          <w:color w:val="auto"/>
          <w:sz w:val="24"/>
          <w:szCs w:val="24"/>
          <w:highlight w:val="none"/>
        </w:rPr>
      </w:pPr>
      <w:r>
        <w:rPr>
          <w:color w:val="auto"/>
          <w:sz w:val="24"/>
          <w:szCs w:val="24"/>
          <w:highlight w:val="none"/>
        </w:rPr>
        <w:t>评标委员会负责人：</w:t>
      </w: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签字）</w:t>
      </w:r>
    </w:p>
    <w:p>
      <w:pPr>
        <w:pStyle w:val="30"/>
        <w:tabs>
          <w:tab w:val="left" w:pos="1392"/>
        </w:tabs>
        <w:spacing w:after="680" w:line="460" w:lineRule="exact"/>
        <w:ind w:firstLine="0"/>
        <w:jc w:val="right"/>
        <w:rPr>
          <w:color w:val="auto"/>
          <w:sz w:val="24"/>
          <w:szCs w:val="24"/>
          <w:highlight w:val="none"/>
        </w:rPr>
        <w:sectPr>
          <w:footerReference r:id="rId15" w:type="default"/>
          <w:pgSz w:w="11905" w:h="16838"/>
          <w:pgMar w:top="1247" w:right="1417" w:bottom="1247" w:left="1417" w:header="0" w:footer="850" w:gutter="0"/>
          <w:cols w:space="0" w:num="1"/>
          <w:docGrid w:linePitch="360" w:charSpace="0"/>
        </w:sectPr>
      </w:pPr>
      <w:r>
        <w:rPr>
          <w:color w:val="auto"/>
          <w:sz w:val="24"/>
          <w:szCs w:val="24"/>
          <w:highlight w:val="none"/>
          <w:u w:val="single"/>
        </w:rPr>
        <w:tab/>
      </w:r>
      <w:r>
        <w:rPr>
          <w:color w:val="auto"/>
          <w:sz w:val="24"/>
          <w:szCs w:val="24"/>
          <w:highlight w:val="none"/>
        </w:rPr>
        <w:t>年</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月</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日</w:t>
      </w:r>
    </w:p>
    <w:p>
      <w:pPr>
        <w:pStyle w:val="31"/>
        <w:spacing w:after="0" w:line="460" w:lineRule="exact"/>
        <w:rPr>
          <w:color w:val="auto"/>
          <w:sz w:val="21"/>
          <w:szCs w:val="21"/>
          <w:highlight w:val="none"/>
        </w:rPr>
      </w:pPr>
      <w:r>
        <w:rPr>
          <w:color w:val="auto"/>
          <w:sz w:val="21"/>
          <w:szCs w:val="21"/>
          <w:highlight w:val="none"/>
        </w:rPr>
        <w:t>附件二：投标文件澄清函</w:t>
      </w:r>
    </w:p>
    <w:p>
      <w:pPr>
        <w:pStyle w:val="32"/>
        <w:keepNext/>
        <w:keepLines/>
        <w:spacing w:beforeLines="200" w:after="680"/>
        <w:jc w:val="center"/>
        <w:outlineLvl w:val="1"/>
        <w:rPr>
          <w:b/>
          <w:bCs/>
          <w:color w:val="auto"/>
          <w:sz w:val="36"/>
          <w:szCs w:val="36"/>
          <w:highlight w:val="none"/>
        </w:rPr>
      </w:pPr>
      <w:bookmarkStart w:id="371" w:name="_Toc10182"/>
      <w:bookmarkStart w:id="372" w:name="_Toc4737"/>
      <w:bookmarkStart w:id="373" w:name="_Toc9698"/>
      <w:r>
        <w:rPr>
          <w:b/>
          <w:bCs/>
          <w:color w:val="auto"/>
          <w:sz w:val="36"/>
          <w:szCs w:val="36"/>
          <w:highlight w:val="none"/>
        </w:rPr>
        <w:t>投标文件澄清函</w:t>
      </w:r>
      <w:bookmarkEnd w:id="371"/>
      <w:bookmarkEnd w:id="372"/>
      <w:bookmarkEnd w:id="373"/>
    </w:p>
    <w:p>
      <w:pPr>
        <w:pStyle w:val="33"/>
        <w:keepNext/>
        <w:keepLines/>
        <w:spacing w:beforeLines="100" w:after="1000"/>
        <w:jc w:val="center"/>
        <w:outlineLvl w:val="9"/>
        <w:rPr>
          <w:color w:val="auto"/>
          <w:sz w:val="30"/>
          <w:szCs w:val="30"/>
          <w:highlight w:val="none"/>
        </w:rPr>
      </w:pPr>
      <w:bookmarkStart w:id="374" w:name="_Toc14120"/>
      <w:bookmarkStart w:id="375" w:name="_Toc9001"/>
      <w:bookmarkStart w:id="376" w:name="_Toc32501"/>
      <w:r>
        <w:rPr>
          <w:color w:val="auto"/>
          <w:sz w:val="30"/>
          <w:szCs w:val="30"/>
          <w:highlight w:val="none"/>
        </w:rPr>
        <w:t>编号：</w:t>
      </w:r>
      <w:bookmarkEnd w:id="374"/>
      <w:bookmarkEnd w:id="375"/>
      <w:bookmarkEnd w:id="376"/>
    </w:p>
    <w:p>
      <w:pPr>
        <w:pStyle w:val="30"/>
        <w:tabs>
          <w:tab w:val="left" w:pos="2796"/>
        </w:tabs>
        <w:spacing w:after="0" w:line="700" w:lineRule="exact"/>
        <w:ind w:firstLine="480" w:firstLineChars="2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w:t>
      </w:r>
    </w:p>
    <w:p>
      <w:pPr>
        <w:pStyle w:val="30"/>
        <w:tabs>
          <w:tab w:val="left" w:pos="2796"/>
        </w:tabs>
        <w:spacing w:after="0" w:line="700" w:lineRule="exact"/>
        <w:ind w:firstLine="480" w:firstLineChars="200"/>
        <w:rPr>
          <w:color w:val="auto"/>
          <w:sz w:val="24"/>
          <w:szCs w:val="24"/>
          <w:highlight w:val="none"/>
          <w:lang w:eastAsia="zh-CN"/>
        </w:rPr>
      </w:pPr>
      <w:r>
        <w:rPr>
          <w:color w:val="auto"/>
          <w:sz w:val="24"/>
          <w:szCs w:val="24"/>
          <w:highlight w:val="none"/>
        </w:rPr>
        <w:t>投标文件澄清通知</w:t>
      </w:r>
      <w:r>
        <w:rPr>
          <w:rFonts w:hint="eastAsia"/>
          <w:color w:val="auto"/>
          <w:sz w:val="24"/>
          <w:szCs w:val="24"/>
          <w:highlight w:val="none"/>
          <w:lang w:eastAsia="zh-CN"/>
        </w:rPr>
        <w:t>（</w:t>
      </w:r>
      <w:r>
        <w:rPr>
          <w:color w:val="auto"/>
          <w:sz w:val="24"/>
          <w:szCs w:val="24"/>
          <w:highlight w:val="none"/>
        </w:rPr>
        <w:t>编号</w:t>
      </w:r>
      <w:r>
        <w:rPr>
          <w:rFonts w:hint="eastAsia"/>
          <w:color w:val="auto"/>
          <w:sz w:val="24"/>
          <w:szCs w:val="24"/>
          <w:highlight w:val="none"/>
          <w:u w:val="single"/>
          <w:lang w:val="en-US" w:eastAsia="zh-CN"/>
        </w:rPr>
        <w:t xml:space="preserve">       </w:t>
      </w:r>
      <w:r>
        <w:rPr>
          <w:color w:val="auto"/>
          <w:sz w:val="24"/>
          <w:szCs w:val="24"/>
          <w:highlight w:val="none"/>
        </w:rPr>
        <w:t>）已收悉，现就有关问题澄清如下</w:t>
      </w:r>
      <w:r>
        <w:rPr>
          <w:rFonts w:hint="eastAsia"/>
          <w:color w:val="auto"/>
          <w:sz w:val="24"/>
          <w:szCs w:val="24"/>
          <w:highlight w:val="none"/>
          <w:lang w:eastAsia="zh-CN"/>
        </w:rPr>
        <w:t>：</w:t>
      </w:r>
    </w:p>
    <w:p>
      <w:pPr>
        <w:pStyle w:val="30"/>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lang w:val="en-US" w:eastAsia="zh-CN"/>
        </w:rPr>
        <w:t>1</w:t>
      </w:r>
      <w:r>
        <w:rPr>
          <w:rFonts w:hint="eastAsia"/>
          <w:color w:val="auto"/>
          <w:sz w:val="24"/>
          <w:szCs w:val="24"/>
          <w:highlight w:val="none"/>
          <w:lang w:val="en-US" w:eastAsia="zh-CN"/>
        </w:rPr>
        <w:t xml:space="preserve"> ......</w:t>
      </w:r>
    </w:p>
    <w:p>
      <w:pPr>
        <w:pStyle w:val="30"/>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rPr>
        <w:t>.</w:t>
      </w:r>
      <w:r>
        <w:rPr>
          <w:rFonts w:hint="eastAsia"/>
          <w:color w:val="auto"/>
          <w:sz w:val="24"/>
          <w:szCs w:val="24"/>
          <w:highlight w:val="none"/>
          <w:lang w:val="en-US" w:eastAsia="zh-CN"/>
        </w:rPr>
        <w:t>.....</w:t>
      </w:r>
    </w:p>
    <w:p>
      <w:pPr>
        <w:pStyle w:val="30"/>
        <w:tabs>
          <w:tab w:val="left" w:pos="2796"/>
        </w:tabs>
        <w:spacing w:after="0" w:line="700" w:lineRule="exact"/>
        <w:ind w:firstLine="0"/>
        <w:rPr>
          <w:color w:val="auto"/>
          <w:sz w:val="24"/>
          <w:szCs w:val="24"/>
          <w:highlight w:val="none"/>
          <w:u w:val="single"/>
        </w:rPr>
      </w:pPr>
    </w:p>
    <w:p>
      <w:pPr>
        <w:pStyle w:val="30"/>
        <w:tabs>
          <w:tab w:val="left" w:pos="464"/>
          <w:tab w:val="left" w:pos="2888"/>
        </w:tabs>
        <w:spacing w:after="200" w:line="348" w:lineRule="exact"/>
        <w:ind w:left="-1960" w:firstLine="7200"/>
        <w:jc w:val="both"/>
        <w:rPr>
          <w:color w:val="auto"/>
          <w:highlight w:val="none"/>
        </w:rPr>
      </w:pPr>
    </w:p>
    <w:p>
      <w:pPr>
        <w:pStyle w:val="30"/>
        <w:tabs>
          <w:tab w:val="left" w:pos="464"/>
          <w:tab w:val="left" w:pos="2888"/>
        </w:tabs>
        <w:spacing w:after="200" w:line="348" w:lineRule="exact"/>
        <w:ind w:left="-1960" w:firstLine="7200"/>
        <w:jc w:val="both"/>
        <w:rPr>
          <w:color w:val="auto"/>
          <w:highlight w:val="none"/>
        </w:rPr>
      </w:pPr>
    </w:p>
    <w:p>
      <w:pPr>
        <w:pStyle w:val="30"/>
        <w:tabs>
          <w:tab w:val="left" w:pos="464"/>
          <w:tab w:val="left" w:pos="2888"/>
        </w:tabs>
        <w:spacing w:after="200" w:line="348" w:lineRule="exact"/>
        <w:ind w:left="-1960" w:firstLine="7200"/>
        <w:jc w:val="both"/>
        <w:rPr>
          <w:color w:val="auto"/>
          <w:highlight w:val="none"/>
        </w:rPr>
      </w:pPr>
    </w:p>
    <w:p>
      <w:pPr>
        <w:pStyle w:val="30"/>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30"/>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法定代表人：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p>
    <w:p>
      <w:pPr>
        <w:pStyle w:val="30"/>
        <w:tabs>
          <w:tab w:val="left" w:pos="9508"/>
          <w:tab w:val="left" w:pos="9688"/>
        </w:tabs>
        <w:spacing w:after="180" w:line="546" w:lineRule="exact"/>
        <w:ind w:firstLine="4528" w:firstLineChars="1887"/>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widowControl w:val="0"/>
        <w:spacing w:line="1" w:lineRule="exact"/>
        <w:rPr>
          <w:color w:val="auto"/>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377" w:name="_Toc13926"/>
      <w:r>
        <w:rPr>
          <w:rFonts w:hint="eastAsia" w:ascii="黑体" w:hAnsi="黑体" w:eastAsia="黑体" w:cs="黑体"/>
          <w:b/>
          <w:bCs/>
          <w:color w:val="auto"/>
          <w:sz w:val="36"/>
          <w:szCs w:val="36"/>
          <w:highlight w:val="none"/>
        </w:rPr>
        <w:t>第四章 合同价款及格式</w:t>
      </w:r>
      <w:bookmarkEnd w:id="377"/>
    </w:p>
    <w:p>
      <w:pPr>
        <w:pStyle w:val="33"/>
        <w:keepNext/>
        <w:keepLines/>
        <w:spacing w:beforeLines="100" w:afterLines="100" w:line="360" w:lineRule="exact"/>
        <w:jc w:val="center"/>
        <w:rPr>
          <w:b/>
          <w:bCs/>
          <w:color w:val="auto"/>
          <w:sz w:val="30"/>
          <w:szCs w:val="30"/>
          <w:highlight w:val="none"/>
        </w:rPr>
      </w:pPr>
      <w:bookmarkStart w:id="378" w:name="_Toc21870"/>
      <w:r>
        <w:rPr>
          <w:rFonts w:hint="eastAsia"/>
          <w:b/>
          <w:bCs/>
          <w:color w:val="auto"/>
          <w:sz w:val="30"/>
          <w:szCs w:val="30"/>
          <w:highlight w:val="none"/>
        </w:rPr>
        <w:t>第1节</w:t>
      </w:r>
      <w:r>
        <w:rPr>
          <w:rFonts w:hint="eastAsia"/>
          <w:b/>
          <w:bCs/>
          <w:color w:val="auto"/>
          <w:sz w:val="30"/>
          <w:szCs w:val="30"/>
          <w:highlight w:val="none"/>
          <w:lang w:val="en-US" w:eastAsia="zh-CN"/>
        </w:rPr>
        <w:t xml:space="preserve">  </w:t>
      </w:r>
      <w:r>
        <w:rPr>
          <w:rFonts w:hint="eastAsia"/>
          <w:b/>
          <w:bCs/>
          <w:color w:val="auto"/>
          <w:sz w:val="30"/>
          <w:szCs w:val="30"/>
          <w:highlight w:val="none"/>
        </w:rPr>
        <w:t>通用合同条款</w:t>
      </w:r>
      <w:bookmarkEnd w:id="378"/>
    </w:p>
    <w:p>
      <w:pPr>
        <w:spacing w:before="258" w:line="219" w:lineRule="auto"/>
        <w:jc w:val="center"/>
        <w:outlineLvl w:val="1"/>
        <w:rPr>
          <w:rFonts w:ascii="宋体" w:hAnsi="宋体" w:eastAsia="宋体" w:cs="宋体"/>
          <w:color w:val="auto"/>
          <w:sz w:val="24"/>
          <w:szCs w:val="24"/>
          <w:highlight w:val="none"/>
        </w:rPr>
      </w:pPr>
      <w:bookmarkStart w:id="379" w:name="_Toc29512"/>
      <w:r>
        <w:rPr>
          <w:rFonts w:ascii="宋体" w:hAnsi="宋体" w:eastAsia="宋体" w:cs="宋体"/>
          <w:color w:val="auto"/>
          <w:spacing w:val="-20"/>
          <w:sz w:val="24"/>
          <w:szCs w:val="24"/>
          <w:highlight w:val="none"/>
        </w:rPr>
        <w:t>略</w:t>
      </w:r>
      <w:r>
        <w:rPr>
          <w:rFonts w:ascii="宋体" w:hAnsi="宋体" w:eastAsia="宋体" w:cs="宋体"/>
          <w:color w:val="auto"/>
          <w:spacing w:val="-16"/>
          <w:sz w:val="24"/>
          <w:szCs w:val="24"/>
          <w:highlight w:val="none"/>
        </w:rPr>
        <w:t>。</w:t>
      </w:r>
      <w:r>
        <w:rPr>
          <w:rFonts w:ascii="宋体" w:hAnsi="宋体" w:eastAsia="宋体" w:cs="宋体"/>
          <w:color w:val="auto"/>
          <w:spacing w:val="-10"/>
          <w:sz w:val="24"/>
          <w:szCs w:val="24"/>
          <w:highlight w:val="none"/>
        </w:rPr>
        <w:t>参照《浙江省水利水电工程施工招标文件示范文本》(2022年版)。</w:t>
      </w:r>
    </w:p>
    <w:p>
      <w:pPr>
        <w:pStyle w:val="33"/>
        <w:keepNext/>
        <w:keepLines/>
        <w:spacing w:beforeLines="100" w:afterLines="100" w:line="360" w:lineRule="exact"/>
        <w:jc w:val="center"/>
        <w:rPr>
          <w:b/>
          <w:bCs/>
          <w:color w:val="auto"/>
          <w:sz w:val="30"/>
          <w:szCs w:val="30"/>
          <w:highlight w:val="none"/>
        </w:rPr>
      </w:pPr>
      <w:r>
        <w:rPr>
          <w:rFonts w:hint="eastAsia"/>
          <w:b/>
          <w:bCs/>
          <w:color w:val="auto"/>
          <w:sz w:val="30"/>
          <w:szCs w:val="30"/>
          <w:highlight w:val="none"/>
        </w:rPr>
        <w:t>第</w:t>
      </w:r>
      <w:r>
        <w:rPr>
          <w:rFonts w:hint="eastAsia"/>
          <w:b/>
          <w:bCs/>
          <w:color w:val="auto"/>
          <w:sz w:val="30"/>
          <w:szCs w:val="30"/>
          <w:highlight w:val="none"/>
          <w:lang w:val="zh-CN" w:eastAsia="zh-CN"/>
        </w:rPr>
        <w:t>2</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专用合同条款</w:t>
      </w:r>
      <w:bookmarkEnd w:id="379"/>
    </w:p>
    <w:p>
      <w:pPr>
        <w:pStyle w:val="33"/>
        <w:keepNext/>
        <w:keepLines/>
        <w:spacing w:after="0" w:line="440" w:lineRule="exact"/>
        <w:jc w:val="both"/>
        <w:outlineLvl w:val="2"/>
        <w:rPr>
          <w:b/>
          <w:bCs/>
          <w:color w:val="auto"/>
          <w:sz w:val="28"/>
          <w:szCs w:val="28"/>
          <w:highlight w:val="none"/>
          <w:lang w:val="zh-CN" w:eastAsia="zh-CN"/>
        </w:rPr>
      </w:pPr>
      <w:bookmarkStart w:id="380" w:name="_Toc22871"/>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一般约定</w:t>
      </w:r>
      <w:bookmarkEnd w:id="380"/>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  词语定义</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1.1.2  </w:t>
      </w:r>
      <w:r>
        <w:rPr>
          <w:rFonts w:hint="eastAsia"/>
          <w:color w:val="auto"/>
          <w:sz w:val="21"/>
          <w:szCs w:val="21"/>
          <w:highlight w:val="none"/>
        </w:rPr>
        <w:t>合同当事人和人员</w:t>
      </w:r>
    </w:p>
    <w:p>
      <w:pPr>
        <w:pStyle w:val="30"/>
        <w:tabs>
          <w:tab w:val="left" w:pos="7808"/>
        </w:tabs>
        <w:spacing w:after="0" w:line="440" w:lineRule="exact"/>
        <w:ind w:firstLine="420" w:firstLineChars="200"/>
        <w:rPr>
          <w:color w:val="auto"/>
          <w:sz w:val="21"/>
          <w:szCs w:val="21"/>
          <w:highlight w:val="none"/>
          <w:lang w:val="en-US"/>
        </w:rPr>
      </w:pPr>
      <w:r>
        <w:rPr>
          <w:rFonts w:hint="eastAsia"/>
          <w:color w:val="auto"/>
          <w:sz w:val="21"/>
          <w:szCs w:val="21"/>
          <w:highlight w:val="none"/>
          <w:lang w:val="en-US" w:eastAsia="zh-CN" w:bidi="en-US"/>
        </w:rPr>
        <w:t>1.1.2.</w:t>
      </w:r>
      <w:r>
        <w:rPr>
          <w:rFonts w:hint="eastAsia"/>
          <w:color w:val="auto"/>
          <w:sz w:val="21"/>
          <w:szCs w:val="21"/>
          <w:highlight w:val="none"/>
        </w:rPr>
        <w:t>2</w:t>
      </w:r>
      <w:r>
        <w:rPr>
          <w:rFonts w:hint="eastAsia"/>
          <w:b/>
          <w:bCs/>
          <w:color w:val="auto"/>
          <w:sz w:val="21"/>
          <w:szCs w:val="21"/>
          <w:highlight w:val="none"/>
          <w:lang w:val="en-US" w:eastAsia="zh-CN" w:bidi="en-US"/>
        </w:rPr>
        <w:t xml:space="preserve">  </w:t>
      </w: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30"/>
        <w:tabs>
          <w:tab w:val="left" w:pos="7808"/>
        </w:tabs>
        <w:spacing w:after="0" w:line="44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3</w:t>
      </w:r>
      <w:r>
        <w:rPr>
          <w:rFonts w:hint="eastAsia"/>
          <w:b/>
          <w:bCs/>
          <w:color w:val="auto"/>
          <w:sz w:val="21"/>
          <w:szCs w:val="21"/>
          <w:highlight w:val="none"/>
          <w:lang w:val="en-US" w:eastAsia="zh-CN" w:bidi="en-US"/>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30"/>
        <w:tabs>
          <w:tab w:val="left" w:pos="7796"/>
        </w:tabs>
        <w:spacing w:after="0" w:line="44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5</w:t>
      </w:r>
      <w:r>
        <w:rPr>
          <w:rFonts w:hint="eastAsia"/>
          <w:b/>
          <w:bCs/>
          <w:color w:val="auto"/>
          <w:sz w:val="21"/>
          <w:szCs w:val="21"/>
          <w:highlight w:val="none"/>
          <w:lang w:val="en-US" w:eastAsia="zh-CN" w:bidi="en-US"/>
        </w:rPr>
        <w:t xml:space="preserve">  </w:t>
      </w:r>
      <w:r>
        <w:rPr>
          <w:rFonts w:hint="eastAsia"/>
          <w:color w:val="auto"/>
          <w:sz w:val="21"/>
          <w:szCs w:val="21"/>
          <w:highlight w:val="none"/>
        </w:rPr>
        <w:t>分包人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30"/>
        <w:tabs>
          <w:tab w:val="left" w:pos="7808"/>
        </w:tabs>
        <w:spacing w:after="0" w:line="440" w:lineRule="exact"/>
        <w:ind w:firstLine="420" w:firstLineChars="200"/>
        <w:rPr>
          <w:color w:val="auto"/>
          <w:sz w:val="21"/>
          <w:szCs w:val="21"/>
          <w:highlight w:val="none"/>
        </w:rPr>
      </w:pPr>
      <w:r>
        <w:rPr>
          <w:rFonts w:hint="eastAsia"/>
          <w:color w:val="auto"/>
          <w:sz w:val="21"/>
          <w:szCs w:val="21"/>
          <w:highlight w:val="none"/>
          <w:lang w:val="en-US" w:eastAsia="zh-CN" w:bidi="en-US"/>
        </w:rPr>
        <w:t>1.1.</w:t>
      </w:r>
      <w:r>
        <w:rPr>
          <w:rFonts w:hint="eastAsia"/>
          <w:color w:val="auto"/>
          <w:sz w:val="21"/>
          <w:szCs w:val="21"/>
          <w:highlight w:val="none"/>
        </w:rPr>
        <w:t>2.6</w:t>
      </w:r>
      <w:r>
        <w:rPr>
          <w:rFonts w:hint="eastAsia"/>
          <w:b/>
          <w:bCs/>
          <w:color w:val="auto"/>
          <w:sz w:val="21"/>
          <w:szCs w:val="21"/>
          <w:highlight w:val="none"/>
          <w:lang w:val="en-US" w:eastAsia="zh-CN" w:bidi="en-US"/>
        </w:rPr>
        <w:t xml:space="preserve">  </w:t>
      </w:r>
      <w:r>
        <w:rPr>
          <w:rFonts w:hint="eastAsia"/>
          <w:color w:val="auto"/>
          <w:sz w:val="21"/>
          <w:szCs w:val="21"/>
          <w:highlight w:val="none"/>
        </w:rPr>
        <w:t>监理人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  </w:t>
      </w:r>
      <w:r>
        <w:rPr>
          <w:rFonts w:hint="eastAsia"/>
          <w:color w:val="auto"/>
          <w:sz w:val="21"/>
          <w:szCs w:val="21"/>
          <w:highlight w:val="none"/>
        </w:rPr>
        <w:t>日期</w:t>
      </w:r>
    </w:p>
    <w:p>
      <w:pPr>
        <w:pStyle w:val="30"/>
        <w:tabs>
          <w:tab w:val="left" w:pos="9020"/>
        </w:tabs>
        <w:spacing w:after="0" w:line="440" w:lineRule="exact"/>
        <w:ind w:firstLine="420" w:firstLineChars="200"/>
        <w:rPr>
          <w:color w:val="auto"/>
          <w:sz w:val="21"/>
          <w:szCs w:val="21"/>
          <w:highlight w:val="none"/>
          <w:u w:val="single"/>
          <w:lang w:eastAsia="zh-CN"/>
        </w:rPr>
      </w:pPr>
      <w:r>
        <w:rPr>
          <w:rFonts w:hint="eastAsia"/>
          <w:color w:val="auto"/>
          <w:sz w:val="21"/>
          <w:szCs w:val="21"/>
          <w:highlight w:val="none"/>
          <w:lang w:val="en-US" w:eastAsia="zh-CN" w:bidi="en-US"/>
        </w:rPr>
        <w:t>1.1.4.5</w:t>
      </w:r>
      <w:r>
        <w:rPr>
          <w:rFonts w:hint="eastAsia"/>
          <w:b/>
          <w:bCs/>
          <w:color w:val="auto"/>
          <w:sz w:val="21"/>
          <w:szCs w:val="21"/>
          <w:highlight w:val="none"/>
          <w:lang w:val="en-US" w:eastAsia="zh-CN" w:bidi="en-US"/>
        </w:rPr>
        <w:t xml:space="preserve">  </w:t>
      </w:r>
      <w:r>
        <w:rPr>
          <w:rFonts w:hint="eastAsia"/>
          <w:color w:val="auto"/>
          <w:sz w:val="21"/>
          <w:szCs w:val="21"/>
          <w:highlight w:val="none"/>
        </w:rPr>
        <w:t>缺陷责任期</w:t>
      </w:r>
      <w:r>
        <w:rPr>
          <w:rFonts w:hint="eastAsia"/>
          <w:color w:val="auto"/>
          <w:sz w:val="21"/>
          <w:szCs w:val="21"/>
          <w:highlight w:val="none"/>
          <w:lang w:eastAsia="zh-CN"/>
        </w:rPr>
        <w:t>（</w:t>
      </w:r>
      <w:r>
        <w:rPr>
          <w:rFonts w:hint="eastAsia"/>
          <w:color w:val="auto"/>
          <w:sz w:val="21"/>
          <w:szCs w:val="21"/>
          <w:highlight w:val="none"/>
        </w:rPr>
        <w:t>工程质量保修期）</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一年。</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  合同文件的优先顺序</w:t>
      </w:r>
    </w:p>
    <w:p>
      <w:pPr>
        <w:pStyle w:val="30"/>
        <w:spacing w:after="0" w:line="440" w:lineRule="exact"/>
        <w:ind w:firstLine="420" w:firstLineChars="200"/>
        <w:rPr>
          <w:color w:val="auto"/>
          <w:sz w:val="21"/>
          <w:szCs w:val="21"/>
          <w:highlight w:val="none"/>
        </w:rPr>
      </w:pPr>
      <w:r>
        <w:rPr>
          <w:rFonts w:hint="eastAsia"/>
          <w:color w:val="auto"/>
          <w:sz w:val="21"/>
          <w:szCs w:val="21"/>
          <w:highlight w:val="none"/>
        </w:rPr>
        <w:t>除合同另有规定外，解释合同文件的优先顺序如下：</w:t>
      </w:r>
    </w:p>
    <w:p>
      <w:pPr>
        <w:pStyle w:val="30"/>
        <w:tabs>
          <w:tab w:val="left" w:pos="1321"/>
        </w:tabs>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1）合同协议书</w:t>
      </w:r>
      <w:r>
        <w:rPr>
          <w:rFonts w:hint="eastAsia"/>
          <w:color w:val="auto"/>
          <w:sz w:val="21"/>
          <w:szCs w:val="21"/>
          <w:highlight w:val="none"/>
          <w:lang w:eastAsia="zh-CN"/>
        </w:rPr>
        <w:t>（</w:t>
      </w:r>
      <w:r>
        <w:rPr>
          <w:rFonts w:hint="eastAsia"/>
          <w:color w:val="auto"/>
          <w:sz w:val="21"/>
          <w:szCs w:val="21"/>
          <w:highlight w:val="none"/>
        </w:rPr>
        <w:t>包括补充协议书）。</w:t>
      </w:r>
    </w:p>
    <w:p>
      <w:pPr>
        <w:pStyle w:val="30"/>
        <w:tabs>
          <w:tab w:val="left" w:pos="1321"/>
        </w:tabs>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2）中标通知书。</w:t>
      </w:r>
    </w:p>
    <w:p>
      <w:pPr>
        <w:pStyle w:val="30"/>
        <w:tabs>
          <w:tab w:val="left" w:pos="1321"/>
        </w:tabs>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3）投标函及投标函附录。</w:t>
      </w:r>
    </w:p>
    <w:p>
      <w:pPr>
        <w:pStyle w:val="30"/>
        <w:tabs>
          <w:tab w:val="left" w:pos="1321"/>
        </w:tabs>
        <w:spacing w:after="0" w:line="44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4）招投标文件澄清问题、澄清问题的复函、补充通知等相关资料</w:t>
      </w:r>
      <w:r>
        <w:rPr>
          <w:rFonts w:hint="eastAsia"/>
          <w:color w:val="auto"/>
          <w:sz w:val="21"/>
          <w:szCs w:val="21"/>
          <w:highlight w:val="none"/>
          <w:lang w:eastAsia="zh-CN"/>
        </w:rPr>
        <w:t xml:space="preserve">。         </w:t>
      </w:r>
    </w:p>
    <w:p>
      <w:pPr>
        <w:pStyle w:val="30"/>
        <w:tabs>
          <w:tab w:val="left" w:pos="1321"/>
        </w:tabs>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5）专用合同条款。</w:t>
      </w:r>
    </w:p>
    <w:p>
      <w:pPr>
        <w:pStyle w:val="30"/>
        <w:tabs>
          <w:tab w:val="left" w:pos="1321"/>
        </w:tabs>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6）通用合同条款。</w:t>
      </w:r>
    </w:p>
    <w:p>
      <w:pPr>
        <w:pStyle w:val="30"/>
        <w:tabs>
          <w:tab w:val="left" w:pos="1321"/>
        </w:tabs>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7）技术标准和要求。</w:t>
      </w:r>
    </w:p>
    <w:p>
      <w:pPr>
        <w:pStyle w:val="30"/>
        <w:tabs>
          <w:tab w:val="left" w:pos="1321"/>
        </w:tabs>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8）图纸。</w:t>
      </w:r>
    </w:p>
    <w:p>
      <w:pPr>
        <w:pStyle w:val="30"/>
        <w:tabs>
          <w:tab w:val="left" w:pos="1321"/>
        </w:tabs>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9）已标价的工程量清单。</w:t>
      </w:r>
    </w:p>
    <w:p>
      <w:pPr>
        <w:pStyle w:val="30"/>
        <w:tabs>
          <w:tab w:val="left" w:pos="1480"/>
        </w:tabs>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10）经双方确认进入合同的其他文件。</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  联络</w:t>
      </w:r>
    </w:p>
    <w:p>
      <w:pPr>
        <w:pStyle w:val="30"/>
        <w:spacing w:after="0" w:line="44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1.7.2  </w:t>
      </w:r>
      <w:r>
        <w:rPr>
          <w:rFonts w:hint="eastAsia"/>
          <w:color w:val="auto"/>
          <w:sz w:val="21"/>
          <w:szCs w:val="21"/>
          <w:highlight w:val="none"/>
        </w:rPr>
        <w:t>来往函件均应按技术标准和要求</w:t>
      </w:r>
      <w:r>
        <w:rPr>
          <w:rFonts w:hint="eastAsia"/>
          <w:color w:val="auto"/>
          <w:sz w:val="21"/>
          <w:szCs w:val="21"/>
          <w:highlight w:val="none"/>
          <w:lang w:eastAsia="zh-CN"/>
        </w:rPr>
        <w:t>（</w:t>
      </w:r>
      <w:r>
        <w:rPr>
          <w:rFonts w:hint="eastAsia"/>
          <w:color w:val="auto"/>
          <w:sz w:val="21"/>
          <w:szCs w:val="21"/>
          <w:highlight w:val="none"/>
        </w:rPr>
        <w:t>合同技术条款）约定的期限送达</w:t>
      </w:r>
      <w:r>
        <w:rPr>
          <w:rFonts w:hint="eastAsia"/>
          <w:b/>
          <w:bCs/>
          <w:color w:val="auto"/>
          <w:sz w:val="21"/>
          <w:szCs w:val="21"/>
          <w:highlight w:val="none"/>
          <w:u w:val="single"/>
          <w:lang w:val="en-US" w:eastAsia="zh-CN"/>
        </w:rPr>
        <w:t xml:space="preserve"> 嵊州市甘霖镇人民政府</w:t>
      </w:r>
      <w:r>
        <w:rPr>
          <w:rFonts w:hint="eastAsia"/>
          <w:color w:val="auto"/>
          <w:sz w:val="21"/>
          <w:szCs w:val="21"/>
          <w:highlight w:val="none"/>
          <w:lang w:val="en-US" w:eastAsia="zh-CN"/>
        </w:rPr>
        <w:t>。</w:t>
      </w:r>
    </w:p>
    <w:p>
      <w:pPr>
        <w:pStyle w:val="33"/>
        <w:keepNext/>
        <w:keepLines/>
        <w:spacing w:after="0" w:line="440" w:lineRule="exact"/>
        <w:jc w:val="both"/>
        <w:outlineLvl w:val="2"/>
        <w:rPr>
          <w:b/>
          <w:bCs/>
          <w:color w:val="auto"/>
          <w:sz w:val="28"/>
          <w:szCs w:val="28"/>
          <w:highlight w:val="none"/>
          <w:lang w:val="zh-CN" w:eastAsia="zh-CN"/>
        </w:rPr>
      </w:pPr>
      <w:bookmarkStart w:id="381" w:name="_Toc5893"/>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发包人义务</w:t>
      </w:r>
      <w:bookmarkEnd w:id="381"/>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2.3  提供施工场地</w:t>
      </w:r>
    </w:p>
    <w:p>
      <w:pPr>
        <w:pStyle w:val="30"/>
        <w:tabs>
          <w:tab w:val="left" w:pos="-1336"/>
          <w:tab w:val="left" w:pos="6800"/>
        </w:tabs>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2.3.2  </w:t>
      </w:r>
      <w:r>
        <w:rPr>
          <w:rFonts w:hint="eastAsia"/>
          <w:color w:val="auto"/>
          <w:sz w:val="21"/>
          <w:szCs w:val="21"/>
          <w:highlight w:val="none"/>
        </w:rPr>
        <w:t>发包人提供的用地范围为：</w:t>
      </w:r>
      <w:r>
        <w:rPr>
          <w:rFonts w:hint="eastAsia"/>
          <w:b/>
          <w:bCs/>
          <w:color w:val="auto"/>
          <w:sz w:val="21"/>
          <w:szCs w:val="21"/>
          <w:highlight w:val="none"/>
          <w:u w:val="single"/>
          <w:lang w:val="en-US" w:eastAsia="zh-CN"/>
        </w:rPr>
        <w:t xml:space="preserve">见施工图 </w:t>
      </w:r>
      <w:r>
        <w:rPr>
          <w:rFonts w:hint="eastAsia"/>
          <w:color w:val="auto"/>
          <w:sz w:val="21"/>
          <w:szCs w:val="21"/>
          <w:highlight w:val="none"/>
          <w:u w:val="single"/>
          <w:lang w:val="en-US" w:eastAsia="zh-CN"/>
        </w:rPr>
        <w:t xml:space="preserve"> </w:t>
      </w:r>
      <w:r>
        <w:rPr>
          <w:rFonts w:hint="eastAsia"/>
          <w:color w:val="auto"/>
          <w:sz w:val="21"/>
          <w:szCs w:val="21"/>
          <w:highlight w:val="none"/>
        </w:rPr>
        <w:t>。承包人自行勘察的施工场地范围为：</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w:t>
      </w:r>
      <w:r>
        <w:rPr>
          <w:rFonts w:hint="eastAsia"/>
          <w:color w:val="auto"/>
          <w:sz w:val="21"/>
          <w:szCs w:val="21"/>
          <w:highlight w:val="none"/>
        </w:rPr>
        <w:t>。</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2.8  </w:t>
      </w:r>
      <w:r>
        <w:rPr>
          <w:rFonts w:hint="eastAsia"/>
          <w:color w:val="auto"/>
          <w:sz w:val="21"/>
          <w:szCs w:val="21"/>
          <w:highlight w:val="none"/>
        </w:rPr>
        <w:t>其他义务</w:t>
      </w:r>
    </w:p>
    <w:p>
      <w:pPr>
        <w:pStyle w:val="30"/>
        <w:spacing w:after="0" w:line="440" w:lineRule="exact"/>
        <w:ind w:left="420" w:leftChars="200" w:firstLine="0"/>
        <w:rPr>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30"/>
        <w:spacing w:after="0" w:line="440" w:lineRule="exact"/>
        <w:ind w:left="420" w:leftChars="200" w:firstLine="0"/>
        <w:rPr>
          <w:color w:val="auto"/>
          <w:sz w:val="21"/>
          <w:szCs w:val="21"/>
          <w:highlight w:val="none"/>
        </w:rPr>
      </w:pP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2</w:t>
      </w:r>
      <w:r>
        <w:rPr>
          <w:rFonts w:hint="eastAsia"/>
          <w:color w:val="auto"/>
          <w:sz w:val="21"/>
          <w:szCs w:val="21"/>
          <w:highlight w:val="none"/>
          <w:lang w:val="zh-CN" w:eastAsia="zh-CN" w:bidi="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33"/>
        <w:keepNext/>
        <w:keepLines/>
        <w:spacing w:after="0" w:line="440" w:lineRule="exact"/>
        <w:jc w:val="both"/>
        <w:outlineLvl w:val="2"/>
        <w:rPr>
          <w:b/>
          <w:bCs/>
          <w:color w:val="auto"/>
          <w:sz w:val="28"/>
          <w:szCs w:val="28"/>
          <w:highlight w:val="none"/>
          <w:lang w:val="zh-CN" w:eastAsia="zh-CN"/>
        </w:rPr>
      </w:pPr>
      <w:bookmarkStart w:id="382" w:name="_Toc16983"/>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监理人</w:t>
      </w:r>
      <w:bookmarkEnd w:id="382"/>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3.1  监理人的职责和权力</w:t>
      </w:r>
    </w:p>
    <w:p>
      <w:pPr>
        <w:pStyle w:val="30"/>
        <w:spacing w:after="0" w:line="44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3.1.1  </w:t>
      </w:r>
      <w:r>
        <w:rPr>
          <w:rFonts w:hint="eastAsia"/>
          <w:color w:val="auto"/>
          <w:sz w:val="21"/>
          <w:szCs w:val="21"/>
          <w:highlight w:val="none"/>
        </w:rPr>
        <w:t>监理人须根据发包人事先批准的权力范围行使权力，发包人批准的权利范围</w:t>
      </w:r>
      <w:r>
        <w:rPr>
          <w:rFonts w:hint="eastAsia"/>
          <w:color w:val="auto"/>
          <w:sz w:val="21"/>
          <w:szCs w:val="21"/>
          <w:highlight w:val="none"/>
          <w:lang w:eastAsia="zh-CN"/>
        </w:rPr>
        <w:t>（</w:t>
      </w:r>
      <w:r>
        <w:rPr>
          <w:rFonts w:hint="eastAsia"/>
          <w:color w:val="auto"/>
          <w:sz w:val="21"/>
          <w:szCs w:val="21"/>
          <w:highlight w:val="none"/>
          <w:lang w:val="en-US" w:eastAsia="zh-CN"/>
        </w:rPr>
        <w:t>监理人须经发包人的批准才能行使的权利</w:t>
      </w:r>
      <w:r>
        <w:rPr>
          <w:rFonts w:hint="eastAsia"/>
          <w:color w:val="auto"/>
          <w:sz w:val="21"/>
          <w:szCs w:val="21"/>
          <w:highlight w:val="none"/>
          <w:lang w:eastAsia="zh-CN"/>
        </w:rPr>
        <w:t>）：</w:t>
      </w:r>
    </w:p>
    <w:p>
      <w:pPr>
        <w:pStyle w:val="30"/>
        <w:tabs>
          <w:tab w:val="left" w:pos="1332"/>
        </w:tabs>
        <w:spacing w:after="0" w:line="44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按第</w:t>
      </w:r>
      <w:r>
        <w:rPr>
          <w:rFonts w:hint="eastAsia"/>
          <w:color w:val="auto"/>
          <w:sz w:val="21"/>
          <w:szCs w:val="21"/>
          <w:highlight w:val="none"/>
          <w:lang w:val="en-US" w:eastAsia="zh-CN" w:bidi="en-US"/>
        </w:rPr>
        <w:t>11.</w:t>
      </w:r>
      <w:r>
        <w:rPr>
          <w:rFonts w:hint="eastAsia"/>
          <w:color w:val="auto"/>
          <w:sz w:val="21"/>
          <w:szCs w:val="21"/>
          <w:highlight w:val="none"/>
        </w:rPr>
        <w:t>3款规定，确定延长完工期限。</w:t>
      </w:r>
    </w:p>
    <w:p>
      <w:pPr>
        <w:pStyle w:val="30"/>
        <w:tabs>
          <w:tab w:val="left" w:pos="1332"/>
        </w:tabs>
        <w:spacing w:after="0" w:line="44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按第15.6条规定，批准预留金的使用。</w:t>
      </w:r>
    </w:p>
    <w:p>
      <w:pPr>
        <w:pStyle w:val="30"/>
        <w:tabs>
          <w:tab w:val="left" w:pos="1332"/>
        </w:tabs>
        <w:spacing w:after="0" w:line="440" w:lineRule="exact"/>
        <w:ind w:firstLine="0"/>
        <w:rPr>
          <w:b/>
          <w:bCs/>
          <w:color w:val="auto"/>
          <w:sz w:val="28"/>
          <w:szCs w:val="28"/>
          <w:highlight w:val="none"/>
          <w:lang w:val="zh-CN" w:eastAsia="zh-CN"/>
        </w:rPr>
      </w:pPr>
      <w:bookmarkStart w:id="383" w:name="_Toc14208"/>
      <w:r>
        <w:rPr>
          <w:rFonts w:hint="eastAsia"/>
          <w:b/>
          <w:bCs/>
          <w:color w:val="auto"/>
          <w:sz w:val="28"/>
          <w:szCs w:val="28"/>
          <w:highlight w:val="none"/>
          <w:lang w:val="zh-CN" w:eastAsia="zh-CN"/>
        </w:rPr>
        <w:t>4</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承包人</w:t>
      </w:r>
      <w:bookmarkEnd w:id="383"/>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4.1  承包人的一般义务</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4.1.</w:t>
      </w:r>
      <w:r>
        <w:rPr>
          <w:rFonts w:hint="eastAsia"/>
          <w:b/>
          <w:bCs/>
          <w:color w:val="auto"/>
          <w:sz w:val="21"/>
          <w:szCs w:val="21"/>
          <w:highlight w:val="none"/>
        </w:rPr>
        <w:t>10</w:t>
      </w:r>
      <w:r>
        <w:rPr>
          <w:rFonts w:hint="eastAsia"/>
          <w:b/>
          <w:bCs/>
          <w:color w:val="auto"/>
          <w:sz w:val="21"/>
          <w:szCs w:val="21"/>
          <w:highlight w:val="none"/>
          <w:lang w:val="en-US" w:eastAsia="zh-CN" w:bidi="en-US"/>
        </w:rPr>
        <w:t xml:space="preserve">  </w:t>
      </w:r>
      <w:r>
        <w:rPr>
          <w:rFonts w:hint="eastAsia"/>
          <w:color w:val="auto"/>
          <w:sz w:val="21"/>
          <w:szCs w:val="21"/>
          <w:highlight w:val="none"/>
        </w:rPr>
        <w:t>其他义务</w:t>
      </w:r>
    </w:p>
    <w:p>
      <w:pPr>
        <w:spacing w:line="440" w:lineRule="exact"/>
        <w:ind w:right="248" w:firstLine="480"/>
        <w:rPr>
          <w:rFonts w:ascii="宋体"/>
          <w:color w:val="auto"/>
          <w:highlight w:val="none"/>
          <w:u w:val="single"/>
        </w:rPr>
      </w:pPr>
      <w:r>
        <w:rPr>
          <w:rFonts w:hint="eastAsia" w:ascii="宋体"/>
          <w:color w:val="auto"/>
          <w:highlight w:val="none"/>
        </w:rPr>
        <w:t xml:space="preserve"> </w:t>
      </w:r>
      <w:r>
        <w:rPr>
          <w:rFonts w:hint="eastAsia" w:ascii="宋体"/>
          <w:color w:val="auto"/>
          <w:highlight w:val="none"/>
          <w:u w:val="single"/>
        </w:rPr>
        <w:t xml:space="preserve">          /             </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4.3  分包</w:t>
      </w:r>
    </w:p>
    <w:p>
      <w:pPr>
        <w:pStyle w:val="30"/>
        <w:tabs>
          <w:tab w:val="left" w:pos="1128"/>
        </w:tabs>
        <w:spacing w:after="0" w:line="440" w:lineRule="exact"/>
        <w:ind w:left="420" w:leftChars="200" w:firstLine="0"/>
        <w:rPr>
          <w:color w:val="auto"/>
          <w:sz w:val="21"/>
          <w:szCs w:val="21"/>
          <w:highlight w:val="none"/>
          <w:lang w:eastAsia="zh-CN"/>
        </w:rPr>
      </w:pPr>
      <w:r>
        <w:rPr>
          <w:rFonts w:hint="eastAsia"/>
          <w:b/>
          <w:bCs/>
          <w:color w:val="auto"/>
          <w:sz w:val="21"/>
          <w:szCs w:val="21"/>
          <w:highlight w:val="none"/>
          <w:lang w:val="en-US" w:eastAsia="zh-CN" w:bidi="en-US"/>
        </w:rPr>
        <w:t>4.3.</w:t>
      </w:r>
      <w:r>
        <w:rPr>
          <w:rFonts w:hint="eastAsia"/>
          <w:b/>
          <w:bCs/>
          <w:color w:val="auto"/>
          <w:sz w:val="21"/>
          <w:szCs w:val="21"/>
          <w:highlight w:val="none"/>
        </w:rPr>
        <w:t>2</w:t>
      </w:r>
      <w:r>
        <w:rPr>
          <w:rFonts w:hint="eastAsia"/>
          <w:b/>
          <w:bCs/>
          <w:color w:val="auto"/>
          <w:sz w:val="21"/>
          <w:szCs w:val="21"/>
          <w:highlight w:val="none"/>
          <w:lang w:val="en-US" w:eastAsia="zh-CN" w:bidi="en-US"/>
        </w:rPr>
        <w:t xml:space="preserve">  </w:t>
      </w:r>
      <w:r>
        <w:rPr>
          <w:rFonts w:hint="eastAsia"/>
          <w:color w:val="auto"/>
          <w:sz w:val="21"/>
          <w:szCs w:val="21"/>
          <w:highlight w:val="none"/>
        </w:rPr>
        <w:t>允许承包人分包的工程项目、工作内容与分包金额如下</w:t>
      </w:r>
      <w:r>
        <w:rPr>
          <w:rFonts w:hint="eastAsia"/>
          <w:color w:val="auto"/>
          <w:sz w:val="21"/>
          <w:szCs w:val="21"/>
          <w:highlight w:val="none"/>
          <w:lang w:eastAsia="zh-CN"/>
        </w:rPr>
        <w:t>：</w:t>
      </w:r>
    </w:p>
    <w:p>
      <w:pPr>
        <w:pStyle w:val="30"/>
        <w:tabs>
          <w:tab w:val="left" w:pos="1332"/>
          <w:tab w:val="left" w:pos="5812"/>
        </w:tabs>
        <w:spacing w:after="0" w:line="44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工程项目</w:t>
      </w:r>
      <w:r>
        <w:rPr>
          <w:rFonts w:hint="eastAsia"/>
          <w:color w:val="auto"/>
          <w:sz w:val="21"/>
          <w:szCs w:val="21"/>
          <w:highlight w:val="none"/>
          <w:lang w:eastAsia="zh-CN"/>
        </w:rPr>
        <w:t>：</w:t>
      </w:r>
      <w:r>
        <w:rPr>
          <w:rFonts w:hint="eastAsia"/>
          <w:color w:val="auto"/>
          <w:sz w:val="21"/>
          <w:szCs w:val="21"/>
          <w:highlight w:val="none"/>
          <w:u w:val="single"/>
          <w:lang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rPr>
        <w:t>。</w:t>
      </w:r>
    </w:p>
    <w:p>
      <w:pPr>
        <w:pStyle w:val="30"/>
        <w:tabs>
          <w:tab w:val="left" w:pos="1332"/>
          <w:tab w:val="left" w:pos="5812"/>
        </w:tabs>
        <w:spacing w:after="0" w:line="44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工作内容：</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bidi="en-US"/>
        </w:rPr>
        <w:t>。</w:t>
      </w:r>
    </w:p>
    <w:p>
      <w:pPr>
        <w:pStyle w:val="30"/>
        <w:tabs>
          <w:tab w:val="left" w:pos="6508"/>
        </w:tabs>
        <w:spacing w:after="0" w:line="440" w:lineRule="exact"/>
        <w:ind w:firstLine="420" w:firstLineChars="200"/>
        <w:rPr>
          <w:color w:val="auto"/>
          <w:sz w:val="21"/>
          <w:szCs w:val="21"/>
          <w:highlight w:val="none"/>
          <w:lang w:eastAsia="zh-CN"/>
        </w:rPr>
      </w:pPr>
      <w:r>
        <w:rPr>
          <w:rFonts w:hint="eastAsia"/>
          <w:color w:val="auto"/>
          <w:sz w:val="21"/>
          <w:szCs w:val="21"/>
          <w:highlight w:val="none"/>
          <w:lang w:val="zh-CN" w:eastAsia="zh-CN" w:bidi="zh-CN"/>
        </w:rPr>
        <w:t>（3）</w:t>
      </w:r>
      <w:r>
        <w:rPr>
          <w:rFonts w:hint="eastAsia"/>
          <w:color w:val="auto"/>
          <w:sz w:val="21"/>
          <w:szCs w:val="21"/>
          <w:highlight w:val="none"/>
        </w:rPr>
        <w:t>分包金额限额：</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bidi="en-US"/>
        </w:rPr>
        <w:t>。</w:t>
      </w:r>
    </w:p>
    <w:p>
      <w:pPr>
        <w:pStyle w:val="30"/>
        <w:tabs>
          <w:tab w:val="left" w:pos="9412"/>
        </w:tabs>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4.3.</w:t>
      </w:r>
      <w:r>
        <w:rPr>
          <w:rFonts w:hint="eastAsia"/>
          <w:b/>
          <w:bCs/>
          <w:color w:val="auto"/>
          <w:sz w:val="21"/>
          <w:szCs w:val="21"/>
          <w:highlight w:val="none"/>
        </w:rPr>
        <w:t>10</w:t>
      </w:r>
      <w:r>
        <w:rPr>
          <w:rFonts w:hint="eastAsia"/>
          <w:b/>
          <w:bCs/>
          <w:color w:val="auto"/>
          <w:sz w:val="21"/>
          <w:szCs w:val="21"/>
          <w:highlight w:val="none"/>
          <w:lang w:val="en-US" w:eastAsia="zh-CN" w:bidi="en-US"/>
        </w:rPr>
        <w:t xml:space="preserve">  </w:t>
      </w:r>
      <w:r>
        <w:rPr>
          <w:rFonts w:hint="eastAsia"/>
          <w:color w:val="auto"/>
          <w:sz w:val="21"/>
          <w:szCs w:val="21"/>
          <w:highlight w:val="none"/>
        </w:rPr>
        <w:t>分包人项目管理机构的设立：</w:t>
      </w:r>
      <w:r>
        <w:rPr>
          <w:rFonts w:hint="eastAsia"/>
          <w:color w:val="auto"/>
          <w:sz w:val="21"/>
          <w:szCs w:val="21"/>
          <w:highlight w:val="none"/>
          <w:u w:val="single"/>
          <w:lang w:val="en-US" w:eastAsia="zh-CN"/>
        </w:rPr>
        <w:t xml:space="preserve">    /   </w:t>
      </w:r>
      <w:r>
        <w:rPr>
          <w:rFonts w:hint="eastAsia"/>
          <w:color w:val="auto"/>
          <w:sz w:val="21"/>
          <w:szCs w:val="21"/>
          <w:highlight w:val="none"/>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4.5  承包人项目负责人</w:t>
      </w:r>
    </w:p>
    <w:p>
      <w:pPr>
        <w:pStyle w:val="30"/>
        <w:spacing w:after="0" w:line="440" w:lineRule="exact"/>
        <w:ind w:firstLine="420" w:firstLineChars="200"/>
        <w:rPr>
          <w:color w:val="auto"/>
          <w:sz w:val="21"/>
          <w:szCs w:val="21"/>
          <w:highlight w:val="none"/>
          <w:lang w:eastAsia="zh-CN"/>
        </w:rPr>
      </w:pPr>
      <w:r>
        <w:rPr>
          <w:rFonts w:hint="eastAsia"/>
          <w:color w:val="auto"/>
          <w:sz w:val="21"/>
          <w:szCs w:val="21"/>
          <w:highlight w:val="none"/>
        </w:rPr>
        <w:t>本章</w:t>
      </w:r>
      <w:r>
        <w:rPr>
          <w:rFonts w:hint="eastAsia"/>
          <w:color w:val="auto"/>
          <w:sz w:val="21"/>
          <w:szCs w:val="21"/>
          <w:highlight w:val="none"/>
          <w:lang w:val="en-US" w:eastAsia="zh-CN" w:bidi="en-US"/>
        </w:rPr>
        <w:t>4.5.</w:t>
      </w:r>
      <w:r>
        <w:rPr>
          <w:rFonts w:hint="eastAsia"/>
          <w:color w:val="auto"/>
          <w:sz w:val="21"/>
          <w:szCs w:val="21"/>
          <w:highlight w:val="none"/>
        </w:rPr>
        <w:t>5款补充</w:t>
      </w:r>
      <w:r>
        <w:rPr>
          <w:rFonts w:hint="eastAsia"/>
          <w:color w:val="auto"/>
          <w:sz w:val="21"/>
          <w:szCs w:val="21"/>
          <w:highlight w:val="none"/>
          <w:lang w:eastAsia="zh-CN"/>
        </w:rPr>
        <w:t>：</w:t>
      </w:r>
    </w:p>
    <w:p>
      <w:pPr>
        <w:pStyle w:val="30"/>
        <w:tabs>
          <w:tab w:val="left" w:pos="4128"/>
          <w:tab w:val="left" w:pos="12024"/>
        </w:tabs>
        <w:spacing w:after="0" w:line="440" w:lineRule="exact"/>
        <w:ind w:firstLine="420" w:firstLineChars="200"/>
        <w:rPr>
          <w:color w:val="auto"/>
          <w:sz w:val="21"/>
          <w:szCs w:val="21"/>
          <w:highlight w:val="none"/>
        </w:rPr>
      </w:pPr>
      <w:r>
        <w:rPr>
          <w:rFonts w:hint="eastAsia"/>
          <w:color w:val="auto"/>
          <w:sz w:val="21"/>
          <w:szCs w:val="21"/>
          <w:highlight w:val="none"/>
        </w:rPr>
        <w:t>项目负责人每月驻工地的天数不少于</w:t>
      </w:r>
      <w:r>
        <w:rPr>
          <w:rFonts w:hint="eastAsia"/>
          <w:b/>
          <w:bCs/>
          <w:color w:val="auto"/>
          <w:sz w:val="21"/>
          <w:szCs w:val="21"/>
          <w:highlight w:val="none"/>
          <w:u w:val="single"/>
          <w:lang w:val="en-US" w:eastAsia="zh-CN"/>
        </w:rPr>
        <w:t xml:space="preserve"> 22 </w:t>
      </w:r>
      <w:r>
        <w:rPr>
          <w:rFonts w:hint="eastAsia"/>
          <w:color w:val="auto"/>
          <w:sz w:val="21"/>
          <w:szCs w:val="21"/>
          <w:highlight w:val="none"/>
        </w:rPr>
        <w:t>天</w:t>
      </w:r>
      <w:r>
        <w:rPr>
          <w:rFonts w:hint="eastAsia"/>
          <w:color w:val="auto"/>
          <w:sz w:val="21"/>
          <w:szCs w:val="21"/>
          <w:highlight w:val="none"/>
          <w:lang w:eastAsia="zh-CN"/>
        </w:rPr>
        <w:t>（</w:t>
      </w:r>
      <w:r>
        <w:rPr>
          <w:rFonts w:hint="eastAsia"/>
          <w:color w:val="auto"/>
          <w:sz w:val="21"/>
          <w:szCs w:val="21"/>
          <w:highlight w:val="none"/>
        </w:rPr>
        <w:t>遇法定节假日可扣减），每少一天支付违约金</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3000 </w:t>
      </w:r>
      <w:r>
        <w:rPr>
          <w:rFonts w:hint="eastAsia"/>
          <w:color w:val="auto"/>
          <w:sz w:val="21"/>
          <w:szCs w:val="21"/>
          <w:highlight w:val="none"/>
          <w:lang w:val="en-US" w:eastAsia="zh-CN"/>
        </w:rPr>
        <w:t>元</w:t>
      </w:r>
      <w:r>
        <w:rPr>
          <w:rFonts w:hint="eastAsia"/>
          <w:color w:val="auto"/>
          <w:sz w:val="21"/>
          <w:szCs w:val="21"/>
          <w:highlight w:val="none"/>
        </w:rPr>
        <w:t>，但扣款最终的累计总金额不应超过</w:t>
      </w:r>
      <w:r>
        <w:rPr>
          <w:rFonts w:hint="eastAsia"/>
          <w:b/>
          <w:bCs/>
          <w:color w:val="auto"/>
          <w:sz w:val="21"/>
          <w:szCs w:val="21"/>
          <w:highlight w:val="none"/>
          <w:u w:val="single"/>
        </w:rPr>
        <w:tab/>
      </w:r>
      <w:r>
        <w:rPr>
          <w:rFonts w:hint="eastAsia"/>
          <w:b/>
          <w:bCs/>
          <w:color w:val="auto"/>
          <w:sz w:val="21"/>
          <w:szCs w:val="21"/>
          <w:highlight w:val="none"/>
          <w:u w:val="single"/>
          <w:lang w:val="en-US" w:eastAsia="zh-CN"/>
        </w:rPr>
        <w:t>10万</w:t>
      </w:r>
      <w:r>
        <w:rPr>
          <w:rFonts w:hint="eastAsia"/>
          <w:color w:val="auto"/>
          <w:sz w:val="21"/>
          <w:szCs w:val="21"/>
          <w:highlight w:val="none"/>
        </w:rPr>
        <w:t>元。</w:t>
      </w:r>
    </w:p>
    <w:p>
      <w:pPr>
        <w:pStyle w:val="30"/>
        <w:spacing w:after="0" w:line="440" w:lineRule="exact"/>
        <w:ind w:firstLine="420" w:firstLineChars="200"/>
        <w:rPr>
          <w:color w:val="auto"/>
          <w:sz w:val="21"/>
          <w:szCs w:val="21"/>
          <w:highlight w:val="none"/>
        </w:rPr>
      </w:pPr>
      <w:r>
        <w:rPr>
          <w:rFonts w:hint="eastAsia"/>
          <w:color w:val="auto"/>
          <w:sz w:val="21"/>
          <w:szCs w:val="21"/>
          <w:highlight w:val="none"/>
        </w:rPr>
        <w:t>上述违约金在当月工程进度款中直接扣除，在工地工作天数按监理人实际考勤记录为准。</w:t>
      </w:r>
    </w:p>
    <w:p>
      <w:pPr>
        <w:pStyle w:val="30"/>
        <w:spacing w:after="0" w:line="440" w:lineRule="exact"/>
        <w:ind w:firstLine="420" w:firstLineChars="200"/>
        <w:rPr>
          <w:color w:val="auto"/>
          <w:sz w:val="21"/>
          <w:szCs w:val="21"/>
          <w:highlight w:val="none"/>
        </w:rPr>
      </w:pPr>
      <w:r>
        <w:rPr>
          <w:rFonts w:hint="eastAsia"/>
          <w:color w:val="auto"/>
          <w:sz w:val="21"/>
          <w:szCs w:val="21"/>
          <w:highlight w:val="none"/>
        </w:rPr>
        <w:t>承包人的项目负责人连续</w:t>
      </w:r>
      <w:r>
        <w:rPr>
          <w:rFonts w:hint="eastAsia"/>
          <w:b/>
          <w:bCs/>
          <w:color w:val="auto"/>
          <w:sz w:val="21"/>
          <w:szCs w:val="21"/>
          <w:highlight w:val="none"/>
          <w:u w:val="single"/>
          <w:lang w:val="en-US" w:eastAsia="zh-CN" w:bidi="zh-CN"/>
        </w:rPr>
        <w:t xml:space="preserve"> 2 </w:t>
      </w:r>
      <w:r>
        <w:rPr>
          <w:rFonts w:hint="eastAsia"/>
          <w:color w:val="auto"/>
          <w:sz w:val="21"/>
          <w:szCs w:val="21"/>
          <w:highlight w:val="none"/>
        </w:rPr>
        <w:t>个月及以上每月驻工地的天数少于</w:t>
      </w:r>
      <w:r>
        <w:rPr>
          <w:rFonts w:hint="eastAsia"/>
          <w:b/>
          <w:bCs/>
          <w:color w:val="auto"/>
          <w:sz w:val="21"/>
          <w:szCs w:val="21"/>
          <w:highlight w:val="none"/>
          <w:u w:val="single"/>
          <w:lang w:val="en-US" w:eastAsia="zh-CN" w:bidi="zh-CN"/>
        </w:rPr>
        <w:t xml:space="preserve"> 22 </w:t>
      </w:r>
      <w:r>
        <w:rPr>
          <w:rFonts w:hint="eastAsia"/>
          <w:color w:val="auto"/>
          <w:sz w:val="21"/>
          <w:szCs w:val="21"/>
          <w:highlight w:val="none"/>
        </w:rPr>
        <w:t>天，发包人有权解除合同。</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4.6  承包人人员的管理</w:t>
      </w:r>
    </w:p>
    <w:p>
      <w:pPr>
        <w:pStyle w:val="30"/>
        <w:spacing w:after="0" w:line="440" w:lineRule="exact"/>
        <w:ind w:firstLine="420" w:firstLineChars="200"/>
        <w:rPr>
          <w:color w:val="auto"/>
          <w:sz w:val="21"/>
          <w:szCs w:val="21"/>
          <w:highlight w:val="none"/>
        </w:rPr>
      </w:pPr>
      <w:r>
        <w:rPr>
          <w:rFonts w:hint="eastAsia"/>
          <w:color w:val="auto"/>
          <w:sz w:val="21"/>
          <w:szCs w:val="21"/>
          <w:highlight w:val="none"/>
        </w:rPr>
        <w:t>本章4.6.3款补充：</w:t>
      </w:r>
    </w:p>
    <w:p>
      <w:pPr>
        <w:pStyle w:val="30"/>
        <w:spacing w:after="0" w:line="440" w:lineRule="exact"/>
        <w:ind w:firstLine="420" w:firstLineChars="200"/>
        <w:rPr>
          <w:color w:val="auto"/>
          <w:sz w:val="21"/>
          <w:szCs w:val="21"/>
          <w:highlight w:val="none"/>
        </w:rPr>
      </w:pPr>
      <w:r>
        <w:rPr>
          <w:rFonts w:hint="eastAsia"/>
          <w:color w:val="auto"/>
          <w:sz w:val="21"/>
          <w:szCs w:val="21"/>
          <w:highlight w:val="none"/>
        </w:rPr>
        <w:t>项目技术负责人每月驻工地时间不得少于</w:t>
      </w:r>
      <w:r>
        <w:rPr>
          <w:rFonts w:hint="eastAsia"/>
          <w:b/>
          <w:bCs/>
          <w:color w:val="auto"/>
          <w:sz w:val="21"/>
          <w:szCs w:val="21"/>
          <w:highlight w:val="none"/>
          <w:u w:val="single"/>
          <w:lang w:val="en-US" w:eastAsia="zh-CN" w:bidi="zh-CN"/>
        </w:rPr>
        <w:t xml:space="preserve"> 22 </w:t>
      </w:r>
      <w:r>
        <w:rPr>
          <w:rFonts w:hint="eastAsia"/>
          <w:color w:val="auto"/>
          <w:sz w:val="21"/>
          <w:szCs w:val="21"/>
          <w:highlight w:val="none"/>
        </w:rPr>
        <w:t>天</w:t>
      </w:r>
      <w:r>
        <w:rPr>
          <w:rFonts w:hint="eastAsia"/>
          <w:color w:val="auto"/>
          <w:sz w:val="21"/>
          <w:szCs w:val="21"/>
          <w:highlight w:val="none"/>
          <w:lang w:eastAsia="zh-CN"/>
        </w:rPr>
        <w:t>（</w:t>
      </w:r>
      <w:r>
        <w:rPr>
          <w:rFonts w:hint="eastAsia"/>
          <w:color w:val="auto"/>
          <w:sz w:val="21"/>
          <w:szCs w:val="21"/>
          <w:highlight w:val="none"/>
        </w:rPr>
        <w:t>遇法定节假日可扣减），每少一天支付违约金</w:t>
      </w:r>
      <w:r>
        <w:rPr>
          <w:rFonts w:hint="eastAsia"/>
          <w:b/>
          <w:bCs/>
          <w:color w:val="auto"/>
          <w:sz w:val="21"/>
          <w:szCs w:val="21"/>
          <w:highlight w:val="none"/>
          <w:u w:val="single"/>
          <w:lang w:val="en-US" w:eastAsia="zh-CN" w:bidi="zh-CN"/>
        </w:rPr>
        <w:t>1000</w:t>
      </w:r>
      <w:r>
        <w:rPr>
          <w:rFonts w:hint="eastAsia"/>
          <w:color w:val="auto"/>
          <w:sz w:val="21"/>
          <w:szCs w:val="21"/>
          <w:highlight w:val="none"/>
        </w:rPr>
        <w:t>元，但扣款最终的累计总金额不应超过</w:t>
      </w:r>
      <w:r>
        <w:rPr>
          <w:rFonts w:hint="eastAsia"/>
          <w:b/>
          <w:bCs/>
          <w:color w:val="auto"/>
          <w:sz w:val="21"/>
          <w:szCs w:val="21"/>
          <w:highlight w:val="none"/>
          <w:u w:val="single"/>
          <w:lang w:val="en-US" w:eastAsia="zh-CN"/>
        </w:rPr>
        <w:t xml:space="preserve"> 5万</w:t>
      </w:r>
      <w:r>
        <w:rPr>
          <w:rFonts w:hint="eastAsia"/>
          <w:color w:val="auto"/>
          <w:sz w:val="21"/>
          <w:szCs w:val="21"/>
          <w:highlight w:val="none"/>
        </w:rPr>
        <w:t>元。</w:t>
      </w:r>
    </w:p>
    <w:p>
      <w:pPr>
        <w:pStyle w:val="30"/>
        <w:tabs>
          <w:tab w:val="left" w:pos="684"/>
        </w:tabs>
        <w:spacing w:after="0" w:line="440" w:lineRule="exact"/>
        <w:ind w:firstLine="420" w:firstLineChars="200"/>
        <w:rPr>
          <w:color w:val="auto"/>
          <w:sz w:val="21"/>
          <w:szCs w:val="21"/>
          <w:highlight w:val="none"/>
        </w:rPr>
      </w:pPr>
      <w:r>
        <w:rPr>
          <w:rFonts w:hint="eastAsia"/>
          <w:color w:val="auto"/>
          <w:sz w:val="21"/>
          <w:szCs w:val="21"/>
          <w:highlight w:val="none"/>
          <w:lang w:val="en-US" w:eastAsia="zh-CN"/>
        </w:rPr>
        <w:t>安全</w:t>
      </w:r>
      <w:r>
        <w:rPr>
          <w:rFonts w:hint="eastAsia"/>
          <w:color w:val="auto"/>
          <w:sz w:val="21"/>
          <w:szCs w:val="21"/>
          <w:highlight w:val="none"/>
        </w:rPr>
        <w:t>员</w:t>
      </w:r>
      <w:r>
        <w:rPr>
          <w:rFonts w:hint="eastAsia"/>
          <w:color w:val="auto"/>
          <w:sz w:val="21"/>
          <w:szCs w:val="21"/>
          <w:highlight w:val="none"/>
          <w:lang w:eastAsia="zh-CN"/>
        </w:rPr>
        <w:t>、</w:t>
      </w:r>
      <w:r>
        <w:rPr>
          <w:rFonts w:hint="eastAsia"/>
          <w:color w:val="auto"/>
          <w:sz w:val="21"/>
          <w:szCs w:val="21"/>
          <w:highlight w:val="none"/>
          <w:lang w:val="en-US" w:eastAsia="zh-CN"/>
        </w:rPr>
        <w:t>施工员、质量员</w:t>
      </w:r>
      <w:r>
        <w:rPr>
          <w:rFonts w:hint="eastAsia"/>
          <w:color w:val="auto"/>
          <w:sz w:val="21"/>
          <w:szCs w:val="21"/>
          <w:highlight w:val="none"/>
        </w:rPr>
        <w:t>每月驻工地时间不得少于</w:t>
      </w:r>
      <w:r>
        <w:rPr>
          <w:rFonts w:hint="eastAsia"/>
          <w:b/>
          <w:bCs/>
          <w:color w:val="auto"/>
          <w:sz w:val="21"/>
          <w:szCs w:val="21"/>
          <w:highlight w:val="none"/>
          <w:u w:val="single"/>
          <w:lang w:val="en-US" w:eastAsia="zh-CN" w:bidi="zh-CN"/>
        </w:rPr>
        <w:t xml:space="preserve"> 22 </w:t>
      </w:r>
      <w:r>
        <w:rPr>
          <w:rFonts w:hint="eastAsia"/>
          <w:color w:val="auto"/>
          <w:sz w:val="21"/>
          <w:szCs w:val="21"/>
          <w:highlight w:val="none"/>
        </w:rPr>
        <w:t>天</w:t>
      </w:r>
      <w:r>
        <w:rPr>
          <w:rFonts w:hint="eastAsia"/>
          <w:color w:val="auto"/>
          <w:sz w:val="21"/>
          <w:szCs w:val="21"/>
          <w:highlight w:val="none"/>
          <w:lang w:eastAsia="zh-CN"/>
        </w:rPr>
        <w:t>（</w:t>
      </w:r>
      <w:r>
        <w:rPr>
          <w:rFonts w:hint="eastAsia"/>
          <w:color w:val="auto"/>
          <w:sz w:val="21"/>
          <w:szCs w:val="21"/>
          <w:highlight w:val="none"/>
        </w:rPr>
        <w:t>遇法定节假日可扣减），每人每少一天支付违约金</w:t>
      </w:r>
      <w:r>
        <w:rPr>
          <w:rFonts w:hint="eastAsia"/>
          <w:color w:val="auto"/>
          <w:sz w:val="21"/>
          <w:szCs w:val="21"/>
          <w:highlight w:val="none"/>
          <w:u w:val="single"/>
          <w:lang w:val="en-US" w:eastAsia="zh-CN"/>
        </w:rPr>
        <w:t>5</w:t>
      </w:r>
      <w:r>
        <w:rPr>
          <w:rFonts w:hint="eastAsia"/>
          <w:color w:val="auto"/>
          <w:sz w:val="21"/>
          <w:szCs w:val="21"/>
          <w:highlight w:val="none"/>
          <w:u w:val="single"/>
          <w:lang w:val="en-US" w:eastAsia="zh-CN" w:bidi="zh-CN"/>
        </w:rPr>
        <w:t>00</w:t>
      </w:r>
      <w:r>
        <w:rPr>
          <w:rFonts w:hint="eastAsia"/>
          <w:color w:val="auto"/>
          <w:sz w:val="21"/>
          <w:szCs w:val="21"/>
          <w:highlight w:val="none"/>
        </w:rPr>
        <w:t>元，但扣款最终的累计总金额不应超过</w:t>
      </w:r>
      <w:r>
        <w:rPr>
          <w:rFonts w:hint="eastAsia"/>
          <w:b/>
          <w:bCs/>
          <w:color w:val="auto"/>
          <w:sz w:val="21"/>
          <w:szCs w:val="21"/>
          <w:highlight w:val="none"/>
          <w:u w:val="single"/>
          <w:lang w:val="en-US" w:eastAsia="zh-CN"/>
        </w:rPr>
        <w:t xml:space="preserve"> 3万</w:t>
      </w:r>
      <w:r>
        <w:rPr>
          <w:rFonts w:hint="eastAsia"/>
          <w:color w:val="auto"/>
          <w:sz w:val="21"/>
          <w:szCs w:val="21"/>
          <w:highlight w:val="none"/>
        </w:rPr>
        <w:t>元。</w:t>
      </w:r>
    </w:p>
    <w:p>
      <w:pPr>
        <w:pStyle w:val="30"/>
        <w:spacing w:after="0" w:line="440" w:lineRule="exact"/>
        <w:ind w:firstLine="420" w:firstLineChars="200"/>
        <w:rPr>
          <w:color w:val="auto"/>
          <w:sz w:val="21"/>
          <w:szCs w:val="21"/>
          <w:highlight w:val="none"/>
        </w:rPr>
      </w:pPr>
      <w:r>
        <w:rPr>
          <w:rFonts w:hint="eastAsia"/>
          <w:color w:val="auto"/>
          <w:sz w:val="21"/>
          <w:szCs w:val="21"/>
          <w:highlight w:val="none"/>
        </w:rPr>
        <w:t>上述违约金在当月工程进度款中直接扣除，在工地工作天数按监理人实际考勤记录为准。</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4.7  撤换承包人项目负责人和其他人员</w:t>
      </w:r>
    </w:p>
    <w:p>
      <w:pPr>
        <w:pStyle w:val="30"/>
        <w:spacing w:after="0" w:line="440" w:lineRule="exact"/>
        <w:ind w:firstLine="420" w:firstLineChars="200"/>
        <w:rPr>
          <w:color w:val="auto"/>
          <w:sz w:val="21"/>
          <w:szCs w:val="21"/>
          <w:highlight w:val="none"/>
        </w:rPr>
      </w:pPr>
      <w:r>
        <w:rPr>
          <w:rFonts w:hint="eastAsia"/>
          <w:color w:val="auto"/>
          <w:sz w:val="21"/>
          <w:szCs w:val="21"/>
          <w:highlight w:val="none"/>
        </w:rPr>
        <w:t>本款补充：</w:t>
      </w:r>
    </w:p>
    <w:p>
      <w:pPr>
        <w:spacing w:line="440" w:lineRule="exact"/>
        <w:ind w:left="8" w:firstLine="649"/>
        <w:rPr>
          <w:color w:val="auto"/>
          <w:highlight w:val="none"/>
        </w:rPr>
      </w:pPr>
      <w:r>
        <w:rPr>
          <w:rFonts w:hint="eastAsia"/>
          <w:color w:val="auto"/>
          <w:highlight w:val="none"/>
        </w:rPr>
        <w:t>项目负责人、技术负责人不得擅自更换。若承包人擅自更换的，除每人次需支付</w:t>
      </w:r>
      <w:r>
        <w:rPr>
          <w:rFonts w:hint="eastAsia"/>
          <w:b/>
          <w:bCs/>
          <w:color w:val="auto"/>
          <w:highlight w:val="none"/>
          <w:u w:val="single"/>
          <w:lang w:bidi="zh-CN"/>
        </w:rPr>
        <w:t>10</w:t>
      </w:r>
      <w:r>
        <w:rPr>
          <w:rFonts w:hint="eastAsia"/>
          <w:b/>
          <w:bCs/>
          <w:color w:val="auto"/>
          <w:highlight w:val="none"/>
          <w:u w:val="single"/>
        </w:rPr>
        <w:t>万</w:t>
      </w:r>
      <w:r>
        <w:rPr>
          <w:rFonts w:hint="eastAsia"/>
          <w:color w:val="auto"/>
          <w:highlight w:val="none"/>
        </w:rPr>
        <w:t>元的违约金外，发包人有权将其作为不良行为记录上报行政主管部门；情节特别严重的，发包人有权中止合同。在合同工程未通过完工验收或合同解除前，项目负责人</w:t>
      </w:r>
      <w:r>
        <w:rPr>
          <w:rFonts w:hint="eastAsia" w:eastAsia="宋体"/>
          <w:color w:val="auto"/>
          <w:highlight w:val="none"/>
        </w:rPr>
        <w:t>因</w:t>
      </w:r>
      <w:r>
        <w:rPr>
          <w:rFonts w:hint="eastAsia"/>
          <w:color w:val="auto"/>
          <w:highlight w:val="none"/>
        </w:rPr>
        <w:t>特殊情况确需变更的，应征得发包人同意，并经原项目负责人备案主管部门备案，且更换后的人员不得低于原投标承诺人员所具有的资格和业绩条件。同时变更后的项目负责人须提供开标前六个月同一单位所属社保机</w:t>
      </w:r>
      <w:r>
        <w:rPr>
          <w:rFonts w:hint="eastAsia" w:ascii="宋体" w:hAnsi="宋体" w:eastAsia="宋体" w:cs="宋体"/>
          <w:bCs/>
          <w:color w:val="auto"/>
          <w:highlight w:val="none"/>
        </w:rPr>
        <w:t>构养老保险交纳清单或证明，由此增加的费用和延误的工期由承包人承担。</w:t>
      </w:r>
    </w:p>
    <w:p>
      <w:pPr>
        <w:pStyle w:val="30"/>
        <w:tabs>
          <w:tab w:val="left" w:pos="4224"/>
        </w:tabs>
        <w:spacing w:after="0" w:line="440" w:lineRule="exact"/>
        <w:ind w:firstLine="420" w:firstLineChars="200"/>
        <w:rPr>
          <w:color w:val="auto"/>
          <w:sz w:val="21"/>
          <w:szCs w:val="21"/>
          <w:highlight w:val="none"/>
        </w:rPr>
      </w:pPr>
      <w:r>
        <w:rPr>
          <w:rFonts w:hint="eastAsia"/>
          <w:color w:val="auto"/>
          <w:sz w:val="21"/>
          <w:szCs w:val="21"/>
          <w:highlight w:val="none"/>
        </w:rPr>
        <w:t>承包人的安全员、质量员、施工员、专职安全生产管理人员等人员擅自调换每人次需支付违约金</w:t>
      </w:r>
      <w:r>
        <w:rPr>
          <w:rFonts w:hint="eastAsia"/>
          <w:b/>
          <w:bCs/>
          <w:color w:val="auto"/>
          <w:sz w:val="21"/>
          <w:szCs w:val="21"/>
          <w:highlight w:val="none"/>
          <w:u w:val="single"/>
          <w:lang w:val="en-US" w:eastAsia="zh-CN"/>
        </w:rPr>
        <w:t xml:space="preserve"> 3万</w:t>
      </w:r>
      <w:r>
        <w:rPr>
          <w:rFonts w:hint="eastAsia"/>
          <w:color w:val="auto"/>
          <w:sz w:val="21"/>
          <w:szCs w:val="21"/>
          <w:highlight w:val="none"/>
        </w:rPr>
        <w:t>元。违约金在工程进度付款中扣除。</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4.11  不利物质条件</w:t>
      </w:r>
    </w:p>
    <w:p>
      <w:pPr>
        <w:pStyle w:val="30"/>
        <w:tabs>
          <w:tab w:val="left" w:pos="1128"/>
          <w:tab w:val="left" w:pos="8356"/>
        </w:tabs>
        <w:spacing w:after="0" w:line="440" w:lineRule="exact"/>
        <w:ind w:left="420" w:leftChars="200" w:firstLine="0"/>
        <w:rPr>
          <w:b/>
          <w:bCs/>
          <w:snapToGrid w:val="0"/>
          <w:color w:val="auto"/>
          <w:sz w:val="21"/>
          <w:szCs w:val="21"/>
          <w:highlight w:val="none"/>
          <w:u w:val="single"/>
          <w:lang w:val="zh-CN" w:eastAsia="zh-CN"/>
        </w:rPr>
      </w:pPr>
      <w:r>
        <w:rPr>
          <w:rFonts w:hint="eastAsia"/>
          <w:b/>
          <w:bCs/>
          <w:color w:val="auto"/>
          <w:sz w:val="21"/>
          <w:szCs w:val="21"/>
          <w:highlight w:val="none"/>
          <w:lang w:val="en-US" w:eastAsia="zh-CN" w:bidi="en-US"/>
        </w:rPr>
        <w:t>4.11.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不利物质条件的范围：</w:t>
      </w:r>
      <w:r>
        <w:rPr>
          <w:rFonts w:hint="eastAsia"/>
          <w:b/>
          <w:bCs/>
          <w:snapToGrid w:val="0"/>
          <w:color w:val="auto"/>
          <w:sz w:val="21"/>
          <w:szCs w:val="21"/>
          <w:highlight w:val="none"/>
          <w:u w:val="single"/>
          <w:lang w:val="zh-CN"/>
        </w:rPr>
        <w:t>按照通用合同条款执行</w:t>
      </w:r>
      <w:r>
        <w:rPr>
          <w:rFonts w:hint="eastAsia"/>
          <w:b/>
          <w:bCs/>
          <w:snapToGrid w:val="0"/>
          <w:color w:val="auto"/>
          <w:sz w:val="21"/>
          <w:szCs w:val="21"/>
          <w:highlight w:val="none"/>
          <w:u w:val="single"/>
          <w:lang w:val="en-US" w:eastAsia="zh-CN"/>
        </w:rPr>
        <w:t xml:space="preserve"> 。</w:t>
      </w:r>
    </w:p>
    <w:p>
      <w:pPr>
        <w:pStyle w:val="33"/>
        <w:keepNext/>
        <w:keepLines/>
        <w:spacing w:after="0" w:line="440" w:lineRule="exact"/>
        <w:jc w:val="both"/>
        <w:outlineLvl w:val="2"/>
        <w:rPr>
          <w:b/>
          <w:bCs/>
          <w:color w:val="auto"/>
          <w:sz w:val="28"/>
          <w:szCs w:val="28"/>
          <w:highlight w:val="none"/>
          <w:lang w:val="zh-CN" w:eastAsia="zh-CN"/>
        </w:rPr>
      </w:pPr>
      <w:bookmarkStart w:id="384" w:name="_Toc17946"/>
      <w:r>
        <w:rPr>
          <w:rFonts w:hint="eastAsia"/>
          <w:b/>
          <w:bCs/>
          <w:color w:val="auto"/>
          <w:sz w:val="28"/>
          <w:szCs w:val="28"/>
          <w:highlight w:val="none"/>
          <w:lang w:val="zh-CN" w:eastAsia="zh-CN"/>
        </w:rPr>
        <w:t>5</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材料和工程设备</w:t>
      </w:r>
      <w:bookmarkEnd w:id="384"/>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5.2  发包人提供的材料和工程设备</w:t>
      </w:r>
    </w:p>
    <w:p>
      <w:pPr>
        <w:pStyle w:val="30"/>
        <w:tabs>
          <w:tab w:val="left" w:pos="1128"/>
        </w:tabs>
        <w:spacing w:after="0" w:line="440" w:lineRule="exact"/>
        <w:ind w:left="420" w:leftChars="200" w:firstLine="0"/>
        <w:rPr>
          <w:color w:val="auto"/>
          <w:sz w:val="21"/>
          <w:szCs w:val="21"/>
          <w:highlight w:val="none"/>
        </w:rPr>
      </w:pPr>
      <w:r>
        <w:rPr>
          <w:rFonts w:hint="eastAsia"/>
          <w:b/>
          <w:bCs/>
          <w:color w:val="auto"/>
          <w:sz w:val="21"/>
          <w:szCs w:val="21"/>
          <w:highlight w:val="none"/>
          <w:lang w:val="en-US" w:eastAsia="zh-CN" w:bidi="en-US"/>
        </w:rPr>
        <w:t xml:space="preserve">5.2.1  </w:t>
      </w:r>
      <w:r>
        <w:rPr>
          <w:rFonts w:hint="eastAsia"/>
          <w:color w:val="auto"/>
          <w:sz w:val="21"/>
          <w:szCs w:val="21"/>
          <w:highlight w:val="none"/>
        </w:rPr>
        <w:t>发包人提供的材料和设备见下表。</w:t>
      </w:r>
    </w:p>
    <w:p>
      <w:pPr>
        <w:pStyle w:val="33"/>
        <w:keepNext/>
        <w:keepLines/>
        <w:spacing w:after="0" w:line="440" w:lineRule="exact"/>
        <w:ind w:firstLine="422" w:firstLineChars="200"/>
        <w:jc w:val="center"/>
        <w:outlineLvl w:val="9"/>
        <w:rPr>
          <w:b/>
          <w:bCs/>
          <w:color w:val="auto"/>
          <w:sz w:val="21"/>
          <w:szCs w:val="21"/>
          <w:highlight w:val="none"/>
          <w:lang w:val="en-US" w:eastAsia="zh-CN"/>
        </w:rPr>
      </w:pPr>
      <w:bookmarkStart w:id="385" w:name="_Toc3220"/>
      <w:bookmarkStart w:id="386" w:name="_Toc5564"/>
      <w:r>
        <w:rPr>
          <w:rFonts w:hint="eastAsia"/>
          <w:b/>
          <w:bCs/>
          <w:color w:val="auto"/>
          <w:sz w:val="21"/>
          <w:szCs w:val="21"/>
          <w:highlight w:val="none"/>
          <w:lang w:val="en-US" w:eastAsia="zh-CN"/>
        </w:rPr>
        <w:t>发包人提供的材料表（参考格式）</w:t>
      </w:r>
      <w:bookmarkEnd w:id="385"/>
      <w:bookmarkEnd w:id="386"/>
    </w:p>
    <w:tbl>
      <w:tblPr>
        <w:tblStyle w:val="22"/>
        <w:tblW w:w="9639" w:type="dxa"/>
        <w:jc w:val="center"/>
        <w:tblLayout w:type="fixed"/>
        <w:tblCellMar>
          <w:top w:w="0" w:type="dxa"/>
          <w:left w:w="108" w:type="dxa"/>
          <w:bottom w:w="0" w:type="dxa"/>
          <w:right w:w="108" w:type="dxa"/>
        </w:tblCellMar>
      </w:tblPr>
      <w:tblGrid>
        <w:gridCol w:w="1007"/>
        <w:gridCol w:w="1720"/>
        <w:gridCol w:w="1111"/>
        <w:gridCol w:w="873"/>
        <w:gridCol w:w="1225"/>
        <w:gridCol w:w="1234"/>
        <w:gridCol w:w="1728"/>
        <w:gridCol w:w="741"/>
      </w:tblGrid>
      <w:tr>
        <w:tblPrEx>
          <w:tblCellMar>
            <w:top w:w="0" w:type="dxa"/>
            <w:left w:w="108" w:type="dxa"/>
            <w:bottom w:w="0" w:type="dxa"/>
            <w:right w:w="108" w:type="dxa"/>
          </w:tblCellMar>
        </w:tblPrEx>
        <w:trPr>
          <w:trHeight w:val="432" w:hRule="exact"/>
          <w:jc w:val="center"/>
        </w:trPr>
        <w:tc>
          <w:tcPr>
            <w:tcW w:w="105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color w:val="auto"/>
                <w:sz w:val="21"/>
                <w:szCs w:val="21"/>
                <w:highlight w:val="none"/>
              </w:rPr>
              <w:t>序号</w:t>
            </w:r>
          </w:p>
        </w:tc>
        <w:tc>
          <w:tcPr>
            <w:tcW w:w="1807" w:type="dxa"/>
            <w:tcBorders>
              <w:top w:val="single" w:color="auto" w:sz="4" w:space="0"/>
              <w:left w:val="single" w:color="auto" w:sz="4" w:space="0"/>
            </w:tcBorders>
            <w:shd w:val="clear" w:color="auto" w:fill="FFFFFF"/>
            <w:vAlign w:val="center"/>
          </w:tcPr>
          <w:p>
            <w:pPr>
              <w:pStyle w:val="36"/>
              <w:spacing w:after="0" w:line="360" w:lineRule="exact"/>
              <w:ind w:firstLine="440"/>
              <w:rPr>
                <w:color w:val="auto"/>
                <w:sz w:val="21"/>
                <w:szCs w:val="21"/>
                <w:highlight w:val="none"/>
              </w:rPr>
            </w:pPr>
            <w:r>
              <w:rPr>
                <w:color w:val="auto"/>
                <w:sz w:val="21"/>
                <w:szCs w:val="21"/>
                <w:highlight w:val="none"/>
              </w:rPr>
              <w:t>材料名称</w:t>
            </w:r>
          </w:p>
        </w:tc>
        <w:tc>
          <w:tcPr>
            <w:tcW w:w="1163"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color w:val="auto"/>
                <w:sz w:val="21"/>
                <w:szCs w:val="21"/>
                <w:highlight w:val="none"/>
              </w:rPr>
              <w:t>材料规格</w:t>
            </w:r>
          </w:p>
        </w:tc>
        <w:tc>
          <w:tcPr>
            <w:tcW w:w="911" w:type="dxa"/>
            <w:tcBorders>
              <w:top w:val="single" w:color="auto" w:sz="4" w:space="0"/>
              <w:left w:val="single" w:color="auto" w:sz="4" w:space="0"/>
            </w:tcBorders>
            <w:shd w:val="clear" w:color="auto" w:fill="FFFFFF"/>
            <w:vAlign w:val="center"/>
          </w:tcPr>
          <w:p>
            <w:pPr>
              <w:pStyle w:val="36"/>
              <w:spacing w:after="0" w:line="360" w:lineRule="exact"/>
              <w:ind w:firstLine="200"/>
              <w:rPr>
                <w:color w:val="auto"/>
                <w:sz w:val="21"/>
                <w:szCs w:val="21"/>
                <w:highlight w:val="none"/>
              </w:rPr>
            </w:pPr>
            <w:r>
              <w:rPr>
                <w:color w:val="auto"/>
                <w:sz w:val="21"/>
                <w:szCs w:val="21"/>
                <w:highlight w:val="none"/>
              </w:rPr>
              <w:t>数量</w:t>
            </w:r>
          </w:p>
        </w:tc>
        <w:tc>
          <w:tcPr>
            <w:tcW w:w="1283"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color w:val="auto"/>
                <w:sz w:val="21"/>
                <w:szCs w:val="21"/>
                <w:highlight w:val="none"/>
              </w:rPr>
              <w:t>交货地点</w:t>
            </w:r>
          </w:p>
        </w:tc>
        <w:tc>
          <w:tcPr>
            <w:tcW w:w="1293"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color w:val="auto"/>
                <w:sz w:val="21"/>
                <w:szCs w:val="21"/>
                <w:highlight w:val="none"/>
              </w:rPr>
              <w:t>交货方式</w:t>
            </w:r>
          </w:p>
        </w:tc>
        <w:tc>
          <w:tcPr>
            <w:tcW w:w="1816" w:type="dxa"/>
            <w:tcBorders>
              <w:top w:val="single" w:color="auto" w:sz="4" w:space="0"/>
              <w:left w:val="single" w:color="auto" w:sz="4" w:space="0"/>
            </w:tcBorders>
            <w:shd w:val="clear" w:color="auto" w:fill="FFFFFF"/>
            <w:vAlign w:val="center"/>
          </w:tcPr>
          <w:p>
            <w:pPr>
              <w:pStyle w:val="36"/>
              <w:spacing w:after="0" w:line="360" w:lineRule="exact"/>
              <w:ind w:right="160" w:firstLine="0"/>
              <w:jc w:val="right"/>
              <w:rPr>
                <w:color w:val="auto"/>
                <w:sz w:val="21"/>
                <w:szCs w:val="21"/>
                <w:highlight w:val="none"/>
              </w:rPr>
            </w:pPr>
            <w:r>
              <w:rPr>
                <w:color w:val="auto"/>
                <w:sz w:val="21"/>
                <w:szCs w:val="21"/>
                <w:highlight w:val="none"/>
              </w:rPr>
              <w:t>计划交货日期</w:t>
            </w:r>
          </w:p>
        </w:tc>
        <w:tc>
          <w:tcPr>
            <w:tcW w:w="771" w:type="dxa"/>
            <w:tcBorders>
              <w:top w:val="single" w:color="auto" w:sz="4" w:space="0"/>
              <w:left w:val="single" w:color="auto" w:sz="4" w:space="0"/>
              <w:righ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jc w:val="center"/>
              <w:rPr>
                <w:rFonts w:eastAsia="宋体"/>
                <w:color w:val="auto"/>
                <w:highlight w:val="none"/>
              </w:rPr>
            </w:pPr>
            <w:r>
              <w:rPr>
                <w:rFonts w:hint="eastAsia" w:eastAsia="宋体"/>
                <w:color w:val="auto"/>
                <w:highlight w:val="none"/>
              </w:rPr>
              <w:t>无</w:t>
            </w: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97" w:hRule="exact"/>
          <w:jc w:val="center"/>
        </w:trPr>
        <w:tc>
          <w:tcPr>
            <w:tcW w:w="105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widowControl w:val="0"/>
        <w:spacing w:line="360" w:lineRule="exact"/>
        <w:jc w:val="both"/>
        <w:rPr>
          <w:color w:val="auto"/>
          <w:sz w:val="2"/>
          <w:szCs w:val="2"/>
          <w:highlight w:val="none"/>
        </w:rPr>
      </w:pPr>
    </w:p>
    <w:p>
      <w:pPr>
        <w:pStyle w:val="33"/>
        <w:keepNext/>
        <w:keepLines/>
        <w:spacing w:beforeLines="50" w:after="0" w:line="360" w:lineRule="exact"/>
        <w:ind w:firstLine="422" w:firstLineChars="200"/>
        <w:jc w:val="center"/>
        <w:outlineLvl w:val="9"/>
        <w:rPr>
          <w:b/>
          <w:bCs/>
          <w:color w:val="auto"/>
          <w:sz w:val="21"/>
          <w:szCs w:val="21"/>
          <w:highlight w:val="none"/>
          <w:lang w:val="en-US" w:eastAsia="zh-CN"/>
        </w:rPr>
      </w:pPr>
      <w:bookmarkStart w:id="387" w:name="_Toc17290"/>
      <w:bookmarkStart w:id="388" w:name="_Toc9081"/>
      <w:r>
        <w:rPr>
          <w:rFonts w:hint="eastAsia"/>
          <w:b/>
          <w:bCs/>
          <w:color w:val="auto"/>
          <w:sz w:val="21"/>
          <w:szCs w:val="21"/>
          <w:highlight w:val="none"/>
          <w:lang w:val="en-US" w:eastAsia="zh-CN"/>
        </w:rPr>
        <w:t>发包人提供的工程设备表（参考格式）</w:t>
      </w:r>
      <w:bookmarkEnd w:id="387"/>
      <w:bookmarkEnd w:id="388"/>
    </w:p>
    <w:tbl>
      <w:tblPr>
        <w:tblStyle w:val="22"/>
        <w:tblW w:w="9639" w:type="dxa"/>
        <w:jc w:val="center"/>
        <w:tblLayout w:type="fixed"/>
        <w:tblCellMar>
          <w:top w:w="0" w:type="dxa"/>
          <w:left w:w="108" w:type="dxa"/>
          <w:bottom w:w="0" w:type="dxa"/>
          <w:right w:w="108" w:type="dxa"/>
        </w:tblCellMar>
      </w:tblPr>
      <w:tblGrid>
        <w:gridCol w:w="814"/>
        <w:gridCol w:w="1673"/>
        <w:gridCol w:w="1420"/>
        <w:gridCol w:w="752"/>
        <w:gridCol w:w="1097"/>
        <w:gridCol w:w="1165"/>
        <w:gridCol w:w="1731"/>
        <w:gridCol w:w="987"/>
      </w:tblGrid>
      <w:tr>
        <w:tblPrEx>
          <w:tblCellMar>
            <w:top w:w="0" w:type="dxa"/>
            <w:left w:w="108" w:type="dxa"/>
            <w:bottom w:w="0" w:type="dxa"/>
            <w:right w:w="108" w:type="dxa"/>
          </w:tblCellMar>
        </w:tblPrEx>
        <w:trPr>
          <w:jc w:val="center"/>
        </w:trPr>
        <w:tc>
          <w:tcPr>
            <w:tcW w:w="814" w:type="dxa"/>
            <w:tcBorders>
              <w:top w:val="single" w:color="auto" w:sz="4" w:space="0"/>
              <w:left w:val="single" w:color="auto" w:sz="4" w:space="0"/>
            </w:tcBorders>
            <w:shd w:val="clear" w:color="auto" w:fill="FFFFFF"/>
          </w:tcPr>
          <w:p>
            <w:pPr>
              <w:pStyle w:val="36"/>
              <w:spacing w:after="0" w:line="360" w:lineRule="exact"/>
              <w:ind w:firstLine="0"/>
              <w:rPr>
                <w:color w:val="auto"/>
                <w:sz w:val="21"/>
                <w:szCs w:val="21"/>
                <w:highlight w:val="none"/>
              </w:rPr>
            </w:pPr>
            <w:r>
              <w:rPr>
                <w:color w:val="auto"/>
                <w:sz w:val="21"/>
                <w:szCs w:val="21"/>
                <w:highlight w:val="none"/>
              </w:rPr>
              <w:t>序</w:t>
            </w:r>
            <w:r>
              <w:rPr>
                <w:rFonts w:hint="eastAsia"/>
                <w:color w:val="auto"/>
                <w:sz w:val="21"/>
                <w:szCs w:val="21"/>
                <w:highlight w:val="none"/>
                <w:lang w:val="en-US" w:eastAsia="zh-CN"/>
              </w:rPr>
              <w:t>号</w:t>
            </w:r>
          </w:p>
        </w:tc>
        <w:tc>
          <w:tcPr>
            <w:tcW w:w="1673" w:type="dxa"/>
            <w:tcBorders>
              <w:top w:val="single" w:color="auto" w:sz="4" w:space="0"/>
              <w:left w:val="single" w:color="auto" w:sz="4" w:space="0"/>
            </w:tcBorders>
            <w:shd w:val="clear" w:color="auto" w:fill="FFFFFF"/>
          </w:tcPr>
          <w:p>
            <w:pPr>
              <w:pStyle w:val="36"/>
              <w:spacing w:after="0" w:line="360" w:lineRule="exact"/>
              <w:ind w:firstLine="0"/>
              <w:jc w:val="center"/>
              <w:rPr>
                <w:color w:val="auto"/>
                <w:sz w:val="21"/>
                <w:szCs w:val="21"/>
                <w:highlight w:val="none"/>
              </w:rPr>
            </w:pPr>
            <w:r>
              <w:rPr>
                <w:rFonts w:hint="eastAsia"/>
                <w:color w:val="auto"/>
                <w:sz w:val="21"/>
                <w:szCs w:val="21"/>
                <w:highlight w:val="none"/>
                <w:lang w:val="en-US" w:eastAsia="zh-CN"/>
              </w:rPr>
              <w:t>工程</w:t>
            </w:r>
            <w:r>
              <w:rPr>
                <w:color w:val="auto"/>
                <w:sz w:val="21"/>
                <w:szCs w:val="21"/>
                <w:highlight w:val="none"/>
              </w:rPr>
              <w:t>设备名称</w:t>
            </w:r>
          </w:p>
        </w:tc>
        <w:tc>
          <w:tcPr>
            <w:tcW w:w="1420" w:type="dxa"/>
            <w:tcBorders>
              <w:top w:val="single" w:color="auto" w:sz="4" w:space="0"/>
              <w:left w:val="single" w:color="auto" w:sz="4" w:space="0"/>
            </w:tcBorders>
            <w:shd w:val="clear" w:color="auto" w:fill="FFFFFF"/>
          </w:tcPr>
          <w:p>
            <w:pPr>
              <w:pStyle w:val="36"/>
              <w:spacing w:after="0" w:line="360" w:lineRule="exact"/>
              <w:ind w:firstLine="0"/>
              <w:rPr>
                <w:color w:val="auto"/>
                <w:sz w:val="21"/>
                <w:szCs w:val="21"/>
                <w:highlight w:val="none"/>
              </w:rPr>
            </w:pPr>
            <w:r>
              <w:rPr>
                <w:color w:val="auto"/>
                <w:sz w:val="21"/>
                <w:szCs w:val="21"/>
                <w:highlight w:val="none"/>
              </w:rPr>
              <w:t>型号及规格</w:t>
            </w:r>
          </w:p>
        </w:tc>
        <w:tc>
          <w:tcPr>
            <w:tcW w:w="752" w:type="dxa"/>
            <w:tcBorders>
              <w:top w:val="single" w:color="auto" w:sz="4" w:space="0"/>
              <w:left w:val="single" w:color="auto" w:sz="4" w:space="0"/>
            </w:tcBorders>
            <w:shd w:val="clear" w:color="auto" w:fill="FFFFFF"/>
          </w:tcPr>
          <w:p>
            <w:pPr>
              <w:pStyle w:val="36"/>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97" w:type="dxa"/>
            <w:tcBorders>
              <w:top w:val="single" w:color="auto" w:sz="4" w:space="0"/>
              <w:left w:val="single" w:color="auto" w:sz="4" w:space="0"/>
            </w:tcBorders>
            <w:shd w:val="clear" w:color="auto" w:fill="FFFFFF"/>
          </w:tcPr>
          <w:p>
            <w:pPr>
              <w:pStyle w:val="36"/>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交货地点</w:t>
            </w:r>
          </w:p>
        </w:tc>
        <w:tc>
          <w:tcPr>
            <w:tcW w:w="1165" w:type="dxa"/>
            <w:tcBorders>
              <w:top w:val="single" w:color="auto" w:sz="4" w:space="0"/>
              <w:left w:val="single" w:color="auto" w:sz="4" w:space="0"/>
            </w:tcBorders>
            <w:shd w:val="clear" w:color="auto" w:fill="FFFFFF"/>
          </w:tcPr>
          <w:p>
            <w:pPr>
              <w:pStyle w:val="36"/>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交货方式</w:t>
            </w:r>
          </w:p>
        </w:tc>
        <w:tc>
          <w:tcPr>
            <w:tcW w:w="1731" w:type="dxa"/>
            <w:tcBorders>
              <w:top w:val="single" w:color="auto" w:sz="4" w:space="0"/>
              <w:left w:val="single" w:color="auto" w:sz="4" w:space="0"/>
            </w:tcBorders>
            <w:shd w:val="clear" w:color="auto" w:fill="FFFFFF"/>
          </w:tcPr>
          <w:p>
            <w:pPr>
              <w:pStyle w:val="36"/>
              <w:spacing w:after="0" w:line="360" w:lineRule="exact"/>
              <w:ind w:firstLine="0"/>
              <w:rPr>
                <w:color w:val="auto"/>
                <w:sz w:val="21"/>
                <w:szCs w:val="21"/>
                <w:highlight w:val="none"/>
              </w:rPr>
            </w:pPr>
            <w:r>
              <w:rPr>
                <w:color w:val="auto"/>
                <w:sz w:val="21"/>
                <w:szCs w:val="21"/>
                <w:highlight w:val="none"/>
              </w:rPr>
              <w:t>计划移交日期</w:t>
            </w:r>
          </w:p>
        </w:tc>
        <w:tc>
          <w:tcPr>
            <w:tcW w:w="987" w:type="dxa"/>
            <w:tcBorders>
              <w:top w:val="single" w:color="auto" w:sz="4" w:space="0"/>
              <w:left w:val="single" w:color="auto" w:sz="4" w:space="0"/>
              <w:right w:val="single" w:color="auto" w:sz="4" w:space="0"/>
            </w:tcBorders>
            <w:shd w:val="clear" w:color="auto" w:fill="FFFFFF"/>
          </w:tcPr>
          <w:p>
            <w:pPr>
              <w:pStyle w:val="36"/>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jc w:val="center"/>
        </w:trPr>
        <w:tc>
          <w:tcPr>
            <w:tcW w:w="81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673" w:type="dxa"/>
            <w:tcBorders>
              <w:top w:val="single" w:color="auto" w:sz="4" w:space="0"/>
              <w:left w:val="single" w:color="auto" w:sz="4" w:space="0"/>
            </w:tcBorders>
            <w:shd w:val="clear" w:color="auto" w:fill="FFFFFF"/>
          </w:tcPr>
          <w:p>
            <w:pPr>
              <w:widowControl w:val="0"/>
              <w:spacing w:line="360" w:lineRule="exact"/>
              <w:jc w:val="center"/>
              <w:rPr>
                <w:color w:val="auto"/>
                <w:highlight w:val="none"/>
              </w:rPr>
            </w:pPr>
            <w:r>
              <w:rPr>
                <w:rFonts w:hint="eastAsia" w:eastAsia="宋体"/>
                <w:color w:val="auto"/>
                <w:highlight w:val="none"/>
              </w:rPr>
              <w:t>无</w:t>
            </w:r>
          </w:p>
        </w:tc>
        <w:tc>
          <w:tcPr>
            <w:tcW w:w="1420"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9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165"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3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87"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jc w:val="center"/>
        </w:trPr>
        <w:tc>
          <w:tcPr>
            <w:tcW w:w="81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67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420"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9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165"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3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87"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jc w:val="center"/>
        </w:trPr>
        <w:tc>
          <w:tcPr>
            <w:tcW w:w="814"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67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420"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5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9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165"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3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98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pStyle w:val="33"/>
        <w:keepNext/>
        <w:keepLines/>
        <w:spacing w:after="0" w:line="440" w:lineRule="exact"/>
        <w:jc w:val="both"/>
        <w:outlineLvl w:val="2"/>
        <w:rPr>
          <w:b/>
          <w:bCs/>
          <w:color w:val="auto"/>
          <w:sz w:val="28"/>
          <w:szCs w:val="28"/>
          <w:highlight w:val="none"/>
          <w:lang w:val="zh-CN" w:eastAsia="zh-CN"/>
        </w:rPr>
      </w:pPr>
      <w:bookmarkStart w:id="389" w:name="_Toc30599"/>
      <w:r>
        <w:rPr>
          <w:rFonts w:hint="eastAsia"/>
          <w:b/>
          <w:bCs/>
          <w:color w:val="auto"/>
          <w:sz w:val="28"/>
          <w:szCs w:val="28"/>
          <w:highlight w:val="none"/>
          <w:lang w:val="zh-CN" w:eastAsia="zh-CN"/>
        </w:rPr>
        <w:t>6</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施工设备和临时设施</w:t>
      </w:r>
      <w:bookmarkEnd w:id="389"/>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6.2  发包人提供的施工设备和临时设施</w:t>
      </w:r>
    </w:p>
    <w:p>
      <w:pPr>
        <w:pStyle w:val="30"/>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1）发包人提供的施工设备见下表。</w:t>
      </w:r>
    </w:p>
    <w:p>
      <w:pPr>
        <w:pStyle w:val="33"/>
        <w:keepNext/>
        <w:keepLines/>
        <w:spacing w:after="0" w:line="440" w:lineRule="exact"/>
        <w:ind w:firstLine="422" w:firstLineChars="200"/>
        <w:jc w:val="center"/>
        <w:outlineLvl w:val="9"/>
        <w:rPr>
          <w:b/>
          <w:bCs/>
          <w:color w:val="auto"/>
          <w:sz w:val="21"/>
          <w:szCs w:val="21"/>
          <w:highlight w:val="none"/>
          <w:lang w:val="en-US" w:eastAsia="zh-CN"/>
        </w:rPr>
      </w:pPr>
      <w:bookmarkStart w:id="390" w:name="_Toc27128"/>
      <w:r>
        <w:rPr>
          <w:rFonts w:hint="eastAsia"/>
          <w:b/>
          <w:bCs/>
          <w:color w:val="auto"/>
          <w:sz w:val="21"/>
          <w:szCs w:val="21"/>
          <w:highlight w:val="none"/>
          <w:lang w:val="en-US" w:eastAsia="zh-CN"/>
        </w:rPr>
        <w:t>发包人提供的施工设备表（参考格式）</w:t>
      </w:r>
      <w:bookmarkEnd w:id="390"/>
    </w:p>
    <w:tbl>
      <w:tblPr>
        <w:tblStyle w:val="22"/>
        <w:tblW w:w="9639" w:type="dxa"/>
        <w:jc w:val="center"/>
        <w:tblLayout w:type="fixed"/>
        <w:tblCellMar>
          <w:top w:w="0" w:type="dxa"/>
          <w:left w:w="108" w:type="dxa"/>
          <w:bottom w:w="0" w:type="dxa"/>
          <w:right w:w="108" w:type="dxa"/>
        </w:tblCellMar>
      </w:tblPr>
      <w:tblGrid>
        <w:gridCol w:w="759"/>
        <w:gridCol w:w="1728"/>
        <w:gridCol w:w="1349"/>
        <w:gridCol w:w="1111"/>
        <w:gridCol w:w="740"/>
        <w:gridCol w:w="1236"/>
        <w:gridCol w:w="1728"/>
        <w:gridCol w:w="988"/>
      </w:tblGrid>
      <w:tr>
        <w:tblPrEx>
          <w:tblCellMar>
            <w:top w:w="0" w:type="dxa"/>
            <w:left w:w="108" w:type="dxa"/>
            <w:bottom w:w="0" w:type="dxa"/>
            <w:right w:w="108" w:type="dxa"/>
          </w:tblCellMar>
        </w:tblPrEx>
        <w:trPr>
          <w:jc w:val="center"/>
        </w:trPr>
        <w:tc>
          <w:tcPr>
            <w:tcW w:w="793"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rPr>
                <w:color w:val="auto"/>
                <w:sz w:val="21"/>
                <w:szCs w:val="21"/>
                <w:highlight w:val="none"/>
              </w:rPr>
            </w:pPr>
            <w:r>
              <w:rPr>
                <w:rFonts w:hint="eastAsia"/>
                <w:color w:val="auto"/>
                <w:sz w:val="21"/>
                <w:szCs w:val="21"/>
                <w:highlight w:val="none"/>
              </w:rPr>
              <w:t>序号</w:t>
            </w:r>
          </w:p>
        </w:tc>
        <w:tc>
          <w:tcPr>
            <w:tcW w:w="1824"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jc w:val="center"/>
              <w:rPr>
                <w:color w:val="auto"/>
                <w:sz w:val="21"/>
                <w:szCs w:val="21"/>
                <w:highlight w:val="none"/>
              </w:rPr>
            </w:pPr>
            <w:r>
              <w:rPr>
                <w:rFonts w:hint="eastAsia"/>
                <w:color w:val="auto"/>
                <w:sz w:val="21"/>
                <w:szCs w:val="21"/>
                <w:highlight w:val="none"/>
              </w:rPr>
              <w:t>施工设备名称</w:t>
            </w:r>
          </w:p>
        </w:tc>
        <w:tc>
          <w:tcPr>
            <w:tcW w:w="1420"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rPr>
                <w:color w:val="auto"/>
                <w:sz w:val="21"/>
                <w:szCs w:val="21"/>
                <w:highlight w:val="none"/>
              </w:rPr>
            </w:pPr>
            <w:r>
              <w:rPr>
                <w:rFonts w:hint="eastAsia"/>
                <w:color w:val="auto"/>
                <w:sz w:val="21"/>
                <w:szCs w:val="21"/>
                <w:highlight w:val="none"/>
              </w:rPr>
              <w:t>型号及规格</w:t>
            </w:r>
          </w:p>
        </w:tc>
        <w:tc>
          <w:tcPr>
            <w:tcW w:w="1167"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jc w:val="center"/>
              <w:rPr>
                <w:color w:val="auto"/>
                <w:sz w:val="21"/>
                <w:szCs w:val="21"/>
                <w:highlight w:val="none"/>
              </w:rPr>
            </w:pPr>
            <w:r>
              <w:rPr>
                <w:rFonts w:hint="eastAsia"/>
                <w:color w:val="auto"/>
                <w:sz w:val="21"/>
                <w:szCs w:val="21"/>
                <w:highlight w:val="none"/>
              </w:rPr>
              <w:t>设备状况</w:t>
            </w:r>
          </w:p>
        </w:tc>
        <w:tc>
          <w:tcPr>
            <w:tcW w:w="772"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300"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jc w:val="center"/>
              <w:rPr>
                <w:color w:val="auto"/>
                <w:sz w:val="21"/>
                <w:szCs w:val="21"/>
                <w:highlight w:val="none"/>
              </w:rPr>
            </w:pPr>
            <w:r>
              <w:rPr>
                <w:rFonts w:hint="eastAsia"/>
                <w:color w:val="auto"/>
                <w:sz w:val="21"/>
                <w:szCs w:val="21"/>
                <w:highlight w:val="none"/>
              </w:rPr>
              <w:t>移交地点</w:t>
            </w:r>
          </w:p>
        </w:tc>
        <w:tc>
          <w:tcPr>
            <w:tcW w:w="1824" w:type="dxa"/>
            <w:tcBorders>
              <w:top w:val="single" w:color="auto" w:sz="4" w:space="0"/>
              <w:left w:val="single" w:color="auto" w:sz="4" w:space="0"/>
              <w:bottom w:val="single" w:color="auto" w:sz="4" w:space="0"/>
            </w:tcBorders>
            <w:shd w:val="clear" w:color="auto" w:fill="FFFFFF"/>
          </w:tcPr>
          <w:p>
            <w:pPr>
              <w:pStyle w:val="36"/>
              <w:spacing w:after="0" w:line="360" w:lineRule="exact"/>
              <w:ind w:firstLine="0"/>
              <w:rPr>
                <w:color w:val="auto"/>
                <w:sz w:val="21"/>
                <w:szCs w:val="21"/>
                <w:highlight w:val="none"/>
              </w:rPr>
            </w:pPr>
            <w:r>
              <w:rPr>
                <w:rFonts w:hint="eastAsia"/>
                <w:color w:val="auto"/>
                <w:sz w:val="21"/>
                <w:szCs w:val="21"/>
                <w:highlight w:val="none"/>
              </w:rPr>
              <w:t>计划移交日期</w:t>
            </w: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pStyle w:val="36"/>
              <w:spacing w:after="0" w:line="36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r>
              <w:rPr>
                <w:rFonts w:hint="eastAsia" w:eastAsia="宋体"/>
                <w:color w:val="auto"/>
                <w:highlight w:val="none"/>
              </w:rPr>
              <w:t>无</w:t>
            </w: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bl>
    <w:p>
      <w:pPr>
        <w:pStyle w:val="35"/>
        <w:spacing w:line="440" w:lineRule="exact"/>
        <w:ind w:firstLine="420" w:firstLineChars="200"/>
        <w:rPr>
          <w:color w:val="auto"/>
          <w:sz w:val="21"/>
          <w:szCs w:val="21"/>
          <w:highlight w:val="none"/>
          <w:lang w:val="en-US" w:eastAsia="zh-CN"/>
        </w:rPr>
      </w:pPr>
      <w:r>
        <w:rPr>
          <w:color w:val="auto"/>
          <w:sz w:val="21"/>
          <w:szCs w:val="21"/>
          <w:highlight w:val="none"/>
        </w:rPr>
        <w:t>注：设备状况栏内填写该设备的新旧程度、购进时间、已使用小时数和最近一次大修</w:t>
      </w:r>
      <w:r>
        <w:rPr>
          <w:rFonts w:hint="eastAsia"/>
          <w:color w:val="auto"/>
          <w:sz w:val="21"/>
          <w:szCs w:val="21"/>
          <w:highlight w:val="none"/>
          <w:lang w:val="en-US" w:eastAsia="zh-CN"/>
        </w:rPr>
        <w:t>时间</w:t>
      </w:r>
    </w:p>
    <w:p>
      <w:pPr>
        <w:pStyle w:val="35"/>
        <w:spacing w:line="440" w:lineRule="exact"/>
        <w:ind w:firstLine="420" w:firstLineChars="200"/>
        <w:rPr>
          <w:color w:val="auto"/>
          <w:sz w:val="21"/>
          <w:szCs w:val="21"/>
          <w:highlight w:val="none"/>
          <w:lang w:eastAsia="zh-CN"/>
        </w:rPr>
      </w:pPr>
      <w:r>
        <w:rPr>
          <w:rFonts w:hint="eastAsia"/>
          <w:color w:val="auto"/>
          <w:sz w:val="21"/>
          <w:szCs w:val="21"/>
          <w:highlight w:val="none"/>
          <w:lang w:val="zh-CN" w:eastAsia="zh-CN"/>
        </w:rPr>
        <w:t>（2）</w:t>
      </w:r>
      <w:r>
        <w:rPr>
          <w:rFonts w:hint="eastAsia"/>
          <w:color w:val="auto"/>
          <w:sz w:val="21"/>
          <w:szCs w:val="21"/>
          <w:highlight w:val="none"/>
        </w:rPr>
        <w:t>发包人提供的临时设施：</w:t>
      </w:r>
      <w:r>
        <w:rPr>
          <w:rFonts w:hint="eastAsia"/>
          <w:color w:val="auto"/>
          <w:sz w:val="21"/>
          <w:szCs w:val="21"/>
          <w:highlight w:val="none"/>
          <w:u w:val="single"/>
          <w:lang w:val="en-US" w:eastAsia="zh-CN"/>
        </w:rPr>
        <w:t xml:space="preserve"> </w:t>
      </w:r>
      <w:r>
        <w:rPr>
          <w:rFonts w:hint="eastAsia"/>
          <w:b/>
          <w:bCs/>
          <w:snapToGrid w:val="0"/>
          <w:color w:val="auto"/>
          <w:sz w:val="21"/>
          <w:szCs w:val="21"/>
          <w:highlight w:val="none"/>
          <w:u w:val="single"/>
          <w:lang w:val="zh-CN"/>
        </w:rPr>
        <w:t>发包人不提供临时设施，均由承包人自行解决，费用由承包人负责，包括道路及场外设施的修建、使用、维护及政策处理费用等。</w:t>
      </w:r>
    </w:p>
    <w:p>
      <w:pPr>
        <w:pStyle w:val="33"/>
        <w:keepNext/>
        <w:keepLines/>
        <w:spacing w:after="0" w:line="440" w:lineRule="exact"/>
        <w:jc w:val="both"/>
        <w:outlineLvl w:val="2"/>
        <w:rPr>
          <w:b/>
          <w:bCs/>
          <w:color w:val="auto"/>
          <w:sz w:val="28"/>
          <w:szCs w:val="28"/>
          <w:highlight w:val="none"/>
          <w:lang w:val="zh-CN" w:eastAsia="zh-CN"/>
        </w:rPr>
      </w:pPr>
      <w:bookmarkStart w:id="391" w:name="_Toc21380"/>
      <w:r>
        <w:rPr>
          <w:rFonts w:hint="eastAsia"/>
          <w:b/>
          <w:bCs/>
          <w:color w:val="auto"/>
          <w:sz w:val="28"/>
          <w:szCs w:val="28"/>
          <w:highlight w:val="none"/>
          <w:lang w:val="zh-CN" w:eastAsia="zh-CN"/>
        </w:rPr>
        <w:t>7</w:t>
      </w:r>
      <w:r>
        <w:rPr>
          <w:rFonts w:hint="eastAsia"/>
          <w:b/>
          <w:bCs/>
          <w:color w:val="auto"/>
          <w:sz w:val="21"/>
          <w:szCs w:val="21"/>
          <w:highlight w:val="none"/>
          <w:lang w:val="en-US" w:eastAsia="zh-CN" w:bidi="en-US"/>
        </w:rPr>
        <w:t xml:space="preserve">  </w:t>
      </w:r>
      <w:r>
        <w:rPr>
          <w:rFonts w:hint="eastAsia"/>
          <w:b/>
          <w:bCs/>
          <w:color w:val="auto"/>
          <w:sz w:val="28"/>
          <w:szCs w:val="28"/>
          <w:highlight w:val="none"/>
          <w:lang w:val="zh-CN" w:eastAsia="zh-CN"/>
        </w:rPr>
        <w:t>交通运输</w:t>
      </w:r>
      <w:bookmarkEnd w:id="391"/>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7.1  道路通行权和场外设施</w:t>
      </w:r>
    </w:p>
    <w:p>
      <w:pPr>
        <w:spacing w:line="440" w:lineRule="exact"/>
        <w:ind w:firstLine="420" w:firstLineChars="200"/>
        <w:rPr>
          <w:rFonts w:ascii="宋体" w:hAnsi="宋体" w:eastAsia="宋体" w:cs="宋体"/>
          <w:b/>
          <w:bCs/>
          <w:color w:val="auto"/>
          <w:highlight w:val="none"/>
          <w:u w:val="single"/>
          <w:lang w:val="zh-CN" w:eastAsia="zh-TW" w:bidi="zh-TW"/>
        </w:rPr>
      </w:pPr>
      <w:r>
        <w:rPr>
          <w:rFonts w:hint="eastAsia" w:ascii="宋体" w:hAnsi="宋体" w:eastAsia="宋体" w:cs="宋体"/>
          <w:color w:val="auto"/>
          <w:highlight w:val="none"/>
        </w:rPr>
        <w:t>道路通行权和场外设施的约定：</w:t>
      </w:r>
      <w:r>
        <w:rPr>
          <w:rFonts w:hint="eastAsia" w:ascii="宋体"/>
          <w:color w:val="auto"/>
          <w:sz w:val="20"/>
          <w:szCs w:val="20"/>
          <w:highlight w:val="none"/>
          <w:u w:val="single"/>
        </w:rPr>
        <w:t xml:space="preserve"> </w:t>
      </w:r>
      <w:r>
        <w:rPr>
          <w:rFonts w:hint="eastAsia" w:ascii="宋体" w:hAnsi="宋体" w:eastAsia="宋体" w:cs="宋体"/>
          <w:b/>
          <w:bCs/>
          <w:color w:val="auto"/>
          <w:highlight w:val="none"/>
          <w:u w:val="single"/>
          <w:lang w:val="zh-CN" w:eastAsia="zh-TW" w:bidi="zh-TW"/>
        </w:rPr>
        <w:t>按照通用合同条款执行 。</w:t>
      </w:r>
    </w:p>
    <w:p>
      <w:pPr>
        <w:pStyle w:val="33"/>
        <w:keepNext/>
        <w:keepLines/>
        <w:spacing w:after="0" w:line="440" w:lineRule="exact"/>
        <w:jc w:val="both"/>
        <w:outlineLvl w:val="2"/>
        <w:rPr>
          <w:b/>
          <w:bCs/>
          <w:color w:val="auto"/>
          <w:sz w:val="28"/>
          <w:szCs w:val="28"/>
          <w:highlight w:val="none"/>
          <w:lang w:val="zh-CN" w:eastAsia="zh-CN"/>
        </w:rPr>
      </w:pPr>
      <w:bookmarkStart w:id="392" w:name="_Toc28216"/>
      <w:r>
        <w:rPr>
          <w:rFonts w:hint="eastAsia"/>
          <w:b/>
          <w:bCs/>
          <w:color w:val="auto"/>
          <w:sz w:val="28"/>
          <w:szCs w:val="28"/>
          <w:highlight w:val="none"/>
          <w:lang w:val="zh-CN" w:eastAsia="zh-CN"/>
        </w:rPr>
        <w:t>8</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测量放线</w:t>
      </w:r>
      <w:bookmarkEnd w:id="392"/>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8.1  施工控制网</w:t>
      </w:r>
    </w:p>
    <w:p>
      <w:pPr>
        <w:spacing w:line="440" w:lineRule="exact"/>
        <w:ind w:firstLine="420" w:firstLineChars="200"/>
        <w:rPr>
          <w:rFonts w:ascii="宋体" w:hAnsi="宋体" w:eastAsia="宋体" w:cs="宋体"/>
          <w:b/>
          <w:bCs/>
          <w:color w:val="auto"/>
          <w:highlight w:val="none"/>
          <w:u w:val="single"/>
          <w:lang w:val="zh-CN" w:eastAsia="zh-TW" w:bidi="zh-TW"/>
        </w:rPr>
      </w:pPr>
      <w:r>
        <w:rPr>
          <w:rFonts w:hint="eastAsia"/>
          <w:b/>
          <w:bCs/>
          <w:color w:val="auto"/>
          <w:highlight w:val="none"/>
        </w:rPr>
        <w:t>8.</w:t>
      </w:r>
      <w:r>
        <w:rPr>
          <w:rFonts w:hint="eastAsia"/>
          <w:b/>
          <w:bCs/>
          <w:color w:val="auto"/>
          <w:highlight w:val="none"/>
          <w:lang w:bidi="en-US"/>
        </w:rPr>
        <w:t>1.</w:t>
      </w:r>
      <w:r>
        <w:rPr>
          <w:rFonts w:hint="eastAsia"/>
          <w:b/>
          <w:bCs/>
          <w:color w:val="auto"/>
          <w:highlight w:val="none"/>
        </w:rPr>
        <w:t>1</w:t>
      </w:r>
      <w:r>
        <w:rPr>
          <w:rFonts w:hint="eastAsia"/>
          <w:b/>
          <w:bCs/>
          <w:color w:val="auto"/>
          <w:highlight w:val="none"/>
          <w:lang w:bidi="en-US"/>
        </w:rPr>
        <w:t xml:space="preserve">  </w:t>
      </w:r>
      <w:r>
        <w:rPr>
          <w:rFonts w:hint="eastAsia"/>
          <w:color w:val="auto"/>
          <w:highlight w:val="none"/>
        </w:rPr>
        <w:t>施工控制网的约定：</w:t>
      </w:r>
      <w:r>
        <w:rPr>
          <w:rFonts w:hint="eastAsia" w:ascii="宋体" w:hAnsi="宋体" w:eastAsia="宋体" w:cs="宋体"/>
          <w:b/>
          <w:bCs/>
          <w:color w:val="auto"/>
          <w:highlight w:val="none"/>
          <w:u w:val="single"/>
          <w:lang w:val="zh-CN" w:eastAsia="zh-TW" w:bidi="zh-TW"/>
        </w:rPr>
        <w:t>本合同协议书签订后的14天内，发包人通过监理人向承包人提供测量基准点、基准线和水准点及其相关资料。</w:t>
      </w:r>
    </w:p>
    <w:p>
      <w:pPr>
        <w:pStyle w:val="33"/>
        <w:keepNext/>
        <w:keepLines/>
        <w:spacing w:after="0" w:line="440" w:lineRule="exact"/>
        <w:jc w:val="both"/>
        <w:outlineLvl w:val="2"/>
        <w:rPr>
          <w:b/>
          <w:bCs/>
          <w:color w:val="auto"/>
          <w:sz w:val="28"/>
          <w:szCs w:val="28"/>
          <w:highlight w:val="none"/>
          <w:lang w:val="zh-CN" w:eastAsia="zh-CN"/>
        </w:rPr>
      </w:pPr>
      <w:bookmarkStart w:id="393" w:name="_Toc2630"/>
      <w:r>
        <w:rPr>
          <w:rFonts w:hint="eastAsia"/>
          <w:b/>
          <w:bCs/>
          <w:color w:val="auto"/>
          <w:sz w:val="28"/>
          <w:szCs w:val="28"/>
          <w:highlight w:val="none"/>
          <w:lang w:val="zh-CN" w:eastAsia="zh-CN"/>
        </w:rPr>
        <w:t>9</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施工安全、治安保卫和环境保护</w:t>
      </w:r>
      <w:bookmarkEnd w:id="393"/>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9.1  发包人的施工安全责任</w:t>
      </w:r>
    </w:p>
    <w:p>
      <w:pPr>
        <w:pStyle w:val="30"/>
        <w:tabs>
          <w:tab w:val="left" w:pos="5072"/>
        </w:tabs>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9.1.4  </w:t>
      </w:r>
      <w:r>
        <w:rPr>
          <w:rFonts w:hint="eastAsia"/>
          <w:color w:val="auto"/>
          <w:sz w:val="21"/>
          <w:szCs w:val="21"/>
          <w:highlight w:val="none"/>
        </w:rPr>
        <w:t>发包人提供</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施工图 </w:t>
      </w:r>
      <w:r>
        <w:rPr>
          <w:rFonts w:hint="eastAsia"/>
          <w:color w:val="auto"/>
          <w:sz w:val="21"/>
          <w:szCs w:val="21"/>
          <w:highlight w:val="none"/>
          <w:lang w:val="zh-CN" w:eastAsia="zh-CN" w:bidi="zh-CN"/>
        </w:rPr>
        <w:t>资料，</w:t>
      </w:r>
      <w:r>
        <w:rPr>
          <w:rFonts w:hint="eastAsia"/>
          <w:color w:val="auto"/>
          <w:sz w:val="21"/>
          <w:szCs w:val="21"/>
          <w:highlight w:val="none"/>
        </w:rPr>
        <w:t>其余资料由承包人负责收集。</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9.2  承包人的施工安全责任</w:t>
      </w:r>
    </w:p>
    <w:p>
      <w:pPr>
        <w:spacing w:line="440" w:lineRule="exact"/>
        <w:ind w:right="248" w:firstLine="480"/>
        <w:rPr>
          <w:color w:val="auto"/>
          <w:highlight w:val="none"/>
        </w:rPr>
      </w:pPr>
      <w:r>
        <w:rPr>
          <w:rFonts w:hint="eastAsia"/>
          <w:b/>
          <w:bCs/>
          <w:color w:val="auto"/>
          <w:highlight w:val="none"/>
          <w:lang w:bidi="en-US"/>
        </w:rPr>
        <w:t xml:space="preserve">9.2.12  </w:t>
      </w:r>
      <w:r>
        <w:rPr>
          <w:rFonts w:hint="eastAsia"/>
          <w:color w:val="auto"/>
          <w:highlight w:val="none"/>
        </w:rPr>
        <w:t>下列工程应编制专项施工方案：</w:t>
      </w:r>
      <w:r>
        <w:rPr>
          <w:rFonts w:hint="eastAsia"/>
          <w:color w:val="auto"/>
          <w:highlight w:val="none"/>
          <w:u w:val="single"/>
        </w:rPr>
        <w:t xml:space="preserve"> </w:t>
      </w:r>
      <w:r>
        <w:rPr>
          <w:rFonts w:hint="eastAsia" w:ascii="宋体" w:hAnsi="宋体"/>
          <w:color w:val="auto"/>
          <w:highlight w:val="none"/>
          <w:u w:val="single"/>
        </w:rPr>
        <w:t>按监理人要求</w:t>
      </w:r>
      <w:r>
        <w:rPr>
          <w:rFonts w:hint="eastAsia" w:ascii="宋体" w:hAnsi="宋体"/>
          <w:color w:val="auto"/>
          <w:highlight w:val="none"/>
        </w:rPr>
        <w:t>。其中</w:t>
      </w:r>
      <w:r>
        <w:rPr>
          <w:rFonts w:hint="eastAsia" w:ascii="宋体" w:hAnsi="宋体"/>
          <w:color w:val="auto"/>
          <w:highlight w:val="none"/>
          <w:u w:val="single"/>
        </w:rPr>
        <w:t xml:space="preserve">  / </w:t>
      </w:r>
      <w:r>
        <w:rPr>
          <w:rFonts w:hint="eastAsia" w:ascii="宋体" w:hAnsi="宋体"/>
          <w:color w:val="auto"/>
          <w:highlight w:val="none"/>
        </w:rPr>
        <w:t>应组织专家论证和审查。</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9.7  文明工地</w:t>
      </w:r>
    </w:p>
    <w:p>
      <w:pPr>
        <w:spacing w:line="440" w:lineRule="exact"/>
        <w:ind w:firstLine="420" w:firstLineChars="200"/>
        <w:rPr>
          <w:color w:val="auto"/>
          <w:szCs w:val="24"/>
          <w:highlight w:val="none"/>
          <w:u w:val="single"/>
        </w:rPr>
      </w:pPr>
      <w:r>
        <w:rPr>
          <w:rFonts w:hint="eastAsia" w:ascii="宋体" w:hAnsi="宋体" w:eastAsia="宋体" w:cs="宋体"/>
          <w:color w:val="auto"/>
          <w:highlight w:val="none"/>
        </w:rPr>
        <w:t>本合同文明工地的约定：</w:t>
      </w:r>
      <w:r>
        <w:rPr>
          <w:rFonts w:hint="eastAsia" w:ascii="宋体" w:hAnsi="宋体" w:eastAsia="宋体" w:cs="宋体"/>
          <w:color w:val="auto"/>
          <w:highlight w:val="none"/>
          <w:u w:val="single"/>
        </w:rPr>
        <w:t xml:space="preserve"> </w:t>
      </w:r>
      <w:r>
        <w:rPr>
          <w:rFonts w:hint="eastAsia" w:ascii="宋体" w:hAnsi="宋体" w:eastAsia="宋体" w:cs="宋体"/>
          <w:b/>
          <w:bCs/>
          <w:color w:val="auto"/>
          <w:highlight w:val="none"/>
          <w:u w:val="single"/>
        </w:rPr>
        <w:t xml:space="preserve"> </w:t>
      </w:r>
      <w:r>
        <w:rPr>
          <w:rFonts w:hint="eastAsia" w:eastAsia="宋体"/>
          <w:b/>
          <w:bCs/>
          <w:color w:val="auto"/>
          <w:szCs w:val="24"/>
          <w:highlight w:val="none"/>
          <w:u w:val="single"/>
        </w:rPr>
        <w:t xml:space="preserve">/  </w:t>
      </w:r>
      <w:r>
        <w:rPr>
          <w:rFonts w:hint="eastAsia" w:eastAsia="宋体"/>
          <w:color w:val="auto"/>
          <w:szCs w:val="24"/>
          <w:highlight w:val="none"/>
          <w:u w:val="single"/>
        </w:rPr>
        <w:t xml:space="preserve"> </w:t>
      </w:r>
      <w:r>
        <w:rPr>
          <w:rFonts w:hint="eastAsia"/>
          <w:color w:val="auto"/>
          <w:szCs w:val="24"/>
          <w:highlight w:val="none"/>
        </w:rPr>
        <w:t>。</w:t>
      </w:r>
    </w:p>
    <w:p>
      <w:pPr>
        <w:spacing w:line="44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（补充）</w:t>
      </w:r>
      <w:bookmarkStart w:id="394" w:name="_Toc23305"/>
    </w:p>
    <w:p>
      <w:pPr>
        <w:spacing w:line="440" w:lineRule="exact"/>
        <w:rPr>
          <w:b/>
          <w:bCs/>
          <w:color w:val="auto"/>
          <w:sz w:val="28"/>
          <w:szCs w:val="28"/>
          <w:highlight w:val="none"/>
          <w:lang w:val="zh-CN"/>
        </w:rPr>
      </w:pPr>
      <w:r>
        <w:rPr>
          <w:rFonts w:hint="eastAsia"/>
          <w:b/>
          <w:bCs/>
          <w:color w:val="auto"/>
          <w:sz w:val="28"/>
          <w:szCs w:val="28"/>
          <w:highlight w:val="none"/>
          <w:lang w:val="zh-CN"/>
        </w:rPr>
        <w:t>11</w:t>
      </w:r>
      <w:r>
        <w:rPr>
          <w:rFonts w:hint="eastAsia"/>
          <w:b/>
          <w:bCs/>
          <w:color w:val="auto"/>
          <w:sz w:val="28"/>
          <w:szCs w:val="28"/>
          <w:highlight w:val="none"/>
        </w:rPr>
        <w:t xml:space="preserve">  </w:t>
      </w:r>
      <w:r>
        <w:rPr>
          <w:rFonts w:hint="eastAsia"/>
          <w:b/>
          <w:bCs/>
          <w:color w:val="auto"/>
          <w:sz w:val="28"/>
          <w:szCs w:val="28"/>
          <w:highlight w:val="none"/>
          <w:lang w:val="zh-CN"/>
        </w:rPr>
        <w:t>开工和完工</w:t>
      </w:r>
      <w:bookmarkEnd w:id="394"/>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11.4  异常恶劣的气候条件</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11.4.3  </w:t>
      </w:r>
      <w:r>
        <w:rPr>
          <w:rFonts w:hint="eastAsia"/>
          <w:color w:val="auto"/>
          <w:sz w:val="21"/>
          <w:szCs w:val="21"/>
          <w:highlight w:val="none"/>
        </w:rPr>
        <w:t>本合同工程界定异常恶劣的气候条件的范围为：</w:t>
      </w:r>
    </w:p>
    <w:p>
      <w:pPr>
        <w:spacing w:line="440" w:lineRule="exact"/>
        <w:ind w:left="547"/>
        <w:rPr>
          <w:rFonts w:ascii="宋体" w:hAnsi="宋体" w:eastAsia="宋体" w:cs="宋体"/>
          <w:color w:val="auto"/>
          <w:highlight w:val="none"/>
        </w:rPr>
      </w:pPr>
      <w:r>
        <w:rPr>
          <w:rFonts w:ascii="宋体" w:hAnsi="宋体" w:eastAsia="宋体" w:cs="宋体"/>
          <w:color w:val="auto"/>
          <w:spacing w:val="2"/>
          <w:highlight w:val="none"/>
        </w:rPr>
        <w:t>(1) 日降雨量大于</w:t>
      </w:r>
      <w:r>
        <w:rPr>
          <w:rFonts w:ascii="宋体" w:hAnsi="宋体" w:eastAsia="宋体" w:cs="宋体"/>
          <w:color w:val="auto"/>
          <w:spacing w:val="2"/>
          <w:highlight w:val="none"/>
          <w:u w:val="single"/>
        </w:rPr>
        <w:t xml:space="preserve"> </w:t>
      </w:r>
      <w:r>
        <w:rPr>
          <w:rFonts w:ascii="宋体" w:hAnsi="宋体" w:eastAsia="宋体" w:cs="宋体"/>
          <w:color w:val="auto"/>
          <w:spacing w:val="1"/>
          <w:highlight w:val="none"/>
          <w:u w:val="single"/>
        </w:rPr>
        <w:t xml:space="preserve">50 </w:t>
      </w:r>
      <w:r>
        <w:rPr>
          <w:rFonts w:ascii="宋体" w:hAnsi="宋体" w:eastAsia="宋体" w:cs="宋体"/>
          <w:color w:val="auto"/>
          <w:highlight w:val="none"/>
        </w:rPr>
        <w:t>mm</w:t>
      </w:r>
      <w:r>
        <w:rPr>
          <w:rFonts w:ascii="宋体" w:hAnsi="宋体" w:eastAsia="宋体" w:cs="宋体"/>
          <w:color w:val="auto"/>
          <w:spacing w:val="1"/>
          <w:highlight w:val="none"/>
        </w:rPr>
        <w:t xml:space="preserve"> 的雨日超过</w:t>
      </w:r>
      <w:r>
        <w:rPr>
          <w:rFonts w:ascii="宋体" w:hAnsi="宋体" w:eastAsia="宋体" w:cs="宋体"/>
          <w:color w:val="auto"/>
          <w:spacing w:val="1"/>
          <w:highlight w:val="none"/>
          <w:u w:val="single"/>
        </w:rPr>
        <w:t xml:space="preserve"> 1 </w:t>
      </w:r>
      <w:r>
        <w:rPr>
          <w:rFonts w:ascii="宋体" w:hAnsi="宋体" w:eastAsia="宋体" w:cs="宋体"/>
          <w:color w:val="auto"/>
          <w:spacing w:val="1"/>
          <w:highlight w:val="none"/>
        </w:rPr>
        <w:t>天。</w:t>
      </w:r>
    </w:p>
    <w:p>
      <w:pPr>
        <w:spacing w:line="440" w:lineRule="exact"/>
        <w:ind w:left="547"/>
        <w:rPr>
          <w:rFonts w:ascii="宋体" w:hAnsi="宋体" w:eastAsia="宋体" w:cs="宋体"/>
          <w:color w:val="auto"/>
          <w:highlight w:val="none"/>
        </w:rPr>
      </w:pPr>
      <w:r>
        <w:rPr>
          <w:rFonts w:ascii="宋体" w:hAnsi="宋体" w:eastAsia="宋体" w:cs="宋体"/>
          <w:color w:val="auto"/>
          <w:spacing w:val="2"/>
          <w:highlight w:val="none"/>
        </w:rPr>
        <w:t>(2) 风</w:t>
      </w:r>
      <w:r>
        <w:rPr>
          <w:rFonts w:ascii="宋体" w:hAnsi="宋体" w:eastAsia="宋体" w:cs="宋体"/>
          <w:color w:val="auto"/>
          <w:spacing w:val="1"/>
          <w:highlight w:val="none"/>
        </w:rPr>
        <w:t>速大于</w:t>
      </w:r>
      <w:r>
        <w:rPr>
          <w:rFonts w:ascii="宋体" w:hAnsi="宋体" w:eastAsia="宋体" w:cs="宋体"/>
          <w:color w:val="auto"/>
          <w:spacing w:val="1"/>
          <w:highlight w:val="none"/>
          <w:u w:val="single"/>
        </w:rPr>
        <w:t xml:space="preserve"> 1</w:t>
      </w:r>
      <w:r>
        <w:rPr>
          <w:rFonts w:hint="eastAsia" w:ascii="宋体" w:hAnsi="宋体" w:eastAsia="宋体" w:cs="宋体"/>
          <w:color w:val="auto"/>
          <w:spacing w:val="1"/>
          <w:highlight w:val="none"/>
          <w:u w:val="single"/>
        </w:rPr>
        <w:t>4</w:t>
      </w:r>
      <w:r>
        <w:rPr>
          <w:rFonts w:ascii="宋体" w:hAnsi="宋体" w:eastAsia="宋体" w:cs="宋体"/>
          <w:color w:val="auto"/>
          <w:spacing w:val="1"/>
          <w:highlight w:val="none"/>
          <w:u w:val="single"/>
        </w:rPr>
        <w:t xml:space="preserve"> </w:t>
      </w:r>
      <w:r>
        <w:rPr>
          <w:rFonts w:ascii="宋体" w:hAnsi="宋体" w:eastAsia="宋体" w:cs="宋体"/>
          <w:color w:val="auto"/>
          <w:highlight w:val="none"/>
        </w:rPr>
        <w:t>m</w:t>
      </w:r>
      <w:r>
        <w:rPr>
          <w:rFonts w:ascii="宋体" w:hAnsi="宋体" w:eastAsia="宋体" w:cs="宋体"/>
          <w:color w:val="auto"/>
          <w:spacing w:val="1"/>
          <w:highlight w:val="none"/>
        </w:rPr>
        <w:t>/</w:t>
      </w:r>
      <w:r>
        <w:rPr>
          <w:rFonts w:ascii="宋体" w:hAnsi="宋体" w:eastAsia="宋体" w:cs="宋体"/>
          <w:color w:val="auto"/>
          <w:highlight w:val="none"/>
        </w:rPr>
        <w:t>s</w:t>
      </w:r>
      <w:r>
        <w:rPr>
          <w:rFonts w:ascii="宋体" w:hAnsi="宋体" w:eastAsia="宋体" w:cs="宋体"/>
          <w:color w:val="auto"/>
          <w:spacing w:val="1"/>
          <w:highlight w:val="none"/>
        </w:rPr>
        <w:t xml:space="preserve"> 的</w:t>
      </w:r>
      <w:r>
        <w:rPr>
          <w:rFonts w:ascii="宋体" w:hAnsi="宋体" w:eastAsia="宋体" w:cs="宋体"/>
          <w:color w:val="auto"/>
          <w:spacing w:val="1"/>
          <w:highlight w:val="none"/>
          <w:u w:val="single"/>
        </w:rPr>
        <w:t xml:space="preserve"> 7 </w:t>
      </w:r>
      <w:r>
        <w:rPr>
          <w:rFonts w:ascii="宋体" w:hAnsi="宋体" w:eastAsia="宋体" w:cs="宋体"/>
          <w:color w:val="auto"/>
          <w:spacing w:val="1"/>
          <w:highlight w:val="none"/>
        </w:rPr>
        <w:t>级以上台风灾害。</w:t>
      </w:r>
    </w:p>
    <w:p>
      <w:pPr>
        <w:spacing w:line="440" w:lineRule="exact"/>
        <w:ind w:left="547"/>
        <w:rPr>
          <w:rFonts w:ascii="宋体" w:hAnsi="宋体" w:eastAsia="宋体" w:cs="宋体"/>
          <w:color w:val="auto"/>
          <w:highlight w:val="none"/>
        </w:rPr>
      </w:pPr>
      <w:r>
        <w:rPr>
          <w:rFonts w:ascii="宋体" w:hAnsi="宋体" w:eastAsia="宋体" w:cs="宋体"/>
          <w:color w:val="auto"/>
          <w:spacing w:val="6"/>
          <w:highlight w:val="none"/>
        </w:rPr>
        <w:t xml:space="preserve">(3) </w:t>
      </w:r>
      <w:r>
        <w:rPr>
          <w:rFonts w:ascii="宋体" w:hAnsi="宋体" w:eastAsia="宋体" w:cs="宋体"/>
          <w:color w:val="auto"/>
          <w:spacing w:val="5"/>
          <w:highlight w:val="none"/>
        </w:rPr>
        <w:t>日</w:t>
      </w:r>
      <w:r>
        <w:rPr>
          <w:rFonts w:ascii="宋体" w:hAnsi="宋体" w:eastAsia="宋体" w:cs="宋体"/>
          <w:color w:val="auto"/>
          <w:spacing w:val="3"/>
          <w:highlight w:val="none"/>
        </w:rPr>
        <w:t>气温超过</w:t>
      </w:r>
      <w:r>
        <w:rPr>
          <w:rFonts w:ascii="宋体" w:hAnsi="宋体" w:eastAsia="宋体" w:cs="宋体"/>
          <w:color w:val="auto"/>
          <w:spacing w:val="3"/>
          <w:highlight w:val="none"/>
          <w:u w:val="single"/>
        </w:rPr>
        <w:t xml:space="preserve"> 40 </w:t>
      </w:r>
      <w:r>
        <w:rPr>
          <w:rFonts w:ascii="宋体" w:hAnsi="宋体" w:eastAsia="宋体" w:cs="宋体"/>
          <w:color w:val="auto"/>
          <w:spacing w:val="3"/>
          <w:highlight w:val="none"/>
        </w:rPr>
        <w:t>℃的高温大于</w:t>
      </w:r>
      <w:r>
        <w:rPr>
          <w:rFonts w:ascii="宋体" w:hAnsi="宋体" w:eastAsia="宋体" w:cs="宋体"/>
          <w:color w:val="auto"/>
          <w:spacing w:val="3"/>
          <w:highlight w:val="none"/>
          <w:u w:val="single"/>
        </w:rPr>
        <w:t xml:space="preserve"> 3 </w:t>
      </w:r>
      <w:r>
        <w:rPr>
          <w:rFonts w:ascii="宋体" w:hAnsi="宋体" w:eastAsia="宋体" w:cs="宋体"/>
          <w:color w:val="auto"/>
          <w:spacing w:val="3"/>
          <w:highlight w:val="none"/>
        </w:rPr>
        <w:t>天。</w:t>
      </w:r>
    </w:p>
    <w:p>
      <w:pPr>
        <w:spacing w:line="440" w:lineRule="exact"/>
        <w:ind w:left="547"/>
        <w:rPr>
          <w:rFonts w:ascii="宋体" w:hAnsi="宋体" w:eastAsia="宋体" w:cs="宋体"/>
          <w:color w:val="auto"/>
          <w:highlight w:val="none"/>
        </w:rPr>
      </w:pPr>
      <w:r>
        <w:rPr>
          <w:rFonts w:ascii="宋体" w:hAnsi="宋体" w:eastAsia="宋体" w:cs="宋体"/>
          <w:color w:val="auto"/>
          <w:spacing w:val="6"/>
          <w:highlight w:val="none"/>
        </w:rPr>
        <w:t xml:space="preserve">(4) </w:t>
      </w:r>
      <w:r>
        <w:rPr>
          <w:rFonts w:ascii="宋体" w:hAnsi="宋体" w:eastAsia="宋体" w:cs="宋体"/>
          <w:color w:val="auto"/>
          <w:spacing w:val="5"/>
          <w:highlight w:val="none"/>
        </w:rPr>
        <w:t>日</w:t>
      </w:r>
      <w:r>
        <w:rPr>
          <w:rFonts w:ascii="宋体" w:hAnsi="宋体" w:eastAsia="宋体" w:cs="宋体"/>
          <w:color w:val="auto"/>
          <w:spacing w:val="3"/>
          <w:highlight w:val="none"/>
        </w:rPr>
        <w:t>气温低于</w:t>
      </w:r>
      <w:r>
        <w:rPr>
          <w:rFonts w:ascii="宋体" w:hAnsi="宋体" w:eastAsia="宋体" w:cs="宋体"/>
          <w:color w:val="auto"/>
          <w:spacing w:val="3"/>
          <w:highlight w:val="none"/>
          <w:u w:val="single"/>
        </w:rPr>
        <w:t xml:space="preserve"> -5 </w:t>
      </w:r>
      <w:r>
        <w:rPr>
          <w:rFonts w:ascii="宋体" w:hAnsi="宋体" w:eastAsia="宋体" w:cs="宋体"/>
          <w:color w:val="auto"/>
          <w:spacing w:val="3"/>
          <w:highlight w:val="none"/>
        </w:rPr>
        <w:t>℃的严寒大于</w:t>
      </w:r>
      <w:r>
        <w:rPr>
          <w:rFonts w:ascii="宋体" w:hAnsi="宋体" w:eastAsia="宋体" w:cs="宋体"/>
          <w:color w:val="auto"/>
          <w:spacing w:val="3"/>
          <w:highlight w:val="none"/>
          <w:u w:val="single"/>
        </w:rPr>
        <w:t xml:space="preserve"> 3 </w:t>
      </w:r>
      <w:r>
        <w:rPr>
          <w:rFonts w:ascii="宋体" w:hAnsi="宋体" w:eastAsia="宋体" w:cs="宋体"/>
          <w:color w:val="auto"/>
          <w:spacing w:val="3"/>
          <w:highlight w:val="none"/>
        </w:rPr>
        <w:t>天。</w:t>
      </w:r>
    </w:p>
    <w:p>
      <w:pPr>
        <w:spacing w:line="440" w:lineRule="exact"/>
        <w:ind w:left="547"/>
        <w:rPr>
          <w:rFonts w:ascii="宋体" w:hAnsi="宋体" w:eastAsia="宋体" w:cs="宋体"/>
          <w:color w:val="auto"/>
          <w:highlight w:val="none"/>
        </w:rPr>
      </w:pPr>
      <w:r>
        <w:rPr>
          <w:rFonts w:ascii="宋体" w:hAnsi="宋体" w:eastAsia="宋体" w:cs="宋体"/>
          <w:color w:val="auto"/>
          <w:spacing w:val="-4"/>
          <w:highlight w:val="none"/>
        </w:rPr>
        <w:t>(5</w:t>
      </w:r>
      <w:r>
        <w:rPr>
          <w:rFonts w:ascii="宋体" w:hAnsi="宋体" w:eastAsia="宋体" w:cs="宋体"/>
          <w:color w:val="auto"/>
          <w:spacing w:val="-3"/>
          <w:highlight w:val="none"/>
        </w:rPr>
        <w:t>)</w:t>
      </w:r>
      <w:r>
        <w:rPr>
          <w:rFonts w:ascii="宋体" w:hAnsi="宋体" w:eastAsia="宋体" w:cs="宋体"/>
          <w:color w:val="auto"/>
          <w:spacing w:val="-2"/>
          <w:highlight w:val="none"/>
        </w:rPr>
        <w:t xml:space="preserve"> 造成工程损失的冰雹和大雪灾害：</w:t>
      </w:r>
      <w:r>
        <w:rPr>
          <w:rFonts w:hint="eastAsia" w:ascii="宋体" w:hAnsi="宋体" w:eastAsia="宋体" w:cs="宋体"/>
          <w:color w:val="auto"/>
          <w:spacing w:val="-2"/>
          <w:highlight w:val="none"/>
          <w:u w:val="single"/>
        </w:rPr>
        <w:t xml:space="preserve"> / </w:t>
      </w:r>
      <w:r>
        <w:rPr>
          <w:rFonts w:ascii="宋体" w:hAnsi="宋体" w:eastAsia="宋体" w:cs="宋体"/>
          <w:color w:val="auto"/>
          <w:spacing w:val="-2"/>
          <w:highlight w:val="none"/>
        </w:rPr>
        <w:t>。</w:t>
      </w:r>
    </w:p>
    <w:p>
      <w:pPr>
        <w:spacing w:line="440" w:lineRule="exact"/>
        <w:ind w:left="547"/>
        <w:rPr>
          <w:rFonts w:ascii="宋体" w:hAnsi="宋体" w:eastAsia="宋体" w:cs="宋体"/>
          <w:color w:val="auto"/>
          <w:highlight w:val="none"/>
        </w:rPr>
      </w:pPr>
      <w:r>
        <w:rPr>
          <w:rFonts w:ascii="宋体" w:hAnsi="宋体" w:eastAsia="宋体" w:cs="宋体"/>
          <w:color w:val="auto"/>
          <w:spacing w:val="6"/>
          <w:highlight w:val="none"/>
        </w:rPr>
        <w:t>(</w:t>
      </w:r>
      <w:r>
        <w:rPr>
          <w:rFonts w:ascii="宋体" w:hAnsi="宋体" w:eastAsia="宋体" w:cs="宋体"/>
          <w:color w:val="auto"/>
          <w:spacing w:val="5"/>
          <w:highlight w:val="none"/>
        </w:rPr>
        <w:t>6) 其他异常恶劣气候灾害。</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11.5  承包人的工期延误</w:t>
      </w:r>
    </w:p>
    <w:p>
      <w:pPr>
        <w:pStyle w:val="30"/>
        <w:spacing w:after="0" w:line="44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逾期完工违约金表。</w:t>
      </w:r>
    </w:p>
    <w:p>
      <w:pPr>
        <w:pStyle w:val="35"/>
        <w:spacing w:beforeLines="50" w:line="360" w:lineRule="exact"/>
        <w:ind w:firstLine="422" w:firstLineChars="200"/>
        <w:jc w:val="center"/>
        <w:rPr>
          <w:b/>
          <w:bCs/>
          <w:color w:val="auto"/>
          <w:sz w:val="21"/>
          <w:szCs w:val="21"/>
          <w:highlight w:val="none"/>
        </w:rPr>
      </w:pPr>
      <w:r>
        <w:rPr>
          <w:rFonts w:hint="eastAsia"/>
          <w:b/>
          <w:bCs/>
          <w:color w:val="auto"/>
          <w:sz w:val="21"/>
          <w:szCs w:val="21"/>
          <w:highlight w:val="none"/>
        </w:rPr>
        <w:t>逾期完工违约金表</w:t>
      </w:r>
    </w:p>
    <w:tbl>
      <w:tblPr>
        <w:tblStyle w:val="22"/>
        <w:tblW w:w="9639" w:type="dxa"/>
        <w:jc w:val="center"/>
        <w:tblLayout w:type="fixed"/>
        <w:tblCellMar>
          <w:top w:w="0" w:type="dxa"/>
          <w:left w:w="108" w:type="dxa"/>
          <w:bottom w:w="0" w:type="dxa"/>
          <w:right w:w="108" w:type="dxa"/>
        </w:tblCellMar>
      </w:tblPr>
      <w:tblGrid>
        <w:gridCol w:w="761"/>
        <w:gridCol w:w="3041"/>
        <w:gridCol w:w="3592"/>
        <w:gridCol w:w="2245"/>
      </w:tblGrid>
      <w:tr>
        <w:tblPrEx>
          <w:tblCellMar>
            <w:top w:w="0" w:type="dxa"/>
            <w:left w:w="108" w:type="dxa"/>
            <w:bottom w:w="0" w:type="dxa"/>
            <w:right w:w="108" w:type="dxa"/>
          </w:tblCellMar>
        </w:tblPrEx>
        <w:trPr>
          <w:jc w:val="center"/>
        </w:trPr>
        <w:tc>
          <w:tcPr>
            <w:tcW w:w="77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309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项目及其说明</w:t>
            </w:r>
          </w:p>
        </w:tc>
        <w:tc>
          <w:tcPr>
            <w:tcW w:w="365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要求完工日期</w:t>
            </w: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违约金（元/天）</w:t>
            </w:r>
          </w:p>
        </w:tc>
      </w:tr>
      <w:tr>
        <w:tblPrEx>
          <w:tblCellMar>
            <w:top w:w="0" w:type="dxa"/>
            <w:left w:w="108" w:type="dxa"/>
            <w:bottom w:w="0" w:type="dxa"/>
            <w:right w:w="108" w:type="dxa"/>
          </w:tblCellMar>
        </w:tblPrEx>
        <w:trPr>
          <w:jc w:val="center"/>
        </w:trPr>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09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snapToGrid/>
                <w:color w:val="auto"/>
                <w:highlight w:val="none"/>
                <w:lang w:bidi="zh-TW"/>
              </w:rPr>
            </w:pPr>
            <w:r>
              <w:rPr>
                <w:rFonts w:hint="eastAsia" w:ascii="宋体"/>
                <w:b/>
                <w:bCs/>
                <w:color w:val="auto"/>
                <w:sz w:val="20"/>
                <w:szCs w:val="20"/>
                <w:highlight w:val="none"/>
              </w:rPr>
              <w:t>全部工程</w:t>
            </w:r>
          </w:p>
        </w:tc>
        <w:tc>
          <w:tcPr>
            <w:tcW w:w="36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7"/>
              <w:spacing w:line="360" w:lineRule="exact"/>
              <w:ind w:firstLine="0" w:firstLineChars="0"/>
              <w:rPr>
                <w:rFonts w:ascii="宋体" w:hAnsi="宋体" w:eastAsia="宋体" w:cs="宋体"/>
                <w:snapToGrid/>
                <w:color w:val="auto"/>
                <w:highlight w:val="none"/>
                <w:lang w:bidi="zh-TW"/>
              </w:rPr>
            </w:pP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400" w:lineRule="exact"/>
              <w:ind w:left="20" w:hanging="20" w:hangingChars="10"/>
              <w:jc w:val="center"/>
              <w:rPr>
                <w:rFonts w:ascii="宋体" w:hAnsi="宋体" w:eastAsia="宋体" w:cs="宋体"/>
                <w:color w:val="auto"/>
                <w:highlight w:val="none"/>
              </w:rPr>
            </w:pPr>
            <w:r>
              <w:rPr>
                <w:rFonts w:hint="eastAsia" w:ascii="宋体" w:eastAsia="宋体"/>
                <w:b/>
                <w:color w:val="auto"/>
                <w:sz w:val="20"/>
                <w:szCs w:val="24"/>
                <w:highlight w:val="none"/>
              </w:rPr>
              <w:t>1</w:t>
            </w:r>
            <w:r>
              <w:rPr>
                <w:rFonts w:hint="eastAsia" w:ascii="宋体"/>
                <w:b/>
                <w:color w:val="auto"/>
                <w:sz w:val="20"/>
                <w:szCs w:val="24"/>
                <w:highlight w:val="none"/>
              </w:rPr>
              <w:t>000</w:t>
            </w:r>
          </w:p>
        </w:tc>
      </w:tr>
    </w:tbl>
    <w:p>
      <w:pPr>
        <w:spacing w:line="440" w:lineRule="exact"/>
        <w:ind w:firstLine="420" w:firstLineChars="200"/>
        <w:rPr>
          <w:rFonts w:ascii="Times New Roman" w:hAnsi="Times New Roman"/>
          <w:color w:val="auto"/>
          <w:highlight w:val="none"/>
        </w:rPr>
      </w:pPr>
      <w:r>
        <w:rPr>
          <w:rFonts w:ascii="Times New Roman" w:hAnsi="Times New Roman"/>
          <w:color w:val="auto"/>
          <w:highlight w:val="none"/>
        </w:rPr>
        <w:t>(</w:t>
      </w:r>
      <w:r>
        <w:rPr>
          <w:rFonts w:ascii="Times New Roman" w:hAnsi="Times New Roman" w:eastAsia="Times New Roman"/>
          <w:color w:val="auto"/>
          <w:highlight w:val="none"/>
        </w:rPr>
        <w:t>2</w:t>
      </w:r>
      <w:r>
        <w:rPr>
          <w:rFonts w:ascii="Times New Roman" w:hAnsi="Times New Roman"/>
          <w:color w:val="auto"/>
          <w:highlight w:val="none"/>
        </w:rPr>
        <w:t>) 全部逾期完工违约金的总限额为不超过签约合同价的</w:t>
      </w:r>
      <w:r>
        <w:rPr>
          <w:rFonts w:hint="eastAsia" w:ascii="Times New Roman" w:hAnsi="Times New Roman" w:eastAsia="宋体"/>
          <w:b/>
          <w:bCs/>
          <w:color w:val="auto"/>
          <w:highlight w:val="none"/>
          <w:u w:val="single"/>
        </w:rPr>
        <w:t>2</w:t>
      </w:r>
      <w:r>
        <w:rPr>
          <w:rFonts w:ascii="Times New Roman" w:hAnsi="Times New Roman"/>
          <w:b/>
          <w:bCs/>
          <w:color w:val="auto"/>
          <w:highlight w:val="none"/>
          <w:u w:val="single"/>
        </w:rPr>
        <w:t>%</w:t>
      </w:r>
      <w:r>
        <w:rPr>
          <w:rFonts w:ascii="Times New Roman" w:hAnsi="Times New Roman"/>
          <w:color w:val="auto"/>
          <w:highlight w:val="none"/>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11.6  工期提前</w:t>
      </w:r>
    </w:p>
    <w:p>
      <w:pPr>
        <w:pStyle w:val="30"/>
        <w:tabs>
          <w:tab w:val="left" w:pos="6952"/>
        </w:tabs>
        <w:spacing w:after="0" w:line="440" w:lineRule="exact"/>
        <w:ind w:firstLine="420" w:firstLineChars="200"/>
        <w:rPr>
          <w:color w:val="auto"/>
          <w:sz w:val="21"/>
          <w:szCs w:val="21"/>
          <w:highlight w:val="none"/>
        </w:rPr>
      </w:pPr>
      <w:r>
        <w:rPr>
          <w:rFonts w:hint="eastAsia"/>
          <w:color w:val="auto"/>
          <w:sz w:val="21"/>
          <w:szCs w:val="21"/>
          <w:highlight w:val="none"/>
        </w:rPr>
        <w:t>工期提前的奖金约定：</w:t>
      </w:r>
      <w:r>
        <w:rPr>
          <w:rFonts w:hint="eastAsia"/>
          <w:b/>
          <w:bCs/>
          <w:color w:val="auto"/>
          <w:sz w:val="21"/>
          <w:szCs w:val="21"/>
          <w:highlight w:val="none"/>
          <w:u w:val="single"/>
          <w:lang w:val="en-US" w:eastAsia="zh-CN"/>
        </w:rPr>
        <w:t xml:space="preserve">无 </w:t>
      </w:r>
      <w:r>
        <w:rPr>
          <w:rFonts w:hint="eastAsia"/>
          <w:color w:val="auto"/>
          <w:sz w:val="21"/>
          <w:szCs w:val="21"/>
          <w:highlight w:val="none"/>
        </w:rPr>
        <w:t>。</w:t>
      </w:r>
    </w:p>
    <w:p>
      <w:pPr>
        <w:pStyle w:val="33"/>
        <w:keepNext/>
        <w:keepLines/>
        <w:spacing w:after="0" w:line="440" w:lineRule="exact"/>
        <w:jc w:val="both"/>
        <w:outlineLvl w:val="2"/>
        <w:rPr>
          <w:b/>
          <w:bCs/>
          <w:color w:val="auto"/>
          <w:sz w:val="28"/>
          <w:szCs w:val="28"/>
          <w:highlight w:val="none"/>
          <w:lang w:val="zh-CN" w:eastAsia="zh-CN"/>
        </w:rPr>
      </w:pPr>
      <w:bookmarkStart w:id="395" w:name="_Toc32169"/>
      <w:r>
        <w:rPr>
          <w:rFonts w:hint="eastAsia"/>
          <w:b/>
          <w:bCs/>
          <w:color w:val="auto"/>
          <w:sz w:val="28"/>
          <w:szCs w:val="28"/>
          <w:highlight w:val="none"/>
          <w:lang w:val="zh-CN" w:eastAsia="zh-CN"/>
        </w:rPr>
        <w:t>12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暂停施工</w:t>
      </w:r>
      <w:bookmarkEnd w:id="395"/>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12.1  承包人暂停施工的责任</w:t>
      </w:r>
    </w:p>
    <w:p>
      <w:pPr>
        <w:pStyle w:val="30"/>
        <w:tabs>
          <w:tab w:val="left" w:pos="8632"/>
        </w:tabs>
        <w:spacing w:after="0" w:line="440" w:lineRule="exact"/>
        <w:ind w:firstLine="420" w:firstLineChars="200"/>
        <w:rPr>
          <w:b/>
          <w:bCs/>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5</w:t>
      </w:r>
      <w:r>
        <w:rPr>
          <w:rFonts w:hint="eastAsia"/>
          <w:color w:val="auto"/>
          <w:sz w:val="21"/>
          <w:szCs w:val="21"/>
          <w:highlight w:val="none"/>
          <w:lang w:eastAsia="zh-CN"/>
        </w:rPr>
        <w:t>）</w:t>
      </w:r>
      <w:r>
        <w:rPr>
          <w:rFonts w:hint="eastAsia"/>
          <w:color w:val="auto"/>
          <w:sz w:val="21"/>
          <w:szCs w:val="21"/>
          <w:highlight w:val="none"/>
        </w:rPr>
        <w:t>承包人承担暂停施工责任的其他情形：</w:t>
      </w:r>
      <w:r>
        <w:rPr>
          <w:rFonts w:hint="eastAsia"/>
          <w:b/>
          <w:bCs/>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12.2  发包人暂停施工的责任</w:t>
      </w:r>
    </w:p>
    <w:p>
      <w:pPr>
        <w:pStyle w:val="30"/>
        <w:tabs>
          <w:tab w:val="left" w:pos="8632"/>
        </w:tabs>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发包人承担暂停施工责任的其他情形：</w:t>
      </w:r>
      <w:r>
        <w:rPr>
          <w:rFonts w:hint="eastAsia"/>
          <w:b/>
          <w:bCs/>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33"/>
        <w:keepNext/>
        <w:keepLines/>
        <w:spacing w:after="0" w:line="440" w:lineRule="exact"/>
        <w:jc w:val="both"/>
        <w:outlineLvl w:val="2"/>
        <w:rPr>
          <w:b/>
          <w:bCs/>
          <w:color w:val="auto"/>
          <w:sz w:val="28"/>
          <w:szCs w:val="28"/>
          <w:highlight w:val="none"/>
          <w:lang w:val="en-US" w:eastAsia="zh-CN"/>
        </w:rPr>
      </w:pPr>
      <w:bookmarkStart w:id="396" w:name="_Toc3071"/>
      <w:r>
        <w:rPr>
          <w:rFonts w:hint="eastAsia"/>
          <w:b/>
          <w:bCs/>
          <w:color w:val="auto"/>
          <w:sz w:val="28"/>
          <w:szCs w:val="28"/>
          <w:highlight w:val="none"/>
          <w:lang w:val="en-US" w:eastAsia="zh-CN"/>
        </w:rPr>
        <w:t>13  工程质量</w:t>
      </w:r>
      <w:bookmarkEnd w:id="396"/>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13.7  质量评定</w:t>
      </w:r>
    </w:p>
    <w:p>
      <w:pPr>
        <w:spacing w:line="440" w:lineRule="exact"/>
        <w:ind w:firstLine="422" w:firstLineChars="200"/>
        <w:rPr>
          <w:rFonts w:ascii="宋体" w:hAnsi="宋体" w:eastAsia="宋体" w:cs="宋体"/>
          <w:color w:val="auto"/>
          <w:highlight w:val="none"/>
          <w:lang w:bidi="en-US"/>
        </w:rPr>
      </w:pPr>
      <w:r>
        <w:rPr>
          <w:rFonts w:hint="eastAsia" w:ascii="宋体" w:hAnsi="宋体" w:eastAsia="宋体" w:cs="宋体"/>
          <w:b/>
          <w:bCs/>
          <w:color w:val="auto"/>
          <w:highlight w:val="none"/>
          <w:lang w:bidi="en-US"/>
        </w:rPr>
        <w:t>13.7.</w:t>
      </w:r>
      <w:r>
        <w:rPr>
          <w:rFonts w:hint="eastAsia" w:ascii="宋体" w:hAnsi="宋体" w:eastAsia="宋体" w:cs="宋体"/>
          <w:b/>
          <w:bCs/>
          <w:color w:val="auto"/>
          <w:highlight w:val="none"/>
        </w:rPr>
        <w:t>7</w:t>
      </w:r>
      <w:r>
        <w:rPr>
          <w:rFonts w:hint="eastAsia" w:cs="宋体"/>
          <w:b/>
          <w:bCs/>
          <w:color w:val="auto"/>
          <w:highlight w:val="none"/>
          <w:lang w:bidi="en-US"/>
        </w:rPr>
        <w:t xml:space="preserve">  </w:t>
      </w:r>
      <w:r>
        <w:rPr>
          <w:rFonts w:hint="eastAsia" w:ascii="宋体" w:hAnsi="宋体" w:eastAsia="宋体" w:cs="宋体"/>
          <w:color w:val="auto"/>
          <w:highlight w:val="none"/>
        </w:rPr>
        <w:t>工程质量等级标准为</w:t>
      </w:r>
      <w:r>
        <w:rPr>
          <w:rFonts w:hint="eastAsia" w:ascii="宋体" w:hAnsi="宋体" w:eastAsia="宋体" w:cs="宋体"/>
          <w:b/>
          <w:bCs/>
          <w:color w:val="auto"/>
          <w:highlight w:val="none"/>
          <w:u w:val="single"/>
        </w:rPr>
        <w:t xml:space="preserve"> </w:t>
      </w:r>
      <w:r>
        <w:rPr>
          <w:rFonts w:hint="eastAsia" w:asciiTheme="minorEastAsia" w:hAnsiTheme="minorEastAsia" w:eastAsiaTheme="minorEastAsia" w:cstheme="minorEastAsia"/>
          <w:color w:val="auto"/>
          <w:highlight w:val="none"/>
          <w:u w:val="single"/>
        </w:rPr>
        <w:t xml:space="preserve">合格 </w:t>
      </w:r>
      <w:r>
        <w:rPr>
          <w:rFonts w:hint="eastAsia" w:ascii="宋体" w:hAnsi="宋体" w:eastAsia="宋体" w:cs="宋体"/>
          <w:b/>
          <w:bCs/>
          <w:color w:val="auto"/>
          <w:highlight w:val="none"/>
          <w:u w:val="single"/>
        </w:rPr>
        <w:t xml:space="preserve"> </w:t>
      </w:r>
      <w:r>
        <w:rPr>
          <w:rFonts w:hint="eastAsia" w:ascii="宋体" w:hAnsi="宋体" w:eastAsia="宋体" w:cs="宋体"/>
          <w:i/>
          <w:iCs/>
          <w:color w:val="auto"/>
          <w:highlight w:val="none"/>
        </w:rPr>
        <w:t>，</w:t>
      </w:r>
      <w:r>
        <w:rPr>
          <w:rFonts w:hint="eastAsia" w:ascii="宋体" w:hAnsi="宋体" w:eastAsia="宋体" w:cs="宋体"/>
          <w:color w:val="auto"/>
          <w:highlight w:val="none"/>
        </w:rPr>
        <w:t>达到优良的奖金为</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lang w:bidi="en-US"/>
        </w:rPr>
        <w:t>。</w:t>
      </w:r>
    </w:p>
    <w:p>
      <w:pPr>
        <w:pStyle w:val="33"/>
        <w:keepNext/>
        <w:keepLines/>
        <w:spacing w:after="0" w:line="440" w:lineRule="exact"/>
        <w:jc w:val="both"/>
        <w:outlineLvl w:val="2"/>
        <w:rPr>
          <w:b/>
          <w:bCs/>
          <w:color w:val="auto"/>
          <w:sz w:val="28"/>
          <w:szCs w:val="28"/>
          <w:highlight w:val="none"/>
          <w:lang w:val="en-US" w:eastAsia="zh-CN"/>
        </w:rPr>
      </w:pPr>
      <w:bookmarkStart w:id="397" w:name="_Toc8073"/>
      <w:r>
        <w:rPr>
          <w:rFonts w:hint="eastAsia"/>
          <w:b/>
          <w:bCs/>
          <w:color w:val="auto"/>
          <w:sz w:val="28"/>
          <w:szCs w:val="28"/>
          <w:highlight w:val="none"/>
          <w:lang w:val="en-US" w:eastAsia="zh-CN"/>
        </w:rPr>
        <w:t>14  试验和检验</w:t>
      </w:r>
      <w:bookmarkEnd w:id="397"/>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14.1  材料、工程设备和工程的试验和检验</w:t>
      </w:r>
    </w:p>
    <w:p>
      <w:pPr>
        <w:pStyle w:val="30"/>
        <w:tabs>
          <w:tab w:val="left" w:pos="4548"/>
        </w:tabs>
        <w:spacing w:after="0" w:line="44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14.1.5  </w:t>
      </w:r>
      <w:r>
        <w:rPr>
          <w:rFonts w:hint="eastAsia"/>
          <w:color w:val="auto"/>
          <w:sz w:val="21"/>
          <w:szCs w:val="21"/>
          <w:highlight w:val="none"/>
        </w:rPr>
        <w:t>水工金属结构、启闭机及机电产品进场后的交货</w:t>
      </w:r>
      <w:r>
        <w:rPr>
          <w:rFonts w:hint="eastAsia"/>
          <w:color w:val="auto"/>
          <w:sz w:val="21"/>
          <w:szCs w:val="21"/>
          <w:highlight w:val="none"/>
          <w:lang w:eastAsia="zh-CN"/>
        </w:rPr>
        <w:t>检查和</w:t>
      </w:r>
      <w:r>
        <w:rPr>
          <w:rFonts w:hint="eastAsia"/>
          <w:color w:val="auto"/>
          <w:sz w:val="21"/>
          <w:szCs w:val="21"/>
          <w:highlight w:val="none"/>
        </w:rPr>
        <w:t>验收中</w:t>
      </w:r>
      <w:r>
        <w:rPr>
          <w:rFonts w:hint="eastAsia"/>
          <w:color w:val="auto"/>
          <w:sz w:val="21"/>
          <w:szCs w:val="21"/>
          <w:highlight w:val="none"/>
          <w:lang w:eastAsia="zh-CN"/>
        </w:rPr>
        <w:t>，</w:t>
      </w:r>
      <w:r>
        <w:rPr>
          <w:rFonts w:hint="eastAsia"/>
          <w:color w:val="auto"/>
          <w:sz w:val="21"/>
          <w:szCs w:val="21"/>
          <w:highlight w:val="none"/>
        </w:rPr>
        <w:t>承包人负责</w:t>
      </w:r>
      <w:r>
        <w:rPr>
          <w:rFonts w:hint="eastAsia"/>
          <w:b/>
          <w:bCs/>
          <w:color w:val="auto"/>
          <w:sz w:val="21"/>
          <w:szCs w:val="21"/>
          <w:highlight w:val="none"/>
          <w:u w:val="single"/>
          <w:lang w:eastAsia="zh-CN"/>
        </w:rPr>
        <w:t xml:space="preserve"> </w:t>
      </w:r>
      <w:r>
        <w:rPr>
          <w:rFonts w:hint="eastAsia"/>
          <w:b/>
          <w:bCs/>
          <w:color w:val="auto"/>
          <w:sz w:val="21"/>
          <w:szCs w:val="21"/>
          <w:highlight w:val="none"/>
          <w:u w:val="single"/>
          <w:lang w:val="en-US" w:eastAsia="zh-CN"/>
        </w:rPr>
        <w:t>/</w:t>
      </w:r>
      <w:r>
        <w:rPr>
          <w:rFonts w:hint="eastAsia"/>
          <w:b/>
          <w:bCs/>
          <w:color w:val="auto"/>
          <w:sz w:val="21"/>
          <w:szCs w:val="21"/>
          <w:highlight w:val="none"/>
          <w:u w:val="single"/>
          <w:lang w:eastAsia="zh-CN"/>
        </w:rPr>
        <w:t xml:space="preserve"> </w:t>
      </w:r>
      <w:r>
        <w:rPr>
          <w:rFonts w:hint="eastAsia"/>
          <w:i/>
          <w:iCs/>
          <w:color w:val="auto"/>
          <w:sz w:val="21"/>
          <w:szCs w:val="21"/>
          <w:highlight w:val="none"/>
          <w:lang w:eastAsia="zh-CN"/>
        </w:rPr>
        <w:t>。</w:t>
      </w:r>
    </w:p>
    <w:p>
      <w:pPr>
        <w:pStyle w:val="30"/>
        <w:tabs>
          <w:tab w:val="left" w:pos="11492"/>
        </w:tabs>
        <w:spacing w:after="0" w:line="44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14.1.6  </w:t>
      </w:r>
      <w:r>
        <w:rPr>
          <w:rFonts w:hint="eastAsia"/>
          <w:color w:val="auto"/>
          <w:sz w:val="21"/>
          <w:szCs w:val="21"/>
          <w:highlight w:val="none"/>
        </w:rPr>
        <w:t>本工程实行见证取样的试块、试件及有关材料：</w:t>
      </w:r>
      <w:r>
        <w:rPr>
          <w:rFonts w:hint="eastAsia"/>
          <w:b/>
          <w:bCs/>
          <w:color w:val="auto"/>
          <w:sz w:val="21"/>
          <w:szCs w:val="21"/>
          <w:highlight w:val="none"/>
          <w:u w:val="single"/>
          <w:lang w:val="en-US" w:eastAsia="zh-CN"/>
        </w:rPr>
        <w:t>按有关规定</w:t>
      </w:r>
      <w:r>
        <w:rPr>
          <w:rFonts w:hint="eastAsia"/>
          <w:b/>
          <w:bCs/>
          <w:color w:val="auto"/>
          <w:sz w:val="21"/>
          <w:szCs w:val="21"/>
          <w:highlight w:val="none"/>
          <w:u w:val="single"/>
          <w:lang w:eastAsia="zh-CN"/>
        </w:rPr>
        <w:t>。</w:t>
      </w:r>
      <w:r>
        <w:rPr>
          <w:rFonts w:hint="eastAsia"/>
          <w:color w:val="auto"/>
          <w:sz w:val="21"/>
          <w:szCs w:val="21"/>
          <w:highlight w:val="none"/>
          <w:lang w:eastAsia="zh-CN"/>
        </w:rPr>
        <w:t xml:space="preserve">         </w:t>
      </w:r>
    </w:p>
    <w:p>
      <w:pPr>
        <w:pStyle w:val="33"/>
        <w:keepNext/>
        <w:keepLines/>
        <w:spacing w:after="0" w:line="440" w:lineRule="exact"/>
        <w:jc w:val="both"/>
        <w:outlineLvl w:val="2"/>
        <w:rPr>
          <w:b/>
          <w:bCs/>
          <w:color w:val="auto"/>
          <w:sz w:val="28"/>
          <w:szCs w:val="28"/>
          <w:highlight w:val="none"/>
          <w:lang w:val="en-US" w:eastAsia="zh-CN"/>
        </w:rPr>
      </w:pPr>
      <w:bookmarkStart w:id="398" w:name="_Toc1462"/>
      <w:r>
        <w:rPr>
          <w:rFonts w:hint="eastAsia"/>
          <w:b/>
          <w:bCs/>
          <w:color w:val="auto"/>
          <w:sz w:val="28"/>
          <w:szCs w:val="28"/>
          <w:highlight w:val="none"/>
          <w:lang w:val="en-US" w:eastAsia="zh-CN"/>
        </w:rPr>
        <w:t>15  变更</w:t>
      </w:r>
      <w:bookmarkEnd w:id="398"/>
    </w:p>
    <w:p>
      <w:pPr>
        <w:spacing w:line="440" w:lineRule="exact"/>
        <w:ind w:left="16"/>
        <w:rPr>
          <w:rFonts w:ascii="宋体" w:hAnsi="宋体" w:eastAsia="宋体" w:cs="宋体"/>
          <w:b/>
          <w:bCs/>
          <w:snapToGrid/>
          <w:color w:val="auto"/>
          <w:highlight w:val="none"/>
          <w:lang w:bidi="en-US"/>
        </w:rPr>
      </w:pPr>
      <w:r>
        <w:rPr>
          <w:rFonts w:hint="eastAsia" w:ascii="宋体" w:hAnsi="宋体" w:eastAsia="宋体" w:cs="宋体"/>
          <w:b/>
          <w:bCs/>
          <w:snapToGrid/>
          <w:color w:val="auto"/>
          <w:highlight w:val="none"/>
          <w:lang w:bidi="en-US"/>
        </w:rPr>
        <w:t>15.1  变更的范围和内容</w:t>
      </w:r>
    </w:p>
    <w:p>
      <w:pPr>
        <w:spacing w:line="440" w:lineRule="exact"/>
        <w:ind w:firstLine="420" w:firstLineChars="200"/>
        <w:rPr>
          <w:color w:val="auto"/>
          <w:highlight w:val="none"/>
        </w:rPr>
      </w:pPr>
      <w:r>
        <w:rPr>
          <w:rFonts w:hint="eastAsia"/>
          <w:color w:val="auto"/>
          <w:highlight w:val="none"/>
        </w:rPr>
        <w:t>政府投资项目变更按《嵊州市政府及国有资金投资项目工程变更管理办法》嵊政办〔</w:t>
      </w:r>
      <w:r>
        <w:rPr>
          <w:color w:val="auto"/>
          <w:highlight w:val="none"/>
        </w:rPr>
        <w:t>20</w:t>
      </w:r>
      <w:r>
        <w:rPr>
          <w:rFonts w:hint="eastAsia"/>
          <w:color w:val="auto"/>
          <w:highlight w:val="none"/>
        </w:rPr>
        <w:t>21〕98号</w:t>
      </w:r>
      <w:r>
        <w:rPr>
          <w:rFonts w:hint="eastAsia" w:ascii="宋体" w:hAnsi="宋体" w:cs="宋体"/>
          <w:color w:val="auto"/>
          <w:highlight w:val="none"/>
        </w:rPr>
        <w:t>、《嵊州市政府投资项目水利工程变更实施细则》（嵊水电</w:t>
      </w:r>
      <w:r>
        <w:rPr>
          <w:rFonts w:hint="eastAsia" w:ascii="宋体" w:hAnsi="宋体" w:eastAsia="宋体" w:cs="宋体"/>
          <w:color w:val="auto"/>
          <w:highlight w:val="none"/>
          <w:lang w:val="en-US" w:eastAsia="zh-CN"/>
        </w:rPr>
        <w:t>【</w:t>
      </w:r>
      <w:r>
        <w:rPr>
          <w:rFonts w:hint="eastAsia" w:ascii="宋体" w:hAnsi="宋体" w:cs="宋体"/>
          <w:color w:val="auto"/>
          <w:highlight w:val="none"/>
        </w:rPr>
        <w:t>2022】70号）</w:t>
      </w:r>
      <w:r>
        <w:rPr>
          <w:rFonts w:hint="eastAsia"/>
          <w:color w:val="auto"/>
          <w:highlight w:val="none"/>
        </w:rPr>
        <w:t>文件执行。</w:t>
      </w:r>
    </w:p>
    <w:p>
      <w:pPr>
        <w:spacing w:line="440" w:lineRule="exact"/>
        <w:ind w:firstLine="420" w:firstLineChars="200"/>
        <w:rPr>
          <w:color w:val="auto"/>
          <w:highlight w:val="none"/>
        </w:rPr>
      </w:pPr>
      <w:r>
        <w:rPr>
          <w:color w:val="auto"/>
          <w:highlight w:val="none"/>
        </w:rPr>
        <w:t>删去本条款第（6）条全文，并代之以：</w:t>
      </w:r>
    </w:p>
    <w:p>
      <w:pPr>
        <w:numPr>
          <w:ilvl w:val="0"/>
          <w:numId w:val="1"/>
        </w:numPr>
        <w:spacing w:line="440" w:lineRule="exact"/>
        <w:ind w:firstLine="420" w:firstLineChars="200"/>
        <w:rPr>
          <w:rFonts w:ascii="宋体" w:hAnsi="宋体" w:eastAsia="宋体" w:cs="宋体"/>
          <w:b/>
          <w:bCs/>
          <w:snapToGrid/>
          <w:color w:val="auto"/>
          <w:highlight w:val="none"/>
          <w:lang w:bidi="en-US"/>
        </w:rPr>
      </w:pPr>
      <w:r>
        <w:rPr>
          <w:rFonts w:hint="eastAsia"/>
          <w:b/>
          <w:bCs/>
          <w:color w:val="auto"/>
          <w:highlight w:val="none"/>
        </w:rPr>
        <w:t>凡合价金额占签约合同总价2%及以上的分类分项清单项目其工程量增加或减少超过本项目工程数量15%及以上时，其超过本项目工程数量115%的工程量或减少后剩余部分工程量的相应单价由承包人按照本合同专用条款第15.4.3款约定重新组价，经发包人审定后，作为结算的依据</w:t>
      </w:r>
      <w:r>
        <w:rPr>
          <w:rFonts w:hint="eastAsia" w:ascii="宋体" w:hAnsi="宋体" w:eastAsia="宋体" w:cs="宋体"/>
          <w:b/>
          <w:bCs/>
          <w:snapToGrid/>
          <w:color w:val="auto"/>
          <w:highlight w:val="none"/>
          <w:lang w:bidi="en-US"/>
        </w:rPr>
        <w:t>。</w:t>
      </w:r>
    </w:p>
    <w:p>
      <w:pPr>
        <w:spacing w:line="440" w:lineRule="exact"/>
        <w:ind w:left="16"/>
        <w:rPr>
          <w:rFonts w:ascii="宋体" w:hAnsi="宋体" w:eastAsia="宋体" w:cs="宋体"/>
          <w:b/>
          <w:bCs/>
          <w:snapToGrid/>
          <w:color w:val="auto"/>
          <w:highlight w:val="none"/>
          <w:lang w:bidi="en-US"/>
        </w:rPr>
      </w:pPr>
      <w:r>
        <w:rPr>
          <w:rFonts w:hint="eastAsia" w:ascii="宋体" w:hAnsi="宋体" w:eastAsia="宋体" w:cs="宋体"/>
          <w:b/>
          <w:bCs/>
          <w:snapToGrid/>
          <w:color w:val="auto"/>
          <w:highlight w:val="none"/>
          <w:lang w:bidi="en-US"/>
        </w:rPr>
        <w:t>15.4  变更的估价原则</w:t>
      </w:r>
    </w:p>
    <w:p>
      <w:pPr>
        <w:spacing w:line="440" w:lineRule="exact"/>
        <w:ind w:firstLine="420" w:firstLineChars="200"/>
        <w:rPr>
          <w:color w:val="auto"/>
          <w:highlight w:val="none"/>
        </w:rPr>
      </w:pPr>
      <w:r>
        <w:rPr>
          <w:color w:val="auto"/>
          <w:highlight w:val="none"/>
        </w:rPr>
        <w:t>删去15.4.3项全文，并代之以：</w:t>
      </w:r>
    </w:p>
    <w:p>
      <w:pPr>
        <w:spacing w:line="440" w:lineRule="exact"/>
        <w:ind w:firstLine="420" w:firstLineChars="200"/>
        <w:rPr>
          <w:color w:val="auto"/>
          <w:highlight w:val="none"/>
        </w:rPr>
      </w:pPr>
      <w:r>
        <w:rPr>
          <w:rFonts w:hint="eastAsia"/>
          <w:color w:val="auto"/>
          <w:highlight w:val="none"/>
        </w:rPr>
        <w:t>因变更引起的价格调整按照本款约定处理。</w:t>
      </w:r>
    </w:p>
    <w:p>
      <w:pPr>
        <w:spacing w:line="440" w:lineRule="exact"/>
        <w:ind w:firstLine="420" w:firstLineChars="200"/>
        <w:rPr>
          <w:color w:val="auto"/>
          <w:highlight w:val="none"/>
        </w:rPr>
      </w:pPr>
      <w:r>
        <w:rPr>
          <w:rFonts w:hint="eastAsia"/>
          <w:color w:val="auto"/>
          <w:highlight w:val="none"/>
        </w:rPr>
        <w:t>15.4.1 已标价的工程量清单中有适用于变更工作的子目的，采用该子目的单价。</w:t>
      </w:r>
    </w:p>
    <w:p>
      <w:pPr>
        <w:spacing w:line="440" w:lineRule="exact"/>
        <w:ind w:firstLine="420" w:firstLineChars="200"/>
        <w:rPr>
          <w:color w:val="auto"/>
          <w:highlight w:val="none"/>
        </w:rPr>
      </w:pPr>
      <w:r>
        <w:rPr>
          <w:rFonts w:hint="eastAsia"/>
          <w:color w:val="auto"/>
          <w:highlight w:val="none"/>
        </w:rPr>
        <w:t>15.4.2 已标价的工程量清单中无适用于变更工作的子目，但有类似子目的，按照以下原则确定：</w:t>
      </w:r>
    </w:p>
    <w:p>
      <w:pPr>
        <w:spacing w:line="440" w:lineRule="exact"/>
        <w:ind w:firstLine="420" w:firstLineChars="200"/>
        <w:rPr>
          <w:color w:val="auto"/>
          <w:highlight w:val="none"/>
        </w:rPr>
      </w:pPr>
      <w:r>
        <w:rPr>
          <w:rFonts w:hint="eastAsia"/>
          <w:color w:val="auto"/>
          <w:highlight w:val="none"/>
        </w:rPr>
        <w:t>A、某种材料（或半成品或成品）等级、标准变化的，清单组合子目不变，仅调整不同的材料价格；</w:t>
      </w:r>
    </w:p>
    <w:p>
      <w:pPr>
        <w:spacing w:line="440" w:lineRule="exact"/>
        <w:ind w:firstLine="420" w:firstLineChars="200"/>
        <w:rPr>
          <w:color w:val="auto"/>
          <w:highlight w:val="none"/>
        </w:rPr>
      </w:pPr>
      <w:r>
        <w:rPr>
          <w:rFonts w:hint="eastAsia"/>
          <w:color w:val="auto"/>
          <w:highlight w:val="none"/>
        </w:rPr>
        <w:t>B、清单项目某一特征或工程内容变化，不影响其他特征及工程内容价格的，其他特征组合标准不变，仅调整发生变化的组合子目单价。</w:t>
      </w:r>
    </w:p>
    <w:p>
      <w:pPr>
        <w:spacing w:line="440" w:lineRule="exact"/>
        <w:ind w:firstLine="420" w:firstLineChars="200"/>
        <w:rPr>
          <w:color w:val="auto"/>
          <w:highlight w:val="none"/>
        </w:rPr>
      </w:pPr>
      <w:r>
        <w:rPr>
          <w:color w:val="auto"/>
          <w:highlight w:val="none"/>
        </w:rPr>
        <w:t>15.4.3 己标价工程量清单中无适用或类似子目的单价，重新组价</w:t>
      </w:r>
      <w:r>
        <w:rPr>
          <w:rFonts w:hint="eastAsia"/>
          <w:color w:val="auto"/>
          <w:highlight w:val="none"/>
        </w:rPr>
        <w:t>，组价的原则如下：</w:t>
      </w:r>
    </w:p>
    <w:p>
      <w:pPr>
        <w:spacing w:line="440" w:lineRule="exact"/>
        <w:ind w:firstLine="420" w:firstLineChars="200"/>
        <w:rPr>
          <w:color w:val="auto"/>
          <w:highlight w:val="none"/>
        </w:rPr>
      </w:pPr>
      <w:r>
        <w:rPr>
          <w:color w:val="auto"/>
          <w:highlight w:val="none"/>
        </w:rPr>
        <w:t xml:space="preserve">(1) 工程组价采用投标期浙江省现行水利定额和有关规定，其定额为： </w:t>
      </w:r>
    </w:p>
    <w:p>
      <w:pPr>
        <w:pStyle w:val="47"/>
        <w:snapToGrid w:val="0"/>
        <w:spacing w:line="440" w:lineRule="exact"/>
        <w:ind w:firstLine="420" w:firstLineChars="200"/>
        <w:rPr>
          <w:rFonts w:ascii="宋体" w:hAnsi="宋体" w:cs="宋体"/>
          <w:color w:val="auto"/>
          <w:highlight w:val="none"/>
        </w:rPr>
      </w:pPr>
      <w:r>
        <w:rPr>
          <w:rFonts w:hint="eastAsia" w:ascii="宋体" w:hAnsi="宋体" w:cs="宋体"/>
          <w:color w:val="auto"/>
          <w:highlight w:val="none"/>
        </w:rPr>
        <w:t>《浙江省水利水电工程</w:t>
      </w:r>
      <w:r>
        <w:rPr>
          <w:rFonts w:hint="eastAsia" w:ascii="宋体" w:hAnsi="宋体" w:cs="宋体"/>
          <w:color w:val="auto"/>
          <w:highlight w:val="none"/>
          <w:lang w:val="en-US" w:eastAsia="zh-CN"/>
        </w:rPr>
        <w:t>设计概（预）算编制规定</w:t>
      </w:r>
      <w:r>
        <w:rPr>
          <w:rFonts w:hint="eastAsia" w:ascii="宋体" w:hAnsi="宋体" w:cs="宋体"/>
          <w:color w:val="auto"/>
          <w:highlight w:val="none"/>
        </w:rPr>
        <w:t>》(2021版)、</w:t>
      </w:r>
      <w:r>
        <w:rPr>
          <w:rFonts w:hint="eastAsia" w:ascii="宋体" w:hAnsi="宋体" w:cs="宋体"/>
          <w:color w:val="auto"/>
          <w:highlight w:val="none"/>
          <w:lang w:eastAsia="zh-CN"/>
        </w:rPr>
        <w:t>《</w:t>
      </w:r>
      <w:r>
        <w:rPr>
          <w:rFonts w:hint="eastAsia" w:ascii="宋体" w:hAnsi="宋体" w:cs="宋体"/>
          <w:color w:val="auto"/>
          <w:highlight w:val="none"/>
          <w:lang w:val="en-US" w:eastAsia="zh-CN"/>
        </w:rPr>
        <w:t>浙江省水利工程工程量清单计价办法</w:t>
      </w:r>
      <w:r>
        <w:rPr>
          <w:rFonts w:hint="eastAsia" w:ascii="宋体" w:hAnsi="宋体" w:cs="宋体"/>
          <w:color w:val="auto"/>
          <w:highlight w:val="none"/>
          <w:lang w:eastAsia="zh-CN"/>
        </w:rPr>
        <w:t>》（</w:t>
      </w:r>
      <w:r>
        <w:rPr>
          <w:rFonts w:hint="eastAsia" w:ascii="宋体" w:hAnsi="宋体" w:cs="宋体"/>
          <w:color w:val="auto"/>
          <w:highlight w:val="none"/>
          <w:lang w:val="en-US" w:eastAsia="zh-CN"/>
        </w:rPr>
        <w:t>2022年版</w:t>
      </w:r>
      <w:r>
        <w:rPr>
          <w:rFonts w:hint="eastAsia" w:ascii="宋体" w:hAnsi="宋体" w:cs="宋体"/>
          <w:color w:val="auto"/>
          <w:highlight w:val="none"/>
          <w:lang w:eastAsia="zh-CN"/>
        </w:rPr>
        <w:t>）；</w:t>
      </w:r>
      <w:r>
        <w:rPr>
          <w:rFonts w:hint="eastAsia" w:ascii="宋体" w:hAnsi="宋体" w:cs="宋体"/>
          <w:color w:val="auto"/>
          <w:highlight w:val="none"/>
        </w:rPr>
        <w:t>《浙江省水利水电</w:t>
      </w:r>
      <w:r>
        <w:rPr>
          <w:rFonts w:hint="eastAsia" w:ascii="宋体" w:hAnsi="宋体" w:cs="宋体"/>
          <w:color w:val="auto"/>
          <w:highlight w:val="none"/>
          <w:lang w:val="en-US" w:eastAsia="zh-CN"/>
        </w:rPr>
        <w:t>建筑</w:t>
      </w:r>
      <w:r>
        <w:rPr>
          <w:rFonts w:hint="eastAsia" w:ascii="宋体" w:hAnsi="宋体" w:cs="宋体"/>
          <w:color w:val="auto"/>
          <w:highlight w:val="none"/>
        </w:rPr>
        <w:t>工程预算定额》(2021版</w:t>
      </w:r>
      <w:r>
        <w:rPr>
          <w:rFonts w:hint="eastAsia" w:ascii="宋体" w:hAnsi="宋体" w:cs="宋体"/>
          <w:color w:val="auto"/>
          <w:highlight w:val="none"/>
          <w:lang w:eastAsia="zh-CN"/>
        </w:rPr>
        <w:t>，</w:t>
      </w:r>
      <w:r>
        <w:rPr>
          <w:rFonts w:hint="eastAsia" w:ascii="宋体" w:hAnsi="宋体" w:cs="宋体"/>
          <w:color w:val="auto"/>
          <w:highlight w:val="none"/>
          <w:lang w:val="en-US" w:eastAsia="zh-CN"/>
        </w:rPr>
        <w:t>上、下册</w:t>
      </w:r>
      <w:r>
        <w:rPr>
          <w:rFonts w:hint="eastAsia" w:ascii="宋体" w:hAnsi="宋体" w:cs="宋体"/>
          <w:color w:val="auto"/>
          <w:highlight w:val="none"/>
        </w:rPr>
        <w:t>)</w:t>
      </w:r>
      <w:r>
        <w:rPr>
          <w:rFonts w:hint="eastAsia" w:ascii="宋体" w:hAnsi="宋体" w:cs="宋体"/>
          <w:color w:val="auto"/>
          <w:highlight w:val="none"/>
          <w:lang w:eastAsia="zh-CN"/>
        </w:rPr>
        <w:t>、《</w:t>
      </w:r>
      <w:r>
        <w:rPr>
          <w:rFonts w:hint="eastAsia" w:ascii="宋体" w:hAnsi="宋体" w:cs="宋体"/>
          <w:color w:val="auto"/>
          <w:highlight w:val="none"/>
          <w:lang w:val="en-US" w:eastAsia="zh-CN"/>
        </w:rPr>
        <w:t xml:space="preserve">浙江省水利水电工程施工机械台班费定额 </w:t>
      </w:r>
      <w:r>
        <w:rPr>
          <w:rFonts w:hint="eastAsia" w:ascii="宋体" w:hAnsi="宋体" w:cs="宋体"/>
          <w:color w:val="auto"/>
          <w:highlight w:val="none"/>
          <w:lang w:eastAsia="zh-CN"/>
        </w:rPr>
        <w:t>》</w:t>
      </w:r>
      <w:r>
        <w:rPr>
          <w:rFonts w:hint="eastAsia" w:ascii="宋体" w:hAnsi="宋体" w:cs="宋体"/>
          <w:color w:val="auto"/>
          <w:highlight w:val="none"/>
          <w:lang w:val="en-US" w:eastAsia="zh-CN"/>
        </w:rPr>
        <w:t>（2021年版）及有关补充定额、文件编制</w:t>
      </w:r>
      <w:r>
        <w:rPr>
          <w:rFonts w:hint="eastAsia" w:ascii="宋体" w:hAnsi="宋体" w:cs="宋体"/>
          <w:color w:val="auto"/>
          <w:highlight w:val="none"/>
        </w:rPr>
        <w:t>。</w:t>
      </w:r>
    </w:p>
    <w:p>
      <w:pPr>
        <w:tabs>
          <w:tab w:val="left" w:pos="4396"/>
        </w:tabs>
        <w:spacing w:line="440" w:lineRule="exact"/>
        <w:ind w:firstLine="420" w:firstLineChars="200"/>
        <w:outlineLvl w:val="0"/>
        <w:rPr>
          <w:rFonts w:asciiTheme="minorEastAsia" w:hAnsiTheme="minorEastAsia" w:eastAsiaTheme="minorEastAsia"/>
          <w:color w:val="auto"/>
          <w:highlight w:val="none"/>
        </w:rPr>
      </w:pPr>
      <w:r>
        <w:rPr>
          <w:rFonts w:asciiTheme="minorEastAsia" w:hAnsiTheme="minorEastAsia" w:eastAsiaTheme="minorEastAsia"/>
          <w:color w:val="auto"/>
          <w:highlight w:val="none"/>
        </w:rPr>
        <w:t>（</w:t>
      </w:r>
      <w:r>
        <w:rPr>
          <w:rFonts w:hint="eastAsia" w:asciiTheme="minorEastAsia" w:hAnsiTheme="minorEastAsia" w:eastAsiaTheme="minorEastAsia"/>
          <w:color w:val="auto"/>
          <w:highlight w:val="none"/>
          <w:lang w:val="en-US" w:eastAsia="zh-CN"/>
        </w:rPr>
        <w:t>2</w:t>
      </w:r>
      <w:r>
        <w:rPr>
          <w:rFonts w:asciiTheme="minorEastAsia" w:hAnsiTheme="minorEastAsia" w:eastAsiaTheme="minorEastAsia"/>
          <w:color w:val="auto"/>
          <w:highlight w:val="none"/>
        </w:rPr>
        <w:t>）上述单价按投标人投标报价综合优惠率同口径优惠；</w:t>
      </w:r>
    </w:p>
    <w:p>
      <w:pPr>
        <w:tabs>
          <w:tab w:val="left" w:pos="4396"/>
        </w:tabs>
        <w:spacing w:line="440" w:lineRule="exact"/>
        <w:ind w:firstLine="420" w:firstLineChars="200"/>
        <w:outlineLvl w:val="0"/>
        <w:rPr>
          <w:rFonts w:asciiTheme="minorEastAsia" w:hAnsiTheme="minorEastAsia" w:eastAsiaTheme="minorEastAsia"/>
          <w:color w:val="auto"/>
          <w:highlight w:val="none"/>
        </w:rPr>
      </w:pPr>
      <w:r>
        <w:rPr>
          <w:rFonts w:asciiTheme="minorEastAsia" w:hAnsiTheme="minorEastAsia" w:eastAsiaTheme="minorEastAsia"/>
          <w:color w:val="auto"/>
          <w:highlight w:val="none"/>
        </w:rPr>
        <w:t>综合优惠率=[1- (投标人投标价一预留金一暂估价)÷(本标段最高投标限价—预留金—暂估价)]×100%。</w:t>
      </w:r>
    </w:p>
    <w:p>
      <w:pPr>
        <w:pStyle w:val="13"/>
        <w:spacing w:line="440" w:lineRule="exact"/>
        <w:ind w:firstLine="420" w:firstLineChars="20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3</w:t>
      </w:r>
      <w:r>
        <w:rPr>
          <w:rFonts w:asciiTheme="minorEastAsia" w:hAnsiTheme="minorEastAsia" w:eastAsiaTheme="minorEastAsia"/>
          <w:color w:val="auto"/>
          <w:szCs w:val="21"/>
          <w:highlight w:val="none"/>
        </w:rPr>
        <w:t>）按照上述仍无法组价的，根据市场招标或询价确定。新增项目单价组价时材料价格优先</w:t>
      </w:r>
      <w:r>
        <w:rPr>
          <w:rFonts w:hint="eastAsia" w:asciiTheme="minorEastAsia" w:hAnsiTheme="minorEastAsia" w:eastAsiaTheme="minorEastAsia"/>
          <w:color w:val="auto"/>
          <w:szCs w:val="21"/>
          <w:highlight w:val="none"/>
        </w:rPr>
        <w:t>依次</w:t>
      </w:r>
      <w:r>
        <w:rPr>
          <w:rFonts w:asciiTheme="minorEastAsia" w:hAnsiTheme="minorEastAsia" w:eastAsiaTheme="minorEastAsia"/>
          <w:color w:val="auto"/>
          <w:szCs w:val="21"/>
          <w:highlight w:val="none"/>
        </w:rPr>
        <w:t>采用</w:t>
      </w:r>
      <w:r>
        <w:rPr>
          <w:rFonts w:hint="eastAsia" w:asciiTheme="minorEastAsia" w:hAnsiTheme="minorEastAsia" w:eastAsiaTheme="minorEastAsia"/>
          <w:color w:val="auto"/>
          <w:szCs w:val="21"/>
          <w:highlight w:val="none"/>
        </w:rPr>
        <w:t>编制工程招标预算所采用的月份</w:t>
      </w:r>
      <w:r>
        <w:rPr>
          <w:rFonts w:asciiTheme="minorEastAsia" w:hAnsiTheme="minorEastAsia" w:eastAsiaTheme="minorEastAsia"/>
          <w:color w:val="auto"/>
          <w:szCs w:val="21"/>
          <w:highlight w:val="none"/>
        </w:rPr>
        <w:t>《绍兴市建设工程造价管理信息》</w:t>
      </w:r>
      <w:r>
        <w:rPr>
          <w:rFonts w:hint="eastAsia" w:asciiTheme="minorEastAsia" w:hAnsiTheme="minorEastAsia" w:eastAsiaTheme="minorEastAsia"/>
          <w:color w:val="auto"/>
          <w:szCs w:val="21"/>
          <w:highlight w:val="none"/>
        </w:rPr>
        <w:t>、《浙江造价信息》（正刊）</w:t>
      </w:r>
      <w:r>
        <w:rPr>
          <w:rFonts w:asciiTheme="minorEastAsia" w:hAnsiTheme="minorEastAsia" w:eastAsiaTheme="minorEastAsia"/>
          <w:color w:val="auto"/>
          <w:szCs w:val="21"/>
          <w:highlight w:val="none"/>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r>
        <w:rPr>
          <w:rFonts w:hint="eastAsia" w:asciiTheme="minorEastAsia" w:hAnsiTheme="minorEastAsia" w:eastAsiaTheme="minorEastAsia"/>
          <w:color w:val="auto"/>
          <w:szCs w:val="21"/>
          <w:highlight w:val="none"/>
        </w:rPr>
        <w:t>最终单价以审计为准。</w:t>
      </w:r>
    </w:p>
    <w:p>
      <w:pPr>
        <w:spacing w:line="440" w:lineRule="exact"/>
        <w:rPr>
          <w:rFonts w:ascii="宋体" w:hAnsi="宋体"/>
          <w:color w:val="auto"/>
          <w:highlight w:val="none"/>
        </w:rPr>
      </w:pPr>
      <w:r>
        <w:rPr>
          <w:rFonts w:hint="eastAsia" w:ascii="宋体" w:hAnsi="宋体"/>
          <w:color w:val="auto"/>
          <w:highlight w:val="none"/>
        </w:rPr>
        <w:t xml:space="preserve">    (</w:t>
      </w:r>
      <w:r>
        <w:rPr>
          <w:rFonts w:hint="eastAsia" w:ascii="宋体" w:hAnsi="宋体" w:eastAsia="宋体"/>
          <w:color w:val="auto"/>
          <w:highlight w:val="none"/>
          <w:lang w:val="en-US" w:eastAsia="zh-CN"/>
        </w:rPr>
        <w:t>4</w:t>
      </w:r>
      <w:r>
        <w:rPr>
          <w:rFonts w:hint="eastAsia" w:ascii="宋体" w:hAnsi="宋体"/>
          <w:color w:val="auto"/>
          <w:highlight w:val="none"/>
        </w:rPr>
        <w:t>)下列情况造价不得调整：</w:t>
      </w:r>
    </w:p>
    <w:p>
      <w:pPr>
        <w:spacing w:line="440" w:lineRule="exact"/>
        <w:ind w:firstLine="420" w:firstLineChars="200"/>
        <w:rPr>
          <w:color w:val="auto"/>
          <w:highlight w:val="none"/>
        </w:rPr>
      </w:pPr>
      <w:r>
        <w:rPr>
          <w:rFonts w:hint="eastAsia" w:ascii="宋体" w:hAnsi="宋体"/>
          <w:color w:val="auto"/>
          <w:highlight w:val="none"/>
        </w:rPr>
        <w:t>建设过程中遇政策性文件造价不予调整；</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15.5  承包人的合理化建议</w:t>
      </w:r>
    </w:p>
    <w:p>
      <w:pPr>
        <w:pStyle w:val="30"/>
        <w:tabs>
          <w:tab w:val="left" w:pos="9420"/>
        </w:tabs>
        <w:spacing w:after="0" w:line="44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15.5.2</w:t>
      </w:r>
      <w:r>
        <w:rPr>
          <w:rFonts w:hint="eastAsia"/>
          <w:color w:val="auto"/>
          <w:sz w:val="21"/>
          <w:szCs w:val="21"/>
          <w:highlight w:val="none"/>
        </w:rPr>
        <w:t>承包人实现合理化建议的奖励金额为：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15.8  暂估价</w:t>
      </w:r>
    </w:p>
    <w:p>
      <w:pPr>
        <w:pStyle w:val="30"/>
        <w:tabs>
          <w:tab w:val="left" w:pos="1323"/>
          <w:tab w:val="left" w:pos="2280"/>
        </w:tabs>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15.8.</w:t>
      </w:r>
      <w:r>
        <w:rPr>
          <w:rFonts w:hint="eastAsia"/>
          <w:b/>
          <w:bCs/>
          <w:color w:val="auto"/>
          <w:sz w:val="21"/>
          <w:szCs w:val="21"/>
          <w:highlight w:val="none"/>
        </w:rPr>
        <w:t>1</w:t>
      </w:r>
      <w:r>
        <w:rPr>
          <w:rFonts w:hint="eastAsia"/>
          <w:b/>
          <w:bCs/>
          <w:color w:val="auto"/>
          <w:sz w:val="21"/>
          <w:szCs w:val="21"/>
          <w:highlight w:val="none"/>
        </w:rPr>
        <w:tab/>
      </w:r>
      <w:r>
        <w:rPr>
          <w:rFonts w:hint="eastAsia"/>
          <w:color w:val="auto"/>
          <w:sz w:val="21"/>
          <w:szCs w:val="21"/>
          <w:highlight w:val="none"/>
          <w:lang w:eastAsia="zh-CN"/>
        </w:rPr>
        <w:t>（</w:t>
      </w:r>
      <w:r>
        <w:rPr>
          <w:rFonts w:hint="eastAsia"/>
          <w:color w:val="auto"/>
          <w:sz w:val="21"/>
          <w:szCs w:val="21"/>
          <w:highlight w:val="none"/>
        </w:rPr>
        <w:t>1）发包人和承包人组织招标的</w:t>
      </w:r>
      <w:r>
        <w:rPr>
          <w:rFonts w:hint="eastAsia"/>
          <w:color w:val="auto"/>
          <w:sz w:val="21"/>
          <w:szCs w:val="21"/>
          <w:highlight w:val="none"/>
          <w:lang w:val="en-US" w:eastAsia="zh-CN"/>
        </w:rPr>
        <w:t>暂</w:t>
      </w:r>
      <w:r>
        <w:rPr>
          <w:rFonts w:hint="eastAsia"/>
          <w:color w:val="auto"/>
          <w:sz w:val="21"/>
          <w:szCs w:val="21"/>
          <w:highlight w:val="none"/>
        </w:rPr>
        <w:t>估价项目：</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lang w:eastAsia="zh-CN"/>
        </w:rPr>
        <w:t>：</w:t>
      </w:r>
      <w:r>
        <w:rPr>
          <w:rFonts w:hint="eastAsia"/>
          <w:color w:val="auto"/>
          <w:sz w:val="21"/>
          <w:szCs w:val="21"/>
          <w:highlight w:val="none"/>
        </w:rPr>
        <w:t>发包人组织招标的暂估价项目</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rPr>
        <w:t>。</w:t>
      </w:r>
    </w:p>
    <w:p>
      <w:pPr>
        <w:pStyle w:val="30"/>
        <w:tabs>
          <w:tab w:val="left" w:pos="4116"/>
        </w:tabs>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2）发包人和承包人以招标方式选择暂估价项目供应商或分包人时，双方的权利义务关系：</w:t>
      </w:r>
      <w:r>
        <w:rPr>
          <w:rFonts w:hint="eastAsia"/>
          <w:color w:val="auto"/>
          <w:sz w:val="21"/>
          <w:szCs w:val="21"/>
          <w:highlight w:val="none"/>
          <w:u w:val="single"/>
          <w:lang w:eastAsia="zh-CN"/>
        </w:rPr>
        <w:t>（</w:t>
      </w:r>
      <w:r>
        <w:rPr>
          <w:rFonts w:hint="eastAsia"/>
          <w:color w:val="auto"/>
          <w:sz w:val="21"/>
          <w:szCs w:val="21"/>
          <w:highlight w:val="none"/>
          <w:u w:val="single"/>
        </w:rPr>
        <w:t>签约后填入）</w:t>
      </w:r>
    </w:p>
    <w:p>
      <w:pPr>
        <w:pStyle w:val="33"/>
        <w:keepNext/>
        <w:keepLines/>
        <w:spacing w:after="0" w:line="440" w:lineRule="exact"/>
        <w:jc w:val="both"/>
        <w:outlineLvl w:val="2"/>
        <w:rPr>
          <w:b/>
          <w:bCs/>
          <w:color w:val="auto"/>
          <w:sz w:val="28"/>
          <w:szCs w:val="28"/>
          <w:highlight w:val="none"/>
          <w:lang w:val="en-US" w:eastAsia="zh-CN"/>
        </w:rPr>
      </w:pPr>
      <w:bookmarkStart w:id="399" w:name="_Toc7039"/>
      <w:r>
        <w:rPr>
          <w:rFonts w:hint="eastAsia"/>
          <w:b/>
          <w:bCs/>
          <w:color w:val="auto"/>
          <w:sz w:val="28"/>
          <w:szCs w:val="28"/>
          <w:highlight w:val="none"/>
          <w:lang w:val="en-US" w:eastAsia="zh-CN"/>
        </w:rPr>
        <w:t>16  价格调整</w:t>
      </w:r>
      <w:bookmarkEnd w:id="399"/>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16.1  物价波动引起的价格调整</w:t>
      </w:r>
    </w:p>
    <w:p>
      <w:pPr>
        <w:pStyle w:val="30"/>
        <w:spacing w:after="0" w:line="440" w:lineRule="exact"/>
        <w:ind w:firstLine="420" w:firstLineChars="200"/>
        <w:rPr>
          <w:color w:val="auto"/>
          <w:sz w:val="21"/>
          <w:szCs w:val="21"/>
          <w:highlight w:val="none"/>
        </w:rPr>
      </w:pPr>
      <w:r>
        <w:rPr>
          <w:rFonts w:hint="eastAsia"/>
          <w:color w:val="auto"/>
          <w:sz w:val="21"/>
          <w:szCs w:val="21"/>
          <w:highlight w:val="none"/>
        </w:rPr>
        <w:t>物价波动引起的价格调整方式：</w:t>
      </w:r>
      <w:r>
        <w:rPr>
          <w:rFonts w:hint="eastAsia"/>
          <w:color w:val="auto"/>
          <w:sz w:val="21"/>
          <w:szCs w:val="21"/>
          <w:highlight w:val="none"/>
          <w:u w:val="single"/>
          <w:lang w:val="en-US" w:eastAsia="zh-CN"/>
        </w:rPr>
        <w:t xml:space="preserve"> 不调价 </w:t>
      </w:r>
      <w:r>
        <w:rPr>
          <w:rFonts w:hint="eastAsia"/>
          <w:color w:val="auto"/>
          <w:sz w:val="21"/>
          <w:szCs w:val="21"/>
          <w:highlight w:val="none"/>
        </w:rPr>
        <w:t>。</w:t>
      </w:r>
    </w:p>
    <w:p>
      <w:pPr>
        <w:spacing w:line="440" w:lineRule="exact"/>
        <w:ind w:firstLine="480"/>
        <w:rPr>
          <w:color w:val="auto"/>
          <w:highlight w:val="none"/>
        </w:rPr>
      </w:pPr>
      <w:r>
        <w:rPr>
          <w:rFonts w:hint="eastAsia"/>
          <w:b/>
          <w:bCs/>
          <w:color w:val="auto"/>
          <w:highlight w:val="none"/>
          <w:lang w:bidi="en-US"/>
        </w:rPr>
        <w:t>16.1.</w:t>
      </w:r>
      <w:r>
        <w:rPr>
          <w:rFonts w:hint="eastAsia"/>
          <w:b/>
          <w:bCs/>
          <w:color w:val="auto"/>
          <w:highlight w:val="none"/>
        </w:rPr>
        <w:t>2</w:t>
      </w:r>
      <w:r>
        <w:rPr>
          <w:rFonts w:hint="eastAsia"/>
          <w:b/>
          <w:bCs/>
          <w:color w:val="auto"/>
          <w:highlight w:val="none"/>
          <w:lang w:bidi="en-US"/>
        </w:rPr>
        <w:t xml:space="preserve">  </w:t>
      </w:r>
      <w:r>
        <w:rPr>
          <w:rFonts w:hint="eastAsia"/>
          <w:color w:val="auto"/>
          <w:highlight w:val="none"/>
        </w:rPr>
        <w:t>约定为：本项目主要材料、人工价格不作调整，</w:t>
      </w:r>
      <w:r>
        <w:rPr>
          <w:color w:val="auto"/>
          <w:highlight w:val="none"/>
        </w:rPr>
        <w:t>材料价格按当前的市场价考虑风险系数进入单价，在合同执行期内不作调整，价格风险由承包人自负。</w:t>
      </w:r>
    </w:p>
    <w:p>
      <w:pPr>
        <w:spacing w:line="440" w:lineRule="exact"/>
        <w:ind w:firstLine="480"/>
        <w:rPr>
          <w:color w:val="auto"/>
          <w:highlight w:val="none"/>
        </w:rPr>
      </w:pPr>
      <w:r>
        <w:rPr>
          <w:rFonts w:hint="eastAsia"/>
          <w:color w:val="auto"/>
          <w:highlight w:val="none"/>
        </w:rPr>
        <w:t>（2）因工期延误产生的人工、材料、施工机械台班等价格变化。</w:t>
      </w:r>
    </w:p>
    <w:p>
      <w:pPr>
        <w:spacing w:line="440" w:lineRule="exact"/>
        <w:ind w:firstLine="480"/>
        <w:rPr>
          <w:color w:val="auto"/>
          <w:highlight w:val="none"/>
        </w:rPr>
      </w:pPr>
      <w:r>
        <w:rPr>
          <w:rFonts w:hint="eastAsia"/>
          <w:color w:val="auto"/>
          <w:highlight w:val="none"/>
        </w:rPr>
        <w:t>1) 因发包方原因或者非承发包双方原因造成工期延误的，延误期间价格上涨造成的价差由发包人承担，价差（正值）计入工程造价；反之，价格下降造成的价差则由承包人收益，价差不计入（负值）工程造价。</w:t>
      </w:r>
    </w:p>
    <w:p>
      <w:pPr>
        <w:spacing w:line="440" w:lineRule="exact"/>
        <w:ind w:firstLine="480"/>
        <w:rPr>
          <w:rFonts w:eastAsiaTheme="minorEastAsia"/>
          <w:color w:val="auto"/>
          <w:highlight w:val="none"/>
        </w:rPr>
      </w:pPr>
      <w:r>
        <w:rPr>
          <w:rFonts w:hint="eastAsia"/>
          <w:color w:val="auto"/>
          <w:highlight w:val="none"/>
        </w:rPr>
        <w:t>2）因承包人原因造成工期延误的，延误期间价格上涨造成的价差由承包人承担，价差（正值）不计入工程造价；反之，价格下降造成的价差则由发包人收益，价差计入（负值）工程造价。</w:t>
      </w:r>
      <w:bookmarkStart w:id="400" w:name="_Toc16680"/>
    </w:p>
    <w:p>
      <w:pPr>
        <w:spacing w:line="440" w:lineRule="exact"/>
        <w:rPr>
          <w:rFonts w:eastAsiaTheme="minorEastAsia"/>
          <w:color w:val="auto"/>
          <w:highlight w:val="none"/>
        </w:rPr>
      </w:pPr>
    </w:p>
    <w:p>
      <w:pPr>
        <w:spacing w:line="440" w:lineRule="exact"/>
        <w:rPr>
          <w:b/>
          <w:bCs/>
          <w:color w:val="auto"/>
          <w:sz w:val="28"/>
          <w:szCs w:val="28"/>
          <w:highlight w:val="none"/>
        </w:rPr>
      </w:pPr>
      <w:r>
        <w:rPr>
          <w:rFonts w:hint="eastAsia"/>
          <w:b/>
          <w:bCs/>
          <w:color w:val="auto"/>
          <w:sz w:val="28"/>
          <w:szCs w:val="28"/>
          <w:highlight w:val="none"/>
        </w:rPr>
        <w:t>17  计量与支付</w:t>
      </w:r>
      <w:bookmarkEnd w:id="400"/>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17.2  预付款</w:t>
      </w:r>
    </w:p>
    <w:p>
      <w:pPr>
        <w:pStyle w:val="30"/>
        <w:spacing w:after="0" w:line="440" w:lineRule="exact"/>
        <w:ind w:firstLine="422" w:firstLineChars="200"/>
        <w:rPr>
          <w:b/>
          <w:bCs/>
          <w:color w:val="auto"/>
          <w:sz w:val="21"/>
          <w:szCs w:val="21"/>
          <w:highlight w:val="none"/>
        </w:rPr>
      </w:pPr>
      <w:r>
        <w:rPr>
          <w:rFonts w:hint="eastAsia"/>
          <w:b/>
          <w:bCs/>
          <w:color w:val="auto"/>
          <w:sz w:val="21"/>
          <w:szCs w:val="21"/>
          <w:highlight w:val="none"/>
          <w:lang w:val="en-US" w:eastAsia="zh-CN" w:bidi="en-US"/>
        </w:rPr>
        <w:t>17.2.</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b/>
          <w:bCs/>
          <w:color w:val="auto"/>
          <w:sz w:val="21"/>
          <w:szCs w:val="21"/>
          <w:highlight w:val="none"/>
        </w:rPr>
        <w:t>预付款</w:t>
      </w:r>
    </w:p>
    <w:p>
      <w:pPr>
        <w:spacing w:line="440" w:lineRule="exact"/>
        <w:ind w:firstLine="308" w:firstLineChars="147"/>
        <w:rPr>
          <w:rFonts w:ascii="宋体"/>
          <w:color w:val="auto"/>
          <w:highlight w:val="none"/>
        </w:rPr>
      </w:pPr>
      <w:r>
        <w:rPr>
          <w:rFonts w:hint="eastAsia" w:ascii="宋体"/>
          <w:color w:val="auto"/>
          <w:highlight w:val="none"/>
        </w:rPr>
        <w:t>17.2.1  预付款：</w:t>
      </w:r>
    </w:p>
    <w:p>
      <w:pPr>
        <w:spacing w:line="440" w:lineRule="exact"/>
        <w:ind w:firstLine="309" w:firstLineChars="147"/>
        <w:rPr>
          <w:rFonts w:ascii="宋体"/>
          <w:b/>
          <w:bCs/>
          <w:color w:val="auto"/>
          <w:highlight w:val="none"/>
        </w:rPr>
      </w:pPr>
      <w:r>
        <w:rPr>
          <w:rFonts w:hint="eastAsia" w:ascii="宋体" w:hAnsi="宋体"/>
          <w:b/>
          <w:bCs/>
          <w:color w:val="auto"/>
          <w:highlight w:val="none"/>
        </w:rPr>
        <w:t>（1）工程预付款的总金额为签约合同价（不含预留金）的</w:t>
      </w:r>
      <w:r>
        <w:rPr>
          <w:rFonts w:hint="eastAsia"/>
          <w:b/>
          <w:bCs/>
          <w:color w:val="auto"/>
          <w:sz w:val="20"/>
          <w:highlight w:val="none"/>
          <w:u w:val="single"/>
        </w:rPr>
        <w:t>10</w:t>
      </w:r>
      <w:r>
        <w:rPr>
          <w:rFonts w:hint="eastAsia" w:ascii="宋体" w:hAnsi="宋体"/>
          <w:b/>
          <w:bCs/>
          <w:color w:val="auto"/>
          <w:highlight w:val="none"/>
        </w:rPr>
        <w:t>％，</w:t>
      </w:r>
      <w:r>
        <w:rPr>
          <w:rFonts w:hint="eastAsia"/>
          <w:b/>
          <w:bCs/>
          <w:color w:val="auto"/>
          <w:highlight w:val="none"/>
          <w:u w:val="single"/>
        </w:rPr>
        <w:t>合同签订、开工通知发出，主要人员和机械设备进场并正式施工后,经监理工程师审核、发包人代表批准，支付预付款</w:t>
      </w:r>
      <w:r>
        <w:rPr>
          <w:rFonts w:hint="eastAsia" w:ascii="宋体" w:hAnsi="宋体"/>
          <w:b/>
          <w:bCs/>
          <w:color w:val="auto"/>
          <w:highlight w:val="none"/>
        </w:rPr>
        <w:t>。预付款包含安全施工费。</w:t>
      </w:r>
    </w:p>
    <w:p>
      <w:pPr>
        <w:spacing w:line="440" w:lineRule="exact"/>
        <w:ind w:firstLine="308" w:firstLineChars="147"/>
        <w:rPr>
          <w:rFonts w:ascii="宋体" w:hAnsi="宋体"/>
          <w:color w:val="auto"/>
          <w:highlight w:val="none"/>
        </w:rPr>
      </w:pPr>
      <w:r>
        <w:rPr>
          <w:rFonts w:hint="eastAsia" w:ascii="宋体" w:hAnsi="宋体"/>
          <w:color w:val="auto"/>
          <w:highlight w:val="none"/>
        </w:rPr>
        <w:t>（2）工程材料预付款的额度和预付办法约定为：</w:t>
      </w:r>
      <w:r>
        <w:rPr>
          <w:rFonts w:hint="eastAsia" w:ascii="宋体" w:hAnsi="宋体"/>
          <w:color w:val="auto"/>
          <w:highlight w:val="none"/>
          <w:u w:val="single"/>
        </w:rPr>
        <w:t xml:space="preserve">   /   </w:t>
      </w:r>
      <w:r>
        <w:rPr>
          <w:rFonts w:hint="eastAsia" w:ascii="宋体" w:hAnsi="宋体"/>
          <w:color w:val="auto"/>
          <w:highlight w:val="none"/>
        </w:rPr>
        <w:t>。</w:t>
      </w:r>
    </w:p>
    <w:p>
      <w:pPr>
        <w:spacing w:line="440" w:lineRule="exact"/>
        <w:ind w:firstLine="308" w:firstLineChars="147"/>
        <w:rPr>
          <w:rFonts w:ascii="宋体" w:hAnsi="宋体"/>
          <w:color w:val="auto"/>
          <w:highlight w:val="none"/>
        </w:rPr>
      </w:pPr>
      <w:r>
        <w:rPr>
          <w:rFonts w:hint="eastAsia" w:ascii="宋体" w:hAnsi="宋体"/>
          <w:color w:val="auto"/>
          <w:highlight w:val="none"/>
        </w:rPr>
        <w:t>17.2.2 预付款保函（担保）</w:t>
      </w:r>
    </w:p>
    <w:p>
      <w:pPr>
        <w:spacing w:line="440" w:lineRule="exact"/>
        <w:ind w:firstLine="308" w:firstLineChars="147"/>
        <w:rPr>
          <w:rFonts w:ascii="宋体" w:hAnsi="宋体"/>
          <w:color w:val="auto"/>
          <w:highlight w:val="none"/>
        </w:rPr>
      </w:pPr>
      <w:r>
        <w:rPr>
          <w:rFonts w:hint="eastAsia" w:ascii="宋体" w:hAnsi="宋体"/>
          <w:color w:val="auto"/>
          <w:highlight w:val="none"/>
        </w:rPr>
        <w:t>（2）工程材料预付款的担保约定为：</w:t>
      </w:r>
      <w:r>
        <w:rPr>
          <w:rFonts w:hint="eastAsia" w:ascii="宋体" w:hAnsi="宋体"/>
          <w:color w:val="auto"/>
          <w:highlight w:val="none"/>
          <w:u w:val="single"/>
        </w:rPr>
        <w:t xml:space="preserve">   /  </w:t>
      </w:r>
      <w:r>
        <w:rPr>
          <w:rFonts w:hint="eastAsia" w:ascii="宋体" w:hAnsi="宋体"/>
          <w:color w:val="auto"/>
          <w:highlight w:val="none"/>
        </w:rPr>
        <w:t>。</w:t>
      </w:r>
    </w:p>
    <w:p>
      <w:pPr>
        <w:spacing w:line="440" w:lineRule="exact"/>
        <w:ind w:firstLine="309" w:firstLineChars="147"/>
        <w:rPr>
          <w:rFonts w:ascii="宋体" w:hAnsi="宋体"/>
          <w:b/>
          <w:bCs/>
          <w:color w:val="auto"/>
          <w:highlight w:val="none"/>
        </w:rPr>
      </w:pPr>
      <w:r>
        <w:rPr>
          <w:rFonts w:hint="eastAsia" w:ascii="宋体" w:hAnsi="宋体"/>
          <w:b/>
          <w:bCs/>
          <w:color w:val="auto"/>
          <w:highlight w:val="none"/>
        </w:rPr>
        <w:t>17.2.3 预付款的扣回与还清</w:t>
      </w:r>
    </w:p>
    <w:p>
      <w:pPr>
        <w:spacing w:line="440" w:lineRule="exact"/>
        <w:rPr>
          <w:color w:val="auto"/>
          <w:highlight w:val="none"/>
          <w:u w:val="single"/>
          <w:lang w:val="zh-CN"/>
        </w:rPr>
      </w:pPr>
      <w:r>
        <w:rPr>
          <w:rFonts w:hint="eastAsia" w:ascii="宋体" w:hAnsi="宋体"/>
          <w:color w:val="auto"/>
          <w:highlight w:val="none"/>
        </w:rPr>
        <w:t xml:space="preserve">  （1）工程预付款在合同累计完成金额达到签约合同价（扣除预留金后）的30%时</w:t>
      </w:r>
      <w:r>
        <w:rPr>
          <w:rFonts w:hint="eastAsia" w:ascii="宋体" w:hAnsi="宋体" w:eastAsia="宋体"/>
          <w:color w:val="auto"/>
          <w:highlight w:val="none"/>
        </w:rPr>
        <w:t>一次性</w:t>
      </w:r>
      <w:r>
        <w:rPr>
          <w:rFonts w:hint="eastAsia" w:ascii="宋体" w:hAnsi="宋体"/>
          <w:color w:val="auto"/>
          <w:highlight w:val="none"/>
        </w:rPr>
        <w:t>扣</w:t>
      </w:r>
      <w:r>
        <w:rPr>
          <w:rFonts w:hint="eastAsia" w:ascii="宋体" w:hAnsi="宋体" w:eastAsia="宋体"/>
          <w:color w:val="auto"/>
          <w:highlight w:val="none"/>
        </w:rPr>
        <w:t>完</w:t>
      </w:r>
      <w:r>
        <w:rPr>
          <w:rFonts w:hint="eastAsia" w:ascii="宋体" w:hAnsi="宋体"/>
          <w:color w:val="auto"/>
          <w:highlight w:val="none"/>
        </w:rPr>
        <w:t>。</w:t>
      </w:r>
    </w:p>
    <w:p>
      <w:pPr>
        <w:spacing w:line="440" w:lineRule="exact"/>
        <w:rPr>
          <w:rFonts w:ascii="宋体" w:hAnsi="宋体"/>
          <w:color w:val="auto"/>
          <w:highlight w:val="none"/>
        </w:rPr>
      </w:pPr>
      <w:r>
        <w:rPr>
          <w:rFonts w:hint="eastAsia" w:ascii="宋体" w:hAnsi="宋体"/>
          <w:color w:val="auto"/>
          <w:highlight w:val="none"/>
        </w:rPr>
        <w:t xml:space="preserve">   （2）工程材料预付款的扣回与还清约定为：</w:t>
      </w:r>
      <w:r>
        <w:rPr>
          <w:rFonts w:hint="eastAsia" w:ascii="宋体" w:hAnsi="宋体"/>
          <w:color w:val="auto"/>
          <w:highlight w:val="none"/>
          <w:u w:val="single"/>
        </w:rPr>
        <w:t xml:space="preserve">  /   </w:t>
      </w:r>
      <w:r>
        <w:rPr>
          <w:rFonts w:hint="eastAsia" w:ascii="宋体" w:hAnsi="宋体"/>
          <w:color w:val="auto"/>
          <w:highlight w:val="none"/>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17.3  工程进度付款</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17.3.2  </w:t>
      </w:r>
      <w:r>
        <w:rPr>
          <w:rFonts w:hint="eastAsia"/>
          <w:color w:val="auto"/>
          <w:sz w:val="21"/>
          <w:szCs w:val="21"/>
          <w:highlight w:val="none"/>
        </w:rPr>
        <w:t>承包人在每个付款周期末向监理人提交进度付款申请单的份数</w:t>
      </w:r>
      <w:r>
        <w:rPr>
          <w:rFonts w:hint="eastAsia"/>
          <w:color w:val="auto"/>
          <w:sz w:val="21"/>
          <w:szCs w:val="21"/>
          <w:highlight w:val="none"/>
          <w:lang w:eastAsia="zh-CN"/>
        </w:rPr>
        <w:t>：</w:t>
      </w:r>
      <w:r>
        <w:rPr>
          <w:rFonts w:hint="eastAsia"/>
          <w:b/>
          <w:bCs/>
          <w:color w:val="auto"/>
          <w:sz w:val="21"/>
          <w:szCs w:val="21"/>
          <w:highlight w:val="none"/>
          <w:u w:val="single"/>
          <w:lang w:val="en-US" w:eastAsia="zh-CN" w:bidi="zh-CN"/>
        </w:rPr>
        <w:t xml:space="preserve"> 6 </w:t>
      </w:r>
      <w:r>
        <w:rPr>
          <w:rFonts w:hint="eastAsia"/>
          <w:color w:val="auto"/>
          <w:sz w:val="21"/>
          <w:szCs w:val="21"/>
          <w:highlight w:val="none"/>
        </w:rPr>
        <w:t>份。</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17.3.</w:t>
      </w:r>
      <w:r>
        <w:rPr>
          <w:rFonts w:hint="eastAsia"/>
          <w:b/>
          <w:bCs/>
          <w:color w:val="auto"/>
          <w:sz w:val="21"/>
          <w:szCs w:val="21"/>
          <w:highlight w:val="none"/>
        </w:rPr>
        <w:t>3</w:t>
      </w:r>
      <w:r>
        <w:rPr>
          <w:rFonts w:hint="eastAsia"/>
          <w:b/>
          <w:bCs/>
          <w:color w:val="auto"/>
          <w:sz w:val="21"/>
          <w:szCs w:val="21"/>
          <w:highlight w:val="none"/>
          <w:lang w:val="en-US" w:eastAsia="zh-CN" w:bidi="en-US"/>
        </w:rPr>
        <w:t xml:space="preserve">  </w:t>
      </w:r>
      <w:r>
        <w:rPr>
          <w:rFonts w:hint="eastAsia"/>
          <w:color w:val="auto"/>
          <w:sz w:val="21"/>
          <w:szCs w:val="21"/>
          <w:highlight w:val="none"/>
        </w:rPr>
        <w:t>进度付款证书和支付时间细化为</w:t>
      </w:r>
      <w:r>
        <w:rPr>
          <w:rFonts w:hint="eastAsia"/>
          <w:color w:val="auto"/>
          <w:sz w:val="21"/>
          <w:szCs w:val="21"/>
          <w:highlight w:val="none"/>
          <w:lang w:eastAsia="zh-CN"/>
        </w:rPr>
        <w:t>：</w:t>
      </w:r>
    </w:p>
    <w:p>
      <w:pPr>
        <w:spacing w:line="440" w:lineRule="exact"/>
        <w:ind w:firstLine="412" w:firstLineChars="196"/>
        <w:rPr>
          <w:b/>
          <w:color w:val="auto"/>
          <w:highlight w:val="none"/>
          <w:u w:val="single"/>
        </w:rPr>
      </w:pPr>
      <w:r>
        <w:rPr>
          <w:rFonts w:hint="eastAsia"/>
          <w:b/>
          <w:color w:val="auto"/>
          <w:highlight w:val="none"/>
          <w:u w:val="single"/>
        </w:rPr>
        <w:t>1、合同签订、开工通知发出，主要人员和机械设备进场并正式施工后,经监理工程师审核、发包人代表批准，支付预付款；2、当月完成的工作量经审核后，按审核造价的8</w:t>
      </w:r>
      <w:r>
        <w:rPr>
          <w:rFonts w:hint="eastAsia" w:eastAsia="宋体"/>
          <w:b/>
          <w:color w:val="auto"/>
          <w:highlight w:val="none"/>
          <w:u w:val="single"/>
        </w:rPr>
        <w:t>5</w:t>
      </w:r>
      <w:r>
        <w:rPr>
          <w:rFonts w:hint="eastAsia"/>
          <w:b/>
          <w:color w:val="auto"/>
          <w:highlight w:val="none"/>
          <w:u w:val="single"/>
        </w:rPr>
        <w:t>%支付进度款；</w:t>
      </w:r>
      <w:r>
        <w:rPr>
          <w:rFonts w:hint="eastAsia" w:eastAsia="宋体"/>
          <w:b/>
          <w:color w:val="auto"/>
          <w:highlight w:val="none"/>
          <w:u w:val="single"/>
        </w:rPr>
        <w:t>3</w:t>
      </w:r>
      <w:r>
        <w:rPr>
          <w:rFonts w:hint="eastAsia"/>
          <w:b/>
          <w:color w:val="auto"/>
          <w:highlight w:val="none"/>
          <w:u w:val="single"/>
        </w:rPr>
        <w:t>、工程资料归档后，工程结算由建设单位(或委托有资质的第三方中介机构)审定并经批复后(有主管部门的经主管部门批复)，支付至工程结算价的90%；</w:t>
      </w:r>
      <w:r>
        <w:rPr>
          <w:rFonts w:hint="eastAsia" w:eastAsia="宋体"/>
          <w:b/>
          <w:color w:val="auto"/>
          <w:highlight w:val="none"/>
          <w:u w:val="single"/>
        </w:rPr>
        <w:t>4</w:t>
      </w:r>
      <w:r>
        <w:rPr>
          <w:rFonts w:hint="eastAsia"/>
          <w:b/>
          <w:color w:val="auto"/>
          <w:highlight w:val="none"/>
          <w:u w:val="single"/>
        </w:rPr>
        <w:t>、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w:t>
      </w:r>
      <w:r>
        <w:rPr>
          <w:rFonts w:hint="eastAsia" w:eastAsia="宋体"/>
          <w:b/>
          <w:color w:val="auto"/>
          <w:highlight w:val="none"/>
          <w:u w:val="single"/>
        </w:rPr>
        <w:t>5</w:t>
      </w:r>
      <w:r>
        <w:rPr>
          <w:rFonts w:hint="eastAsia"/>
          <w:b/>
          <w:color w:val="auto"/>
          <w:highlight w:val="none"/>
          <w:u w:val="single"/>
        </w:rPr>
        <w:t>、余款1.5%为工程质量保修金（可以用保函替代），待保修期满复验合格最终交付后十四天内支付（不计息）。</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17.4  质量保证金</w:t>
      </w:r>
    </w:p>
    <w:p>
      <w:pPr>
        <w:pStyle w:val="30"/>
        <w:spacing w:after="0" w:line="440" w:lineRule="exact"/>
        <w:ind w:firstLine="422" w:firstLineChars="200"/>
        <w:rPr>
          <w:color w:val="auto"/>
          <w:sz w:val="21"/>
          <w:szCs w:val="21"/>
          <w:highlight w:val="none"/>
          <w:lang w:val="zh-CN"/>
        </w:rPr>
      </w:pPr>
      <w:r>
        <w:rPr>
          <w:rFonts w:hint="eastAsia"/>
          <w:b/>
          <w:bCs/>
          <w:color w:val="auto"/>
          <w:sz w:val="21"/>
          <w:szCs w:val="21"/>
          <w:highlight w:val="none"/>
          <w:lang w:val="en-US" w:eastAsia="zh-CN" w:bidi="en-US"/>
        </w:rPr>
        <w:t xml:space="preserve">17.4.1  </w:t>
      </w:r>
      <w:r>
        <w:rPr>
          <w:rFonts w:hint="eastAsia"/>
          <w:color w:val="auto"/>
          <w:sz w:val="21"/>
          <w:szCs w:val="21"/>
          <w:highlight w:val="none"/>
          <w:lang w:val="zh-CN"/>
        </w:rPr>
        <w:t>质量保证金</w:t>
      </w:r>
      <w:r>
        <w:rPr>
          <w:rFonts w:hint="eastAsia"/>
          <w:color w:val="auto"/>
          <w:sz w:val="21"/>
          <w:szCs w:val="21"/>
          <w:highlight w:val="none"/>
          <w:lang w:val="en-US" w:eastAsia="zh-CN"/>
        </w:rPr>
        <w:t>总</w:t>
      </w:r>
      <w:r>
        <w:rPr>
          <w:rFonts w:hint="eastAsia"/>
          <w:color w:val="auto"/>
          <w:sz w:val="21"/>
          <w:szCs w:val="21"/>
          <w:highlight w:val="none"/>
          <w:lang w:val="zh-CN"/>
        </w:rPr>
        <w:t>额度</w:t>
      </w:r>
      <w:r>
        <w:rPr>
          <w:rFonts w:hint="eastAsia"/>
          <w:color w:val="auto"/>
          <w:sz w:val="21"/>
          <w:szCs w:val="21"/>
          <w:highlight w:val="none"/>
          <w:lang w:val="en-US" w:eastAsia="zh-CN"/>
        </w:rPr>
        <w:t>为完工结算价款总额的</w:t>
      </w:r>
      <w:r>
        <w:rPr>
          <w:rFonts w:hint="eastAsia"/>
          <w:b/>
          <w:bCs/>
          <w:color w:val="auto"/>
          <w:sz w:val="21"/>
          <w:szCs w:val="21"/>
          <w:highlight w:val="none"/>
          <w:u w:val="single"/>
          <w:lang w:val="en-US" w:eastAsia="zh-CN" w:bidi="zh-CN"/>
        </w:rPr>
        <w:t xml:space="preserve"> 1.5 </w:t>
      </w:r>
      <w:r>
        <w:rPr>
          <w:rFonts w:hint="eastAsia"/>
          <w:color w:val="auto"/>
          <w:sz w:val="21"/>
          <w:szCs w:val="21"/>
          <w:highlight w:val="none"/>
        </w:rPr>
        <w:t>％</w:t>
      </w:r>
      <w:r>
        <w:rPr>
          <w:rFonts w:hint="eastAsia"/>
          <w:color w:val="auto"/>
          <w:sz w:val="21"/>
          <w:szCs w:val="21"/>
          <w:highlight w:val="none"/>
          <w:lang w:val="zh-CN"/>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17.5  完工结算</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17.5.</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完工付款</w:t>
      </w:r>
      <w:r>
        <w:rPr>
          <w:rFonts w:hint="eastAsia"/>
          <w:color w:val="auto"/>
          <w:sz w:val="21"/>
          <w:szCs w:val="21"/>
          <w:highlight w:val="none"/>
          <w:lang w:eastAsia="zh-CN"/>
        </w:rPr>
        <w:t>申请单</w:t>
      </w:r>
    </w:p>
    <w:p>
      <w:pPr>
        <w:spacing w:line="440" w:lineRule="exact"/>
        <w:ind w:firstLine="420"/>
        <w:rPr>
          <w:color w:val="auto"/>
          <w:highlight w:val="none"/>
        </w:rPr>
      </w:pPr>
      <w:r>
        <w:rPr>
          <w:rFonts w:hint="eastAsia"/>
          <w:color w:val="auto"/>
          <w:highlight w:val="none"/>
        </w:rPr>
        <w:t>（1）承包人应提交完工付款</w:t>
      </w:r>
      <w:r>
        <w:rPr>
          <w:rFonts w:hint="eastAsia" w:eastAsia="宋体"/>
          <w:color w:val="auto"/>
          <w:highlight w:val="none"/>
          <w:lang w:eastAsia="zh-CN"/>
        </w:rPr>
        <w:t>申请</w:t>
      </w:r>
      <w:r>
        <w:rPr>
          <w:rFonts w:hint="eastAsia"/>
          <w:color w:val="auto"/>
          <w:highlight w:val="none"/>
        </w:rPr>
        <w:t>单一式</w:t>
      </w:r>
      <w:r>
        <w:rPr>
          <w:rFonts w:hint="eastAsia"/>
          <w:b/>
          <w:bCs/>
          <w:color w:val="auto"/>
          <w:highlight w:val="none"/>
          <w:u w:val="single"/>
          <w:lang w:bidi="zh-CN"/>
        </w:rPr>
        <w:t xml:space="preserve"> 6 </w:t>
      </w:r>
      <w:r>
        <w:rPr>
          <w:rFonts w:hint="eastAsia"/>
          <w:color w:val="auto"/>
          <w:highlight w:val="none"/>
        </w:rPr>
        <w:t>份</w:t>
      </w:r>
    </w:p>
    <w:p>
      <w:pPr>
        <w:spacing w:line="440" w:lineRule="exact"/>
        <w:ind w:firstLine="420"/>
        <w:rPr>
          <w:rFonts w:ascii="宋体" w:hAnsi="宋体"/>
          <w:color w:val="auto"/>
          <w:highlight w:val="none"/>
        </w:rPr>
      </w:pPr>
      <w:r>
        <w:rPr>
          <w:rFonts w:hint="eastAsia" w:ascii="宋体" w:hAnsi="宋体"/>
          <w:color w:val="auto"/>
          <w:highlight w:val="none"/>
        </w:rPr>
        <w:t>增加（2）、（3）：</w:t>
      </w:r>
    </w:p>
    <w:p>
      <w:pPr>
        <w:spacing w:line="440" w:lineRule="exact"/>
        <w:ind w:firstLine="420" w:firstLineChars="200"/>
        <w:rPr>
          <w:rFonts w:ascii="宋体" w:hAnsi="宋体"/>
          <w:color w:val="auto"/>
          <w:highlight w:val="none"/>
        </w:rPr>
      </w:pPr>
      <w:r>
        <w:rPr>
          <w:rFonts w:hint="eastAsia" w:ascii="宋体" w:hAnsi="宋体"/>
          <w:color w:val="auto"/>
          <w:highlight w:val="none"/>
        </w:rPr>
        <w:t>(2)</w:t>
      </w:r>
      <w:r>
        <w:rPr>
          <w:rFonts w:hint="eastAsia" w:ascii="宋体" w:hAnsi="宋体" w:cs="楷体_GB2312"/>
          <w:color w:val="auto"/>
          <w:highlight w:val="none"/>
        </w:rPr>
        <w:t>工程价款的结算最终由建设单位 (或委托有资质的第三方中介机构) 审定并经批复后(有主管部门的经主管部门批复)的结论为准。</w:t>
      </w:r>
    </w:p>
    <w:p>
      <w:pPr>
        <w:spacing w:line="440" w:lineRule="exact"/>
        <w:ind w:firstLine="315" w:firstLineChars="150"/>
        <w:rPr>
          <w:rFonts w:ascii="宋体" w:hAnsi="宋体"/>
          <w:color w:val="auto"/>
          <w:highlight w:val="none"/>
        </w:rPr>
      </w:pPr>
      <w:r>
        <w:rPr>
          <w:rFonts w:hint="eastAsia" w:ascii="宋体" w:hAnsi="宋体"/>
          <w:color w:val="auto"/>
          <w:highlight w:val="none"/>
        </w:rPr>
        <w:t>（3）经审核，若承包人的结算造价与最终审计确定的结算造价有差异，导致增加核增核减部分的审计费用，该费用的分摊按下列规定：</w:t>
      </w:r>
    </w:p>
    <w:p>
      <w:pPr>
        <w:spacing w:line="440" w:lineRule="exact"/>
        <w:ind w:firstLine="420"/>
        <w:rPr>
          <w:rFonts w:ascii="宋体" w:hAnsi="宋体"/>
          <w:color w:val="auto"/>
          <w:highlight w:val="none"/>
        </w:rPr>
      </w:pPr>
      <w:r>
        <w:rPr>
          <w:rFonts w:hint="eastAsia" w:ascii="宋体" w:hAnsi="宋体"/>
          <w:color w:val="auto"/>
          <w:highlight w:val="none"/>
        </w:rPr>
        <w:t>1）工程结算审计费用中基本收费部分由发包人承担；</w:t>
      </w:r>
    </w:p>
    <w:p>
      <w:pPr>
        <w:spacing w:line="440" w:lineRule="exact"/>
        <w:ind w:firstLine="420" w:firstLineChars="200"/>
        <w:rPr>
          <w:rFonts w:ascii="宋体" w:hAnsi="宋体"/>
          <w:color w:val="auto"/>
          <w:highlight w:val="none"/>
        </w:rPr>
      </w:pPr>
      <w:r>
        <w:rPr>
          <w:rFonts w:hint="eastAsia" w:ascii="宋体" w:hAnsi="宋体"/>
          <w:color w:val="auto"/>
          <w:highlight w:val="none"/>
        </w:rPr>
        <w:t>2）经审核、审计，对送审工程造价超过5%幅度以外的核减额及核增额的工程结算审核追加费用由施工单位承担，审核追加费用=（超过送审造价5%幅度以外的核减额+核增额）×5%。</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17.6  最终结清</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17.6.1  </w:t>
      </w:r>
      <w:r>
        <w:rPr>
          <w:rFonts w:hint="eastAsia"/>
          <w:color w:val="auto"/>
          <w:sz w:val="21"/>
          <w:szCs w:val="21"/>
          <w:highlight w:val="none"/>
        </w:rPr>
        <w:t>最终结清申请单</w:t>
      </w:r>
    </w:p>
    <w:p>
      <w:pPr>
        <w:pStyle w:val="30"/>
        <w:spacing w:after="0" w:line="44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1）承包人应提交最终结清申请单一式</w:t>
      </w:r>
      <w:r>
        <w:rPr>
          <w:rFonts w:hint="eastAsia"/>
          <w:b/>
          <w:bCs/>
          <w:color w:val="auto"/>
          <w:sz w:val="21"/>
          <w:szCs w:val="21"/>
          <w:highlight w:val="none"/>
          <w:u w:val="single"/>
          <w:lang w:val="en-US" w:eastAsia="zh-CN" w:bidi="zh-CN"/>
        </w:rPr>
        <w:t xml:space="preserve"> 6 </w:t>
      </w:r>
      <w:r>
        <w:rPr>
          <w:rFonts w:hint="eastAsia"/>
          <w:color w:val="auto"/>
          <w:sz w:val="21"/>
          <w:szCs w:val="21"/>
          <w:highlight w:val="none"/>
        </w:rPr>
        <w:t>份。</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17.7  竣工财务决算</w:t>
      </w:r>
    </w:p>
    <w:p>
      <w:pPr>
        <w:pStyle w:val="30"/>
        <w:tabs>
          <w:tab w:val="left" w:pos="8704"/>
        </w:tabs>
        <w:spacing w:after="0" w:line="440" w:lineRule="exact"/>
        <w:ind w:firstLine="420" w:firstLineChars="200"/>
        <w:rPr>
          <w:color w:val="auto"/>
          <w:sz w:val="21"/>
          <w:szCs w:val="21"/>
          <w:highlight w:val="none"/>
          <w:lang w:val="en-US"/>
        </w:rPr>
      </w:pPr>
      <w:r>
        <w:rPr>
          <w:rFonts w:hint="eastAsia"/>
          <w:color w:val="auto"/>
          <w:sz w:val="21"/>
          <w:szCs w:val="21"/>
          <w:highlight w:val="none"/>
        </w:rPr>
        <w:t>承包人应为竣工财务决算编制提供的资料：</w:t>
      </w:r>
      <w:r>
        <w:rPr>
          <w:rFonts w:hint="eastAsia"/>
          <w:b/>
          <w:bCs/>
          <w:color w:val="auto"/>
          <w:sz w:val="21"/>
          <w:szCs w:val="21"/>
          <w:highlight w:val="none"/>
          <w:u w:val="single"/>
          <w:lang w:val="en-US" w:eastAsia="zh-CN" w:bidi="zh-CN"/>
        </w:rPr>
        <w:t xml:space="preserve"> 财务决算所需的一切资料6 份 </w:t>
      </w:r>
      <w:r>
        <w:rPr>
          <w:rFonts w:hint="eastAsia"/>
          <w:b/>
          <w:bCs/>
          <w:color w:val="auto"/>
          <w:sz w:val="21"/>
          <w:szCs w:val="21"/>
          <w:highlight w:val="none"/>
          <w:lang w:val="en-US" w:eastAsia="zh-CN" w:bidi="zh-CN"/>
        </w:rPr>
        <w:t>。</w:t>
      </w:r>
    </w:p>
    <w:p>
      <w:pPr>
        <w:pStyle w:val="33"/>
        <w:keepNext/>
        <w:keepLines/>
        <w:spacing w:after="0" w:line="440" w:lineRule="exact"/>
        <w:jc w:val="both"/>
        <w:outlineLvl w:val="2"/>
        <w:rPr>
          <w:b/>
          <w:bCs/>
          <w:color w:val="auto"/>
          <w:sz w:val="28"/>
          <w:szCs w:val="28"/>
          <w:highlight w:val="none"/>
          <w:lang w:val="en-US" w:eastAsia="zh-CN"/>
        </w:rPr>
      </w:pPr>
      <w:bookmarkStart w:id="401" w:name="_Toc6997"/>
      <w:r>
        <w:rPr>
          <w:rFonts w:hint="eastAsia"/>
          <w:b/>
          <w:bCs/>
          <w:color w:val="auto"/>
          <w:sz w:val="28"/>
          <w:szCs w:val="28"/>
          <w:highlight w:val="none"/>
          <w:lang w:val="en-US" w:eastAsia="zh-CN"/>
        </w:rPr>
        <w:t>18  工程验收</w:t>
      </w:r>
      <w:bookmarkEnd w:id="401"/>
    </w:p>
    <w:p>
      <w:pPr>
        <w:pStyle w:val="7"/>
        <w:keepNext w:val="0"/>
        <w:keepLines w:val="0"/>
        <w:shd w:val="clear" w:color="auto" w:fill="FFFFFF"/>
        <w:spacing w:before="0" w:after="0" w:line="440" w:lineRule="exact"/>
        <w:jc w:val="center"/>
        <w:rPr>
          <w:rFonts w:ascii="宋体" w:hAnsi="宋体" w:eastAsia="宋体" w:cs="宋体"/>
          <w:snapToGrid/>
          <w:color w:val="auto"/>
          <w:sz w:val="21"/>
          <w:szCs w:val="21"/>
          <w:highlight w:val="none"/>
          <w:lang w:bidi="zh-TW"/>
        </w:rPr>
      </w:pPr>
      <w:r>
        <w:rPr>
          <w:rFonts w:hint="eastAsia" w:ascii="宋体" w:hAnsi="宋体" w:eastAsia="宋体" w:cs="宋体"/>
          <w:snapToGrid/>
          <w:color w:val="auto"/>
          <w:sz w:val="21"/>
          <w:szCs w:val="21"/>
          <w:highlight w:val="none"/>
          <w:lang w:val="zh-TW" w:eastAsia="zh-TW" w:bidi="zh-TW"/>
        </w:rPr>
        <w:t>竣工验收按《浙江省政府投资项目竣工验收管理办法》浙发改基综〔2017〕4号执行。</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18.1  验收工作分类</w:t>
      </w:r>
    </w:p>
    <w:p>
      <w:pPr>
        <w:pStyle w:val="30"/>
        <w:tabs>
          <w:tab w:val="left" w:pos="2376"/>
          <w:tab w:val="left" w:pos="5592"/>
          <w:tab w:val="left" w:pos="6900"/>
          <w:tab w:val="left" w:pos="9876"/>
        </w:tabs>
        <w:spacing w:after="0" w:line="440" w:lineRule="exact"/>
        <w:ind w:firstLine="420" w:firstLineChars="200"/>
        <w:rPr>
          <w:i/>
          <w:iCs/>
          <w:color w:val="auto"/>
          <w:sz w:val="21"/>
          <w:szCs w:val="21"/>
          <w:highlight w:val="none"/>
        </w:rPr>
      </w:pPr>
      <w:r>
        <w:rPr>
          <w:rFonts w:hint="eastAsia"/>
          <w:color w:val="auto"/>
          <w:sz w:val="21"/>
          <w:szCs w:val="21"/>
          <w:highlight w:val="none"/>
        </w:rPr>
        <w:t>本工程项目法人验收包括：</w:t>
      </w:r>
      <w:r>
        <w:rPr>
          <w:rFonts w:hint="eastAsia"/>
          <w:b/>
          <w:bCs/>
          <w:color w:val="auto"/>
          <w:sz w:val="21"/>
          <w:szCs w:val="21"/>
          <w:highlight w:val="none"/>
          <w:u w:val="single"/>
          <w:lang w:val="en-US" w:eastAsia="zh-CN" w:bidi="zh-CN"/>
        </w:rPr>
        <w:t xml:space="preserve"> / </w:t>
      </w:r>
      <w:r>
        <w:rPr>
          <w:rFonts w:hint="eastAsia"/>
          <w:color w:val="auto"/>
          <w:sz w:val="21"/>
          <w:szCs w:val="21"/>
          <w:highlight w:val="none"/>
          <w:lang w:eastAsia="zh-CN"/>
        </w:rPr>
        <w:t>；</w:t>
      </w:r>
      <w:r>
        <w:rPr>
          <w:rFonts w:hint="eastAsia"/>
          <w:color w:val="auto"/>
          <w:sz w:val="21"/>
          <w:szCs w:val="21"/>
          <w:highlight w:val="none"/>
        </w:rPr>
        <w:t>政府验收包括：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 </w:t>
      </w:r>
      <w:r>
        <w:rPr>
          <w:rFonts w:hint="eastAsia"/>
          <w:color w:val="auto"/>
          <w:sz w:val="21"/>
          <w:szCs w:val="21"/>
          <w:highlight w:val="none"/>
          <w:lang w:val="en-US" w:eastAsia="zh-CN" w:bidi="zh-CN"/>
        </w:rPr>
        <w:t>。</w:t>
      </w:r>
      <w:r>
        <w:rPr>
          <w:rFonts w:hint="eastAsia"/>
          <w:color w:val="auto"/>
          <w:sz w:val="21"/>
          <w:szCs w:val="21"/>
          <w:highlight w:val="none"/>
        </w:rPr>
        <w:t>验收条件为：</w:t>
      </w:r>
      <w:r>
        <w:rPr>
          <w:rFonts w:hint="eastAsia"/>
          <w:b/>
          <w:bCs/>
          <w:color w:val="auto"/>
          <w:sz w:val="21"/>
          <w:szCs w:val="21"/>
          <w:highlight w:val="none"/>
          <w:u w:val="single"/>
          <w:lang w:val="en-US" w:eastAsia="zh-CN" w:bidi="zh-CN"/>
        </w:rPr>
        <w:t xml:space="preserve"> 按现行水利工程验收规程规范规定 </w:t>
      </w:r>
      <w:r>
        <w:rPr>
          <w:rFonts w:hint="eastAsia"/>
          <w:color w:val="auto"/>
          <w:sz w:val="21"/>
          <w:szCs w:val="21"/>
          <w:highlight w:val="none"/>
          <w:lang w:eastAsia="zh-CN"/>
        </w:rPr>
        <w:t>，</w:t>
      </w:r>
      <w:r>
        <w:rPr>
          <w:rFonts w:hint="eastAsia"/>
          <w:color w:val="auto"/>
          <w:sz w:val="21"/>
          <w:szCs w:val="21"/>
          <w:highlight w:val="none"/>
        </w:rPr>
        <w:t>验收程序为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按现行水利工程验收规范规定 </w:t>
      </w:r>
      <w:r>
        <w:rPr>
          <w:rFonts w:hint="eastAsia"/>
          <w:i/>
          <w:iCs/>
          <w:color w:val="auto"/>
          <w:sz w:val="21"/>
          <w:szCs w:val="21"/>
          <w:highlight w:val="none"/>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18.2  分部工程验收</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18.2.2  </w:t>
      </w:r>
      <w:r>
        <w:rPr>
          <w:rFonts w:hint="eastAsia"/>
          <w:color w:val="auto"/>
          <w:sz w:val="21"/>
          <w:szCs w:val="21"/>
          <w:highlight w:val="none"/>
        </w:rPr>
        <w:t>本工程由监理人主持的分部工程验收在监理合同中约定，其余由发包人</w:t>
      </w:r>
      <w:r>
        <w:rPr>
          <w:rFonts w:hint="eastAsia"/>
          <w:color w:val="auto"/>
          <w:sz w:val="21"/>
          <w:szCs w:val="21"/>
          <w:highlight w:val="none"/>
          <w:lang w:val="zh-CN" w:eastAsia="zh-CN" w:bidi="zh-CN"/>
        </w:rPr>
        <w:t>主持。</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18.3  单位工程验收</w:t>
      </w:r>
    </w:p>
    <w:p>
      <w:pPr>
        <w:pStyle w:val="30"/>
        <w:tabs>
          <w:tab w:val="left" w:pos="7616"/>
          <w:tab w:val="left" w:pos="8672"/>
          <w:tab w:val="left" w:pos="9728"/>
        </w:tabs>
        <w:spacing w:after="0" w:line="44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18.3.4  </w:t>
      </w:r>
      <w:r>
        <w:rPr>
          <w:rFonts w:hint="eastAsia"/>
          <w:color w:val="auto"/>
          <w:sz w:val="21"/>
          <w:szCs w:val="21"/>
          <w:highlight w:val="none"/>
        </w:rPr>
        <w:t>提前投入使用的单位工程包括：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18.5阶段验收</w:t>
      </w:r>
    </w:p>
    <w:p>
      <w:pPr>
        <w:pStyle w:val="30"/>
        <w:tabs>
          <w:tab w:val="left" w:pos="7616"/>
          <w:tab w:val="left" w:pos="8672"/>
          <w:tab w:val="left" w:pos="9728"/>
        </w:tabs>
        <w:spacing w:after="0" w:line="44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18.5.1  </w:t>
      </w:r>
      <w:r>
        <w:rPr>
          <w:rFonts w:hint="eastAsia"/>
          <w:color w:val="auto"/>
          <w:sz w:val="21"/>
          <w:szCs w:val="21"/>
          <w:highlight w:val="none"/>
        </w:rPr>
        <w:t>本合同工程阶段验收类别包括：</w:t>
      </w:r>
      <w:r>
        <w:rPr>
          <w:rFonts w:hint="eastAsia"/>
          <w:b/>
          <w:bCs/>
          <w:color w:val="auto"/>
          <w:sz w:val="21"/>
          <w:szCs w:val="21"/>
          <w:highlight w:val="none"/>
          <w:u w:val="single"/>
          <w:lang w:val="en-US" w:eastAsia="zh-CN" w:bidi="zh-CN"/>
        </w:rPr>
        <w:t xml:space="preserve"> 按现行水利工程相关验收规范规定 </w:t>
      </w:r>
      <w:r>
        <w:rPr>
          <w:rFonts w:hint="eastAsia"/>
          <w:color w:val="auto"/>
          <w:sz w:val="21"/>
          <w:szCs w:val="21"/>
          <w:highlight w:val="none"/>
          <w:lang w:val="en-US" w:eastAsia="zh-CN"/>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18.6  专项验收</w:t>
      </w:r>
    </w:p>
    <w:p>
      <w:pPr>
        <w:pStyle w:val="30"/>
        <w:tabs>
          <w:tab w:val="left" w:pos="7616"/>
          <w:tab w:val="left" w:pos="8660"/>
          <w:tab w:val="left" w:pos="9716"/>
        </w:tabs>
        <w:spacing w:after="0" w:line="440" w:lineRule="exact"/>
        <w:ind w:firstLine="422" w:firstLineChars="200"/>
        <w:rPr>
          <w:b/>
          <w:bCs/>
          <w:color w:val="auto"/>
          <w:sz w:val="21"/>
          <w:szCs w:val="21"/>
          <w:highlight w:val="none"/>
          <w:u w:val="single"/>
          <w:lang w:val="en-US" w:eastAsia="zh-CN" w:bidi="zh-CN"/>
        </w:rPr>
      </w:pPr>
      <w:r>
        <w:rPr>
          <w:rFonts w:hint="eastAsia"/>
          <w:b/>
          <w:bCs/>
          <w:color w:val="auto"/>
          <w:sz w:val="21"/>
          <w:szCs w:val="21"/>
          <w:highlight w:val="none"/>
          <w:lang w:val="en-US" w:eastAsia="zh-CN" w:bidi="en-US"/>
        </w:rPr>
        <w:t xml:space="preserve">18.6.2  </w:t>
      </w:r>
      <w:r>
        <w:rPr>
          <w:rFonts w:hint="eastAsia"/>
          <w:color w:val="auto"/>
          <w:sz w:val="21"/>
          <w:szCs w:val="21"/>
          <w:highlight w:val="none"/>
        </w:rPr>
        <w:t>本合同工程专项验收类别包括：</w:t>
      </w:r>
      <w:r>
        <w:rPr>
          <w:rFonts w:hint="eastAsia"/>
          <w:b/>
          <w:bCs/>
          <w:color w:val="auto"/>
          <w:sz w:val="21"/>
          <w:szCs w:val="21"/>
          <w:highlight w:val="none"/>
          <w:u w:val="single"/>
          <w:lang w:val="en-US" w:eastAsia="zh-CN" w:bidi="zh-CN"/>
        </w:rPr>
        <w:t xml:space="preserve"> /。 </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18.7  竣工验收</w:t>
      </w:r>
    </w:p>
    <w:p>
      <w:pPr>
        <w:pStyle w:val="30"/>
        <w:tabs>
          <w:tab w:val="left" w:pos="4548"/>
        </w:tabs>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18.7.3  </w:t>
      </w:r>
      <w:r>
        <w:rPr>
          <w:rFonts w:hint="eastAsia"/>
          <w:color w:val="auto"/>
          <w:sz w:val="21"/>
          <w:szCs w:val="21"/>
          <w:highlight w:val="none"/>
        </w:rPr>
        <w:t>本工程</w:t>
      </w:r>
      <w:r>
        <w:rPr>
          <w:rFonts w:hint="eastAsia"/>
          <w:b/>
          <w:bCs/>
          <w:color w:val="auto"/>
          <w:sz w:val="21"/>
          <w:szCs w:val="21"/>
          <w:highlight w:val="none"/>
          <w:u w:val="single"/>
          <w:lang w:val="en-US" w:eastAsia="zh-CN"/>
        </w:rPr>
        <w:t xml:space="preserve"> 不</w:t>
      </w:r>
      <w:r>
        <w:rPr>
          <w:rFonts w:hint="eastAsia"/>
          <w:b/>
          <w:bCs/>
          <w:color w:val="auto"/>
          <w:sz w:val="21"/>
          <w:szCs w:val="21"/>
          <w:highlight w:val="none"/>
          <w:u w:val="single"/>
        </w:rPr>
        <w:t>需要</w:t>
      </w:r>
      <w:r>
        <w:rPr>
          <w:rFonts w:hint="eastAsia"/>
          <w:b/>
          <w:bCs/>
          <w:color w:val="auto"/>
          <w:sz w:val="21"/>
          <w:szCs w:val="21"/>
          <w:highlight w:val="none"/>
          <w:u w:val="single"/>
          <w:lang w:val="en-US" w:eastAsia="zh-CN"/>
        </w:rPr>
        <w:t xml:space="preserve"> </w:t>
      </w:r>
      <w:r>
        <w:rPr>
          <w:rFonts w:hint="eastAsia"/>
          <w:color w:val="auto"/>
          <w:sz w:val="21"/>
          <w:szCs w:val="21"/>
          <w:highlight w:val="none"/>
        </w:rPr>
        <w:t>竣工验收技术鉴定</w:t>
      </w:r>
      <w:r>
        <w:rPr>
          <w:rFonts w:hint="eastAsia"/>
          <w:color w:val="auto"/>
          <w:sz w:val="21"/>
          <w:szCs w:val="21"/>
          <w:highlight w:val="none"/>
          <w:lang w:eastAsia="zh-CN"/>
        </w:rPr>
        <w:t>（</w:t>
      </w:r>
      <w:r>
        <w:rPr>
          <w:rFonts w:hint="eastAsia"/>
          <w:color w:val="auto"/>
          <w:sz w:val="21"/>
          <w:szCs w:val="21"/>
          <w:highlight w:val="none"/>
        </w:rPr>
        <w:t>蓄水安全鉴定）。</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18.8  施工期运行</w:t>
      </w:r>
    </w:p>
    <w:p>
      <w:pPr>
        <w:pStyle w:val="30"/>
        <w:tabs>
          <w:tab w:val="left" w:pos="9548"/>
          <w:tab w:val="left" w:pos="10568"/>
          <w:tab w:val="left" w:pos="11600"/>
        </w:tabs>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18.8.1  </w:t>
      </w:r>
      <w:r>
        <w:rPr>
          <w:rFonts w:hint="eastAsia"/>
          <w:color w:val="auto"/>
          <w:sz w:val="21"/>
          <w:szCs w:val="21"/>
          <w:highlight w:val="none"/>
        </w:rPr>
        <w:t>需要在施工期运行的单位工程或工程设备为：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18.9  试运行</w:t>
      </w:r>
    </w:p>
    <w:p>
      <w:pPr>
        <w:pStyle w:val="30"/>
        <w:tabs>
          <w:tab w:val="left" w:pos="5864"/>
          <w:tab w:val="left" w:pos="9320"/>
        </w:tabs>
        <w:spacing w:after="0" w:line="44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18.9.1  </w:t>
      </w:r>
      <w:r>
        <w:rPr>
          <w:rFonts w:hint="eastAsia"/>
          <w:color w:val="auto"/>
          <w:sz w:val="21"/>
          <w:szCs w:val="21"/>
          <w:highlight w:val="none"/>
        </w:rPr>
        <w:t>试运行的组织：</w:t>
      </w:r>
      <w:r>
        <w:rPr>
          <w:rFonts w:hint="eastAsia"/>
          <w:color w:val="auto"/>
          <w:sz w:val="21"/>
          <w:szCs w:val="21"/>
          <w:highlight w:val="none"/>
          <w:u w:val="single"/>
          <w:lang w:val="en-US" w:eastAsia="zh-CN"/>
        </w:rPr>
        <w:t xml:space="preserve">   /   </w:t>
      </w:r>
      <w:r>
        <w:rPr>
          <w:rFonts w:hint="eastAsia"/>
          <w:color w:val="auto"/>
          <w:sz w:val="21"/>
          <w:szCs w:val="21"/>
          <w:highlight w:val="none"/>
          <w:lang w:eastAsia="zh-CN"/>
        </w:rPr>
        <w:t>；</w:t>
      </w:r>
      <w:r>
        <w:rPr>
          <w:rFonts w:hint="eastAsia"/>
          <w:color w:val="auto"/>
          <w:sz w:val="21"/>
          <w:szCs w:val="21"/>
          <w:highlight w:val="none"/>
        </w:rPr>
        <w:t>费用承担：</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bidi="en-US"/>
        </w:rPr>
        <w:t>。</w:t>
      </w:r>
    </w:p>
    <w:p>
      <w:pPr>
        <w:pStyle w:val="33"/>
        <w:keepNext/>
        <w:keepLines/>
        <w:spacing w:after="0" w:line="440" w:lineRule="exact"/>
        <w:jc w:val="both"/>
        <w:outlineLvl w:val="2"/>
        <w:rPr>
          <w:b/>
          <w:bCs/>
          <w:color w:val="auto"/>
          <w:sz w:val="28"/>
          <w:szCs w:val="28"/>
          <w:highlight w:val="none"/>
          <w:lang w:val="en-US" w:eastAsia="zh-CN"/>
        </w:rPr>
      </w:pPr>
      <w:bookmarkStart w:id="402" w:name="_Toc27329"/>
      <w:r>
        <w:rPr>
          <w:rFonts w:hint="eastAsia"/>
          <w:b/>
          <w:bCs/>
          <w:color w:val="auto"/>
          <w:sz w:val="28"/>
          <w:szCs w:val="28"/>
          <w:highlight w:val="none"/>
          <w:lang w:val="en-US" w:eastAsia="zh-CN"/>
        </w:rPr>
        <w:t>19  缺陷责任与保修责任</w:t>
      </w:r>
      <w:bookmarkEnd w:id="402"/>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19.1  缺陷责任期（工程质量保修期）的起算时间</w:t>
      </w:r>
    </w:p>
    <w:p>
      <w:pPr>
        <w:pStyle w:val="30"/>
        <w:tabs>
          <w:tab w:val="left" w:pos="9020"/>
        </w:tabs>
        <w:spacing w:after="0" w:line="440" w:lineRule="exact"/>
        <w:ind w:firstLine="420" w:firstLineChars="200"/>
        <w:rPr>
          <w:color w:val="auto"/>
          <w:sz w:val="21"/>
          <w:szCs w:val="21"/>
          <w:highlight w:val="none"/>
          <w:u w:val="single"/>
          <w:lang w:eastAsia="zh-CN"/>
        </w:rPr>
      </w:pPr>
      <w:r>
        <w:rPr>
          <w:rFonts w:hint="eastAsia"/>
          <w:color w:val="auto"/>
          <w:sz w:val="21"/>
          <w:szCs w:val="21"/>
          <w:highlight w:val="none"/>
        </w:rPr>
        <w:t>本工程缺陷责任期</w:t>
      </w:r>
      <w:r>
        <w:rPr>
          <w:rFonts w:hint="eastAsia"/>
          <w:color w:val="auto"/>
          <w:sz w:val="21"/>
          <w:szCs w:val="21"/>
          <w:highlight w:val="none"/>
          <w:lang w:eastAsia="zh-CN"/>
        </w:rPr>
        <w:t>（</w:t>
      </w:r>
      <w:r>
        <w:rPr>
          <w:rFonts w:hint="eastAsia"/>
          <w:color w:val="auto"/>
          <w:sz w:val="21"/>
          <w:szCs w:val="21"/>
          <w:highlight w:val="none"/>
        </w:rPr>
        <w:t>工程质量保修期）为</w:t>
      </w:r>
      <w:r>
        <w:rPr>
          <w:rFonts w:hint="eastAsia"/>
          <w:color w:val="auto"/>
          <w:sz w:val="21"/>
          <w:szCs w:val="21"/>
          <w:highlight w:val="none"/>
          <w:u w:val="single"/>
          <w:lang w:eastAsia="zh-CN"/>
        </w:rPr>
        <w:t>一年。</w:t>
      </w:r>
    </w:p>
    <w:p>
      <w:pPr>
        <w:pStyle w:val="33"/>
        <w:keepNext/>
        <w:keepLines/>
        <w:spacing w:after="0" w:line="440" w:lineRule="exact"/>
        <w:jc w:val="both"/>
        <w:outlineLvl w:val="2"/>
        <w:rPr>
          <w:b/>
          <w:bCs/>
          <w:color w:val="auto"/>
          <w:sz w:val="28"/>
          <w:szCs w:val="28"/>
          <w:highlight w:val="none"/>
          <w:lang w:val="en-US" w:eastAsia="zh-CN"/>
        </w:rPr>
      </w:pPr>
      <w:bookmarkStart w:id="403" w:name="_Toc25681"/>
      <w:r>
        <w:rPr>
          <w:rFonts w:hint="eastAsia"/>
          <w:b/>
          <w:bCs/>
          <w:color w:val="auto"/>
          <w:sz w:val="28"/>
          <w:szCs w:val="28"/>
          <w:highlight w:val="none"/>
          <w:lang w:val="en-US" w:eastAsia="zh-CN"/>
        </w:rPr>
        <w:t>20  保险</w:t>
      </w:r>
      <w:bookmarkEnd w:id="403"/>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20.1  建筑安装工程保险</w:t>
      </w:r>
    </w:p>
    <w:p>
      <w:pPr>
        <w:pStyle w:val="30"/>
        <w:tabs>
          <w:tab w:val="left" w:pos="10460"/>
        </w:tabs>
        <w:spacing w:after="0" w:line="440" w:lineRule="exact"/>
        <w:ind w:firstLine="420" w:firstLineChars="200"/>
        <w:rPr>
          <w:color w:val="auto"/>
          <w:sz w:val="21"/>
          <w:szCs w:val="21"/>
          <w:highlight w:val="none"/>
          <w:lang w:eastAsia="zh-CN"/>
        </w:rPr>
      </w:pPr>
      <w:r>
        <w:rPr>
          <w:rFonts w:hint="eastAsia"/>
          <w:color w:val="auto"/>
          <w:sz w:val="21"/>
          <w:szCs w:val="21"/>
          <w:highlight w:val="none"/>
        </w:rPr>
        <w:t>建筑工程一切险和</w:t>
      </w:r>
      <w:r>
        <w:rPr>
          <w:rFonts w:hint="eastAsia"/>
          <w:color w:val="auto"/>
          <w:sz w:val="21"/>
          <w:szCs w:val="21"/>
          <w:highlight w:val="none"/>
          <w:lang w:eastAsia="zh-CN"/>
        </w:rPr>
        <w:t>（</w:t>
      </w:r>
      <w:r>
        <w:rPr>
          <w:rFonts w:hint="eastAsia"/>
          <w:color w:val="auto"/>
          <w:sz w:val="21"/>
          <w:szCs w:val="21"/>
          <w:highlight w:val="none"/>
        </w:rPr>
        <w:t>或）安装工程一切险投保人：</w:t>
      </w:r>
      <w:r>
        <w:rPr>
          <w:rFonts w:hint="eastAsia"/>
          <w:b/>
          <w:bCs/>
          <w:color w:val="auto"/>
          <w:sz w:val="21"/>
          <w:szCs w:val="21"/>
          <w:highlight w:val="none"/>
          <w:u w:val="single"/>
          <w:lang w:val="en-US" w:eastAsia="zh-CN"/>
        </w:rPr>
        <w:t xml:space="preserve"> 由承包人以发包人和承包人的名义投保 </w:t>
      </w:r>
      <w:r>
        <w:rPr>
          <w:rFonts w:hint="eastAsia"/>
          <w:b/>
          <w:bCs/>
          <w:color w:val="auto"/>
          <w:sz w:val="21"/>
          <w:szCs w:val="21"/>
          <w:highlight w:val="none"/>
          <w:lang w:val="en-US" w:eastAsia="zh-CN" w:bidi="en-US"/>
        </w:rPr>
        <w:t>。</w:t>
      </w:r>
    </w:p>
    <w:p>
      <w:pPr>
        <w:pStyle w:val="30"/>
        <w:tabs>
          <w:tab w:val="left" w:pos="5200"/>
          <w:tab w:val="left" w:pos="8716"/>
        </w:tabs>
        <w:spacing w:after="0" w:line="440" w:lineRule="exact"/>
        <w:ind w:firstLine="420" w:firstLineChars="200"/>
        <w:rPr>
          <w:color w:val="auto"/>
          <w:sz w:val="21"/>
          <w:szCs w:val="21"/>
          <w:highlight w:val="none"/>
        </w:rPr>
      </w:pPr>
      <w:r>
        <w:rPr>
          <w:rFonts w:hint="eastAsia"/>
          <w:color w:val="auto"/>
          <w:sz w:val="21"/>
          <w:szCs w:val="21"/>
          <w:highlight w:val="none"/>
        </w:rPr>
        <w:t>投保内容：</w:t>
      </w:r>
      <w:r>
        <w:rPr>
          <w:rFonts w:hint="eastAsia"/>
          <w:b/>
          <w:bCs/>
          <w:color w:val="auto"/>
          <w:sz w:val="21"/>
          <w:szCs w:val="21"/>
          <w:highlight w:val="none"/>
          <w:u w:val="single"/>
          <w:lang w:val="en-US" w:eastAsia="zh-CN"/>
        </w:rPr>
        <w:t xml:space="preserve"> 为本合同工程的永久工程、措施项目、设备及已运至施工工地用于永久工程的材料和设备所投的保险 </w:t>
      </w:r>
      <w:r>
        <w:rPr>
          <w:rFonts w:hint="eastAsia"/>
          <w:i/>
          <w:iCs/>
          <w:color w:val="auto"/>
          <w:sz w:val="21"/>
          <w:szCs w:val="21"/>
          <w:highlight w:val="none"/>
        </w:rPr>
        <w:t>。</w:t>
      </w:r>
      <w:r>
        <w:rPr>
          <w:rFonts w:hint="eastAsia"/>
          <w:color w:val="auto"/>
          <w:sz w:val="21"/>
          <w:szCs w:val="21"/>
          <w:highlight w:val="none"/>
        </w:rPr>
        <w:t>保险金额、保险费率和保险期限：</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自开工日起直至本合同工程签发缺陷责任期终止证书止（即合同工期+缺陷责任期） </w:t>
      </w:r>
      <w:r>
        <w:rPr>
          <w:rFonts w:hint="eastAsia"/>
          <w:color w:val="auto"/>
          <w:sz w:val="21"/>
          <w:szCs w:val="21"/>
          <w:highlight w:val="none"/>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20.4  第三者责任险</w:t>
      </w:r>
    </w:p>
    <w:p>
      <w:pPr>
        <w:pStyle w:val="30"/>
        <w:tabs>
          <w:tab w:val="left" w:pos="8008"/>
        </w:tabs>
        <w:spacing w:after="0" w:line="440" w:lineRule="exact"/>
        <w:ind w:firstLine="422" w:firstLineChars="200"/>
        <w:rPr>
          <w:b/>
          <w:bCs/>
          <w:color w:val="auto"/>
          <w:sz w:val="21"/>
          <w:szCs w:val="21"/>
          <w:highlight w:val="none"/>
          <w:lang w:val="en-US" w:eastAsia="zh-CN"/>
        </w:rPr>
      </w:pPr>
      <w:r>
        <w:rPr>
          <w:rFonts w:hint="eastAsia"/>
          <w:b/>
          <w:bCs/>
          <w:color w:val="auto"/>
          <w:sz w:val="21"/>
          <w:szCs w:val="21"/>
          <w:highlight w:val="none"/>
          <w:lang w:val="en-US" w:eastAsia="zh-CN" w:bidi="en-US"/>
        </w:rPr>
        <w:t xml:space="preserve">20.4.2  </w:t>
      </w:r>
      <w:r>
        <w:rPr>
          <w:rFonts w:hint="eastAsia"/>
          <w:b/>
          <w:bCs/>
          <w:color w:val="auto"/>
          <w:sz w:val="21"/>
          <w:szCs w:val="21"/>
          <w:highlight w:val="none"/>
          <w:u w:val="single"/>
          <w:lang w:val="en-US" w:eastAsia="zh-CN"/>
        </w:rPr>
        <w:t>第三者责任险保险费率：第三者责任险保险金额：100万元，由承包人负责投保，其费用均列入报价。</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20.5  其他保险</w:t>
      </w:r>
    </w:p>
    <w:p>
      <w:pPr>
        <w:spacing w:line="440" w:lineRule="exact"/>
        <w:ind w:firstLine="420" w:firstLineChars="200"/>
        <w:rPr>
          <w:color w:val="auto"/>
          <w:highlight w:val="none"/>
        </w:rPr>
      </w:pPr>
      <w:r>
        <w:rPr>
          <w:color w:val="auto"/>
          <w:highlight w:val="none"/>
        </w:rPr>
        <w:t>需要投保的其它内容：</w:t>
      </w:r>
      <w:r>
        <w:rPr>
          <w:color w:val="auto"/>
          <w:highlight w:val="none"/>
          <w:u w:val="single"/>
        </w:rPr>
        <w:t>根据嵊劳社[2007]126号《关于嵊州市建设工程施工企业农民工参加工伤保险的实施意见》</w:t>
      </w:r>
      <w:r>
        <w:rPr>
          <w:rFonts w:hint="eastAsia"/>
          <w:color w:val="auto"/>
          <w:highlight w:val="none"/>
          <w:u w:val="single"/>
        </w:rPr>
        <w:t>由承包人</w:t>
      </w:r>
      <w:r>
        <w:rPr>
          <w:color w:val="auto"/>
          <w:highlight w:val="none"/>
          <w:u w:val="single"/>
        </w:rPr>
        <w:t>进行参保</w:t>
      </w:r>
      <w:r>
        <w:rPr>
          <w:rFonts w:hint="eastAsia"/>
          <w:color w:val="auto"/>
          <w:highlight w:val="none"/>
          <w:u w:val="single"/>
        </w:rPr>
        <w:t>，</w:t>
      </w:r>
      <w:r>
        <w:rPr>
          <w:rFonts w:hAnsi="宋体"/>
          <w:color w:val="auto"/>
          <w:highlight w:val="none"/>
          <w:u w:val="single"/>
        </w:rPr>
        <w:t>费用列入报价</w:t>
      </w:r>
      <w:r>
        <w:rPr>
          <w:color w:val="auto"/>
          <w:highlight w:val="none"/>
        </w:rPr>
        <w:t>；</w:t>
      </w:r>
    </w:p>
    <w:p>
      <w:pPr>
        <w:pStyle w:val="30"/>
        <w:spacing w:after="0" w:line="440" w:lineRule="exact"/>
        <w:jc w:val="both"/>
        <w:rPr>
          <w:rFonts w:ascii="Arial" w:hAnsi="Arial" w:eastAsia="Arial" w:cs="Arial"/>
          <w:snapToGrid w:val="0"/>
          <w:color w:val="auto"/>
          <w:sz w:val="21"/>
          <w:szCs w:val="21"/>
          <w:highlight w:val="none"/>
          <w:u w:val="single"/>
        </w:rPr>
      </w:pPr>
      <w:r>
        <w:rPr>
          <w:rFonts w:ascii="Arial" w:hAnsi="Arial" w:eastAsia="Arial" w:cs="Arial"/>
          <w:snapToGrid w:val="0"/>
          <w:color w:val="auto"/>
          <w:sz w:val="21"/>
          <w:szCs w:val="21"/>
          <w:highlight w:val="none"/>
          <w:u w:val="single"/>
        </w:rPr>
        <w:t>承包人</w:t>
      </w:r>
      <w:r>
        <w:rPr>
          <w:rFonts w:hint="eastAsia" w:ascii="Arial" w:hAnsi="Arial" w:eastAsia="Arial" w:cs="Arial"/>
          <w:snapToGrid w:val="0"/>
          <w:color w:val="auto"/>
          <w:sz w:val="21"/>
          <w:szCs w:val="21"/>
          <w:highlight w:val="none"/>
          <w:u w:val="single"/>
        </w:rPr>
        <w:t>还</w:t>
      </w:r>
      <w:r>
        <w:rPr>
          <w:rFonts w:ascii="Arial" w:hAnsi="Arial" w:eastAsia="Arial" w:cs="Arial"/>
          <w:snapToGrid w:val="0"/>
          <w:color w:val="auto"/>
          <w:sz w:val="21"/>
          <w:szCs w:val="21"/>
          <w:highlight w:val="none"/>
          <w:u w:val="single"/>
        </w:rPr>
        <w:t>应根据文件的精神，或咨询有关部门确定是否缴纳</w:t>
      </w:r>
      <w:r>
        <w:rPr>
          <w:rFonts w:hint="eastAsia" w:ascii="Arial" w:hAnsi="Arial" w:eastAsia="Arial" w:cs="Arial"/>
          <w:snapToGrid w:val="0"/>
          <w:color w:val="auto"/>
          <w:sz w:val="21"/>
          <w:szCs w:val="21"/>
          <w:highlight w:val="none"/>
          <w:u w:val="single"/>
        </w:rPr>
        <w:t>其它保险</w:t>
      </w:r>
      <w:r>
        <w:rPr>
          <w:rFonts w:ascii="Arial" w:hAnsi="Arial" w:eastAsia="Arial" w:cs="Arial"/>
          <w:snapToGrid w:val="0"/>
          <w:color w:val="auto"/>
          <w:sz w:val="21"/>
          <w:szCs w:val="21"/>
          <w:highlight w:val="none"/>
          <w:u w:val="single"/>
        </w:rPr>
        <w:t>费用。</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20.6  对各项保险的一般要求</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保险凭证</w:t>
      </w:r>
    </w:p>
    <w:p>
      <w:pPr>
        <w:pStyle w:val="30"/>
        <w:tabs>
          <w:tab w:val="left" w:pos="5212"/>
          <w:tab w:val="left" w:pos="9784"/>
        </w:tabs>
        <w:spacing w:after="0" w:line="440" w:lineRule="exact"/>
        <w:ind w:firstLine="420" w:firstLineChars="200"/>
        <w:rPr>
          <w:color w:val="auto"/>
          <w:sz w:val="21"/>
          <w:szCs w:val="21"/>
          <w:highlight w:val="none"/>
        </w:rPr>
      </w:pPr>
      <w:r>
        <w:rPr>
          <w:rFonts w:hint="eastAsia"/>
          <w:color w:val="auto"/>
          <w:sz w:val="21"/>
          <w:szCs w:val="21"/>
          <w:highlight w:val="none"/>
        </w:rPr>
        <w:t>承包人提交保险凭证的期限：保险手续办理完毕后</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7 </w:t>
      </w:r>
      <w:r>
        <w:rPr>
          <w:rFonts w:hint="eastAsia"/>
          <w:color w:val="auto"/>
          <w:sz w:val="21"/>
          <w:szCs w:val="21"/>
          <w:highlight w:val="none"/>
        </w:rPr>
        <w:t>天内提交。保险条件：</w:t>
      </w:r>
      <w:r>
        <w:rPr>
          <w:rFonts w:hint="eastAsia"/>
          <w:b/>
          <w:bCs/>
          <w:color w:val="auto"/>
          <w:sz w:val="21"/>
          <w:szCs w:val="21"/>
          <w:highlight w:val="none"/>
          <w:u w:val="single"/>
          <w:lang w:val="en-US" w:eastAsia="zh-CN"/>
        </w:rPr>
        <w:t xml:space="preserve">按有关规定执行。 </w:t>
      </w:r>
    </w:p>
    <w:p>
      <w:pPr>
        <w:pStyle w:val="3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4</w:t>
      </w:r>
      <w:r>
        <w:rPr>
          <w:rFonts w:hint="eastAsia"/>
          <w:b/>
          <w:bCs/>
          <w:color w:val="auto"/>
          <w:sz w:val="21"/>
          <w:szCs w:val="21"/>
          <w:highlight w:val="none"/>
          <w:lang w:val="en-US" w:eastAsia="zh-CN" w:bidi="en-US"/>
        </w:rPr>
        <w:t xml:space="preserve">  </w:t>
      </w:r>
      <w:r>
        <w:rPr>
          <w:rFonts w:hint="eastAsia"/>
          <w:color w:val="auto"/>
          <w:sz w:val="21"/>
          <w:szCs w:val="21"/>
          <w:highlight w:val="none"/>
        </w:rPr>
        <w:t>保险金不足的补偿</w:t>
      </w:r>
    </w:p>
    <w:p>
      <w:pPr>
        <w:pStyle w:val="30"/>
        <w:tabs>
          <w:tab w:val="left" w:pos="8356"/>
        </w:tabs>
        <w:spacing w:after="0" w:line="440" w:lineRule="exact"/>
        <w:ind w:firstLine="420" w:firstLineChars="200"/>
        <w:rPr>
          <w:rFonts w:ascii="Times New Roman" w:hAnsi="Times New Roman" w:eastAsia="微软雅黑" w:cs="Times New Roman"/>
          <w:b/>
          <w:color w:val="auto"/>
          <w:highlight w:val="none"/>
          <w:lang w:eastAsia="zh-CN"/>
        </w:rPr>
      </w:pPr>
      <w:r>
        <w:rPr>
          <w:rFonts w:hint="eastAsia"/>
          <w:color w:val="auto"/>
          <w:sz w:val="21"/>
          <w:szCs w:val="21"/>
          <w:highlight w:val="none"/>
        </w:rPr>
        <w:t>承包人负责补偿的范围与金额：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30"/>
        <w:tabs>
          <w:tab w:val="left" w:pos="8356"/>
        </w:tabs>
        <w:spacing w:after="0" w:line="440" w:lineRule="exact"/>
        <w:ind w:firstLine="420" w:firstLineChars="200"/>
        <w:rPr>
          <w:color w:val="auto"/>
          <w:sz w:val="21"/>
          <w:szCs w:val="21"/>
          <w:highlight w:val="none"/>
          <w:lang w:val="en-US" w:eastAsia="zh-CN"/>
        </w:rPr>
      </w:pPr>
      <w:r>
        <w:rPr>
          <w:rFonts w:hint="eastAsia"/>
          <w:color w:val="auto"/>
          <w:sz w:val="21"/>
          <w:szCs w:val="21"/>
          <w:highlight w:val="none"/>
        </w:rPr>
        <w:t>发包人负责补偿的范围与金额：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33"/>
        <w:keepNext/>
        <w:keepLines/>
        <w:spacing w:after="0" w:line="440" w:lineRule="exact"/>
        <w:jc w:val="both"/>
        <w:outlineLvl w:val="2"/>
        <w:rPr>
          <w:b/>
          <w:bCs/>
          <w:color w:val="auto"/>
          <w:sz w:val="28"/>
          <w:szCs w:val="28"/>
          <w:highlight w:val="none"/>
          <w:lang w:val="en-US" w:eastAsia="zh-CN"/>
        </w:rPr>
      </w:pPr>
      <w:bookmarkStart w:id="404" w:name="_Toc15228"/>
      <w:r>
        <w:rPr>
          <w:rFonts w:hint="eastAsia"/>
          <w:b/>
          <w:bCs/>
          <w:color w:val="auto"/>
          <w:sz w:val="28"/>
          <w:szCs w:val="28"/>
          <w:highlight w:val="none"/>
          <w:lang w:val="en-US" w:eastAsia="zh-CN"/>
        </w:rPr>
        <w:t>24  争议的解决</w:t>
      </w:r>
      <w:bookmarkEnd w:id="404"/>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24.1  争议的解决方式</w:t>
      </w:r>
    </w:p>
    <w:p>
      <w:pPr>
        <w:pStyle w:val="30"/>
        <w:spacing w:after="0" w:line="440" w:lineRule="exact"/>
        <w:ind w:firstLine="420" w:firstLineChars="200"/>
        <w:rPr>
          <w:rFonts w:eastAsia="微软雅黑"/>
          <w:color w:val="auto"/>
          <w:sz w:val="21"/>
          <w:szCs w:val="21"/>
          <w:highlight w:val="none"/>
          <w:lang w:val="en-US" w:eastAsia="zh-CN"/>
        </w:rPr>
      </w:pPr>
      <w:r>
        <w:rPr>
          <w:rFonts w:hint="eastAsia"/>
          <w:color w:val="auto"/>
          <w:sz w:val="21"/>
          <w:szCs w:val="21"/>
          <w:highlight w:val="none"/>
        </w:rPr>
        <w:t>合同当事人友好协商解决不成、不愿提请争议评审或不接受争议评审组意见的，约定的合同争议解决方式：</w:t>
      </w:r>
      <w:r>
        <w:rPr>
          <w:rFonts w:eastAsia="微软雅黑"/>
          <w:snapToGrid w:val="0"/>
          <w:color w:val="auto"/>
          <w:sz w:val="21"/>
          <w:szCs w:val="21"/>
          <w:highlight w:val="none"/>
          <w:u w:val="single"/>
        </w:rPr>
        <w:t xml:space="preserve"> </w:t>
      </w:r>
      <w:r>
        <w:rPr>
          <w:rFonts w:hint="eastAsia"/>
          <w:b/>
          <w:bCs/>
          <w:color w:val="auto"/>
          <w:sz w:val="21"/>
          <w:szCs w:val="21"/>
          <w:highlight w:val="none"/>
          <w:u w:val="single"/>
          <w:lang w:val="en-US" w:eastAsia="zh-CN"/>
        </w:rPr>
        <w:t xml:space="preserve">向所在地人民法院提起诉讼 </w:t>
      </w:r>
      <w:r>
        <w:rPr>
          <w:rFonts w:hint="eastAsia" w:eastAsia="微软雅黑"/>
          <w:b/>
          <w:iCs/>
          <w:snapToGrid w:val="0"/>
          <w:color w:val="auto"/>
          <w:sz w:val="21"/>
          <w:szCs w:val="21"/>
          <w:highlight w:val="none"/>
          <w:lang w:val="en-US" w:eastAsia="zh-CN"/>
        </w:rPr>
        <w:t>。</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24.2  友好解决</w:t>
      </w:r>
    </w:p>
    <w:p>
      <w:pPr>
        <w:pStyle w:val="30"/>
        <w:spacing w:after="0" w:line="440" w:lineRule="exact"/>
        <w:ind w:firstLine="420" w:firstLineChars="200"/>
        <w:rPr>
          <w:color w:val="auto"/>
          <w:sz w:val="21"/>
          <w:szCs w:val="21"/>
          <w:highlight w:val="none"/>
        </w:rPr>
      </w:pPr>
      <w:r>
        <w:rPr>
          <w:rFonts w:hint="eastAsia"/>
          <w:color w:val="auto"/>
          <w:sz w:val="21"/>
          <w:szCs w:val="21"/>
          <w:highlight w:val="none"/>
        </w:rPr>
        <w:t>补充：合同当事人可以就争议请第三方进行调解，调解达成协议的，经双方签字并盖章后作为合同补充文件，双方均应遵照执行。</w:t>
      </w:r>
    </w:p>
    <w:p>
      <w:pPr>
        <w:pStyle w:val="30"/>
        <w:spacing w:after="0" w:line="44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24.3  争议评审</w:t>
      </w:r>
    </w:p>
    <w:p>
      <w:pPr>
        <w:pStyle w:val="30"/>
        <w:spacing w:after="0" w:line="440" w:lineRule="exact"/>
        <w:ind w:firstLine="422" w:firstLineChars="200"/>
        <w:rPr>
          <w:color w:val="auto"/>
          <w:highlight w:val="none"/>
        </w:rPr>
      </w:pPr>
      <w:r>
        <w:rPr>
          <w:rFonts w:hint="eastAsia"/>
          <w:b/>
          <w:bCs/>
          <w:color w:val="auto"/>
          <w:sz w:val="21"/>
          <w:szCs w:val="21"/>
          <w:highlight w:val="none"/>
          <w:lang w:val="en-US" w:eastAsia="zh-CN" w:bidi="en-US"/>
        </w:rPr>
        <w:t>24.3.</w:t>
      </w:r>
      <w:r>
        <w:rPr>
          <w:rFonts w:hint="eastAsia"/>
          <w:b/>
          <w:bCs/>
          <w:color w:val="auto"/>
          <w:sz w:val="21"/>
          <w:szCs w:val="21"/>
          <w:highlight w:val="none"/>
        </w:rPr>
        <w:t>7</w:t>
      </w:r>
      <w:r>
        <w:rPr>
          <w:rFonts w:hint="eastAsia"/>
          <w:b/>
          <w:bCs/>
          <w:color w:val="auto"/>
          <w:sz w:val="21"/>
          <w:szCs w:val="21"/>
          <w:highlight w:val="none"/>
          <w:lang w:val="en-US" w:eastAsia="zh-CN" w:bidi="en-US"/>
        </w:rPr>
        <w:t xml:space="preserve">  </w:t>
      </w:r>
      <w:r>
        <w:rPr>
          <w:rFonts w:hint="eastAsia"/>
          <w:color w:val="auto"/>
          <w:sz w:val="21"/>
          <w:szCs w:val="21"/>
          <w:highlight w:val="none"/>
        </w:rPr>
        <w:t>补充：发包人或承包人不接受评审意见时，可请省行政主管部门进行调解。</w:t>
      </w:r>
    </w:p>
    <w:p>
      <w:pPr>
        <w:pStyle w:val="44"/>
        <w:kinsoku/>
        <w:autoSpaceDE/>
        <w:autoSpaceDN/>
        <w:adjustRightInd/>
        <w:snapToGrid/>
        <w:spacing w:line="440" w:lineRule="exact"/>
        <w:textAlignment w:val="auto"/>
        <w:rPr>
          <w:color w:val="auto"/>
          <w:highlight w:val="none"/>
        </w:rPr>
      </w:pPr>
      <w:r>
        <w:rPr>
          <w:color w:val="auto"/>
          <w:highlight w:val="none"/>
        </w:rPr>
        <w:t>25</w:t>
      </w:r>
      <w:r>
        <w:rPr>
          <w:rFonts w:hint="eastAsia"/>
          <w:color w:val="auto"/>
          <w:highlight w:val="none"/>
        </w:rPr>
        <w:t xml:space="preserve"> </w:t>
      </w:r>
      <w:r>
        <w:rPr>
          <w:color w:val="auto"/>
          <w:highlight w:val="none"/>
        </w:rPr>
        <w:t>合同类型</w:t>
      </w:r>
    </w:p>
    <w:p>
      <w:pPr>
        <w:kinsoku/>
        <w:autoSpaceDE/>
        <w:autoSpaceDN/>
        <w:adjustRightInd/>
        <w:snapToGrid/>
        <w:spacing w:line="440" w:lineRule="exact"/>
        <w:ind w:firstLine="315" w:firstLineChars="150"/>
        <w:textAlignment w:val="auto"/>
        <w:rPr>
          <w:rFonts w:ascii="宋体" w:hAnsi="宋体"/>
          <w:b/>
          <w:bCs/>
          <w:color w:val="auto"/>
          <w:highlight w:val="none"/>
        </w:rPr>
      </w:pPr>
      <w:r>
        <w:rPr>
          <w:b/>
          <w:bCs/>
          <w:color w:val="auto"/>
          <w:highlight w:val="none"/>
        </w:rPr>
        <w:t>本合同采用</w:t>
      </w:r>
      <w:r>
        <w:rPr>
          <w:rFonts w:hint="eastAsia"/>
          <w:b/>
          <w:bCs/>
          <w:color w:val="auto"/>
          <w:highlight w:val="none"/>
        </w:rPr>
        <w:t>固定</w:t>
      </w:r>
      <w:r>
        <w:rPr>
          <w:b/>
          <w:bCs/>
          <w:color w:val="auto"/>
          <w:highlight w:val="none"/>
        </w:rPr>
        <w:t>单价承包，在合同执行期内，单价不变，工程量按实调整。</w:t>
      </w:r>
      <w:r>
        <w:rPr>
          <w:rFonts w:hint="eastAsia"/>
          <w:b/>
          <w:bCs/>
          <w:color w:val="auto"/>
          <w:highlight w:val="none"/>
        </w:rPr>
        <w:t>措施项目、其它项目</w:t>
      </w:r>
      <w:r>
        <w:rPr>
          <w:b/>
          <w:bCs/>
          <w:color w:val="auto"/>
          <w:highlight w:val="none"/>
        </w:rPr>
        <w:t>采用分项总价承包</w:t>
      </w:r>
      <w:r>
        <w:rPr>
          <w:rFonts w:hint="eastAsia"/>
          <w:b/>
          <w:bCs/>
          <w:color w:val="auto"/>
          <w:highlight w:val="none"/>
        </w:rPr>
        <w:t>的</w:t>
      </w:r>
      <w:r>
        <w:rPr>
          <w:b/>
          <w:bCs/>
          <w:color w:val="auto"/>
          <w:highlight w:val="none"/>
        </w:rPr>
        <w:t>，在合同执行期内不作调整。</w:t>
      </w:r>
    </w:p>
    <w:p>
      <w:pPr>
        <w:pStyle w:val="44"/>
        <w:kinsoku/>
        <w:autoSpaceDE/>
        <w:autoSpaceDN/>
        <w:adjustRightInd/>
        <w:snapToGrid/>
        <w:spacing w:line="440" w:lineRule="exact"/>
        <w:textAlignment w:val="auto"/>
        <w:rPr>
          <w:color w:val="auto"/>
          <w:highlight w:val="none"/>
        </w:rPr>
      </w:pPr>
      <w:r>
        <w:rPr>
          <w:rFonts w:hint="eastAsia"/>
          <w:color w:val="auto"/>
          <w:highlight w:val="none"/>
        </w:rPr>
        <w:t>26 其他事项</w:t>
      </w:r>
    </w:p>
    <w:p>
      <w:pPr>
        <w:kinsoku/>
        <w:autoSpaceDE/>
        <w:autoSpaceDN/>
        <w:adjustRightInd/>
        <w:snapToGrid/>
        <w:spacing w:line="440" w:lineRule="exact"/>
        <w:ind w:firstLine="420" w:firstLineChars="200"/>
        <w:textAlignment w:val="auto"/>
        <w:rPr>
          <w:rFonts w:cs="宋体"/>
          <w:color w:val="auto"/>
          <w:highlight w:val="none"/>
        </w:rPr>
      </w:pPr>
      <w:r>
        <w:rPr>
          <w:rFonts w:hint="eastAsia" w:cs="宋体"/>
          <w:color w:val="auto"/>
          <w:highlight w:val="none"/>
        </w:rPr>
        <w:t>26.1承包人凡出现下列情形之一的，建设单位可根据实际，要求承包人无条件退场并承担违约责任：</w:t>
      </w:r>
    </w:p>
    <w:p>
      <w:pPr>
        <w:kinsoku/>
        <w:autoSpaceDE/>
        <w:autoSpaceDN/>
        <w:adjustRightInd/>
        <w:snapToGrid/>
        <w:spacing w:line="440" w:lineRule="exact"/>
        <w:ind w:firstLine="420" w:firstLineChars="200"/>
        <w:textAlignment w:val="auto"/>
        <w:rPr>
          <w:rFonts w:cs="宋体"/>
          <w:color w:val="auto"/>
          <w:highlight w:val="none"/>
        </w:rPr>
      </w:pPr>
      <w:r>
        <w:rPr>
          <w:rFonts w:hint="eastAsia" w:cs="宋体"/>
          <w:color w:val="auto"/>
          <w:highlight w:val="none"/>
        </w:rPr>
        <w:t>（一）发生违法行为的；</w:t>
      </w:r>
    </w:p>
    <w:p>
      <w:pPr>
        <w:kinsoku/>
        <w:autoSpaceDE/>
        <w:autoSpaceDN/>
        <w:adjustRightInd/>
        <w:snapToGrid/>
        <w:spacing w:line="440" w:lineRule="exact"/>
        <w:ind w:firstLine="420" w:firstLineChars="200"/>
        <w:textAlignment w:val="auto"/>
        <w:rPr>
          <w:rFonts w:cs="宋体"/>
          <w:color w:val="auto"/>
          <w:highlight w:val="none"/>
        </w:rPr>
      </w:pPr>
      <w:r>
        <w:rPr>
          <w:rFonts w:hint="eastAsia" w:cs="宋体"/>
          <w:color w:val="auto"/>
          <w:highlight w:val="none"/>
        </w:rPr>
        <w:t>（二）无正当理由拖延计划工期进度的；</w:t>
      </w:r>
    </w:p>
    <w:p>
      <w:pPr>
        <w:kinsoku/>
        <w:autoSpaceDE/>
        <w:autoSpaceDN/>
        <w:adjustRightInd/>
        <w:snapToGrid/>
        <w:spacing w:line="440" w:lineRule="exact"/>
        <w:ind w:firstLine="420" w:firstLineChars="200"/>
        <w:textAlignment w:val="auto"/>
        <w:rPr>
          <w:rFonts w:cs="宋体"/>
          <w:color w:val="auto"/>
          <w:highlight w:val="none"/>
        </w:rPr>
      </w:pPr>
      <w:r>
        <w:rPr>
          <w:rFonts w:hint="eastAsia" w:cs="宋体"/>
          <w:color w:val="auto"/>
          <w:highlight w:val="none"/>
        </w:rPr>
        <w:t>（三）发生重大质量、安全事故的；</w:t>
      </w:r>
    </w:p>
    <w:p>
      <w:pPr>
        <w:kinsoku/>
        <w:autoSpaceDE/>
        <w:autoSpaceDN/>
        <w:adjustRightInd/>
        <w:snapToGrid/>
        <w:spacing w:line="440" w:lineRule="exact"/>
        <w:ind w:firstLine="420" w:firstLineChars="200"/>
        <w:textAlignment w:val="auto"/>
        <w:rPr>
          <w:rFonts w:cs="宋体"/>
          <w:color w:val="auto"/>
          <w:highlight w:val="none"/>
        </w:rPr>
      </w:pPr>
      <w:r>
        <w:rPr>
          <w:rFonts w:hint="eastAsia" w:cs="宋体"/>
          <w:color w:val="auto"/>
          <w:highlight w:val="none"/>
        </w:rPr>
        <w:t>（四）承包人拒不履行合同义务的；</w:t>
      </w:r>
    </w:p>
    <w:p>
      <w:pPr>
        <w:kinsoku/>
        <w:autoSpaceDE/>
        <w:autoSpaceDN/>
        <w:adjustRightInd/>
        <w:snapToGrid/>
        <w:spacing w:line="440" w:lineRule="exact"/>
        <w:ind w:firstLine="420" w:firstLineChars="200"/>
        <w:textAlignment w:val="auto"/>
        <w:rPr>
          <w:rFonts w:cs="宋体"/>
          <w:color w:val="auto"/>
          <w:highlight w:val="none"/>
        </w:rPr>
      </w:pPr>
      <w:r>
        <w:rPr>
          <w:rFonts w:hint="eastAsia" w:cs="宋体"/>
          <w:color w:val="auto"/>
          <w:highlight w:val="none"/>
        </w:rPr>
        <w:t>（五）施工单位连续两个月以上不按法律、法规规定要求发放工人工资或因其造成工地工人群体上访恶性事件的（因被拖欠工程款引发的除外）。</w:t>
      </w:r>
    </w:p>
    <w:p>
      <w:pPr>
        <w:kinsoku/>
        <w:autoSpaceDE/>
        <w:autoSpaceDN/>
        <w:adjustRightInd/>
        <w:snapToGrid/>
        <w:spacing w:line="440" w:lineRule="exact"/>
        <w:ind w:firstLine="420" w:firstLineChars="200"/>
        <w:textAlignment w:val="auto"/>
        <w:rPr>
          <w:rFonts w:ascii="宋体" w:cs="宋体"/>
          <w:color w:val="auto"/>
          <w:highlight w:val="none"/>
        </w:rPr>
      </w:pPr>
      <w:r>
        <w:rPr>
          <w:rFonts w:hint="eastAsia" w:cs="宋体"/>
          <w:color w:val="auto"/>
          <w:highlight w:val="none"/>
        </w:rPr>
        <w:t>（六）发生其它严重违规行为的。</w:t>
      </w:r>
    </w:p>
    <w:p>
      <w:pPr>
        <w:kinsoku/>
        <w:autoSpaceDE/>
        <w:autoSpaceDN/>
        <w:adjustRightInd/>
        <w:snapToGrid/>
        <w:spacing w:line="440" w:lineRule="exact"/>
        <w:ind w:firstLine="420" w:firstLineChars="200"/>
        <w:textAlignment w:val="auto"/>
        <w:rPr>
          <w:rFonts w:cs="宋体"/>
          <w:b/>
          <w:bCs/>
          <w:color w:val="auto"/>
          <w:highlight w:val="none"/>
        </w:rPr>
      </w:pPr>
      <w:bookmarkStart w:id="405" w:name="OLE_LINK8"/>
      <w:r>
        <w:rPr>
          <w:b/>
          <w:bCs/>
          <w:color w:val="auto"/>
          <w:highlight w:val="none"/>
        </w:rPr>
        <w:t>26.</w:t>
      </w:r>
      <w:r>
        <w:rPr>
          <w:rFonts w:hint="eastAsia" w:eastAsia="宋体"/>
          <w:b/>
          <w:bCs/>
          <w:color w:val="auto"/>
          <w:highlight w:val="none"/>
        </w:rPr>
        <w:t>2</w:t>
      </w:r>
      <w:r>
        <w:rPr>
          <w:rFonts w:hint="eastAsia" w:cs="宋体"/>
          <w:b/>
          <w:bCs/>
          <w:color w:val="auto"/>
          <w:highlight w:val="none"/>
        </w:rPr>
        <w:t>建筑材料：</w:t>
      </w:r>
      <w:bookmarkEnd w:id="405"/>
      <w:r>
        <w:rPr>
          <w:rFonts w:hint="eastAsia" w:cs="宋体"/>
          <w:b/>
          <w:bCs/>
          <w:color w:val="auto"/>
          <w:highlight w:val="none"/>
        </w:rPr>
        <w:t>工程建设中所需的建筑材料均由承包人负责采购供应，水泥、钢筋要求采用符合国家产品合格标准，各种材料的损耗计入单价中，发包人不再另行支付。</w:t>
      </w:r>
    </w:p>
    <w:p>
      <w:pPr>
        <w:kinsoku/>
        <w:autoSpaceDE/>
        <w:autoSpaceDN/>
        <w:adjustRightInd/>
        <w:snapToGrid/>
        <w:spacing w:line="440" w:lineRule="exact"/>
        <w:ind w:firstLine="420" w:firstLineChars="200"/>
        <w:textAlignment w:val="auto"/>
        <w:rPr>
          <w:b/>
          <w:bCs/>
          <w:color w:val="auto"/>
          <w:highlight w:val="none"/>
        </w:rPr>
      </w:pPr>
      <w:r>
        <w:rPr>
          <w:b/>
          <w:bCs/>
          <w:color w:val="auto"/>
          <w:highlight w:val="none"/>
        </w:rPr>
        <w:t>26.</w:t>
      </w:r>
      <w:r>
        <w:rPr>
          <w:rFonts w:hint="eastAsia" w:eastAsia="宋体"/>
          <w:b/>
          <w:bCs/>
          <w:color w:val="auto"/>
          <w:highlight w:val="none"/>
        </w:rPr>
        <w:t>3</w:t>
      </w:r>
      <w:r>
        <w:rPr>
          <w:b/>
          <w:bCs/>
          <w:color w:val="auto"/>
          <w:highlight w:val="none"/>
        </w:rPr>
        <w:t xml:space="preserve"> </w:t>
      </w:r>
      <w:r>
        <w:rPr>
          <w:rFonts w:hint="eastAsia" w:cs="宋体"/>
          <w:b/>
          <w:bCs/>
          <w:color w:val="auto"/>
          <w:highlight w:val="none"/>
        </w:rPr>
        <w:t>施工道路：承包人根据施工总体布置情况设置场内施工道路，并负责其道路的维修与养护，相应费用计入报价；场外道路因承包人原因造成损坏的，由承包人负责维修并养护。</w:t>
      </w:r>
    </w:p>
    <w:p>
      <w:pPr>
        <w:pStyle w:val="37"/>
        <w:kinsoku/>
        <w:autoSpaceDE/>
        <w:autoSpaceDN/>
        <w:adjustRightInd/>
        <w:snapToGrid/>
        <w:spacing w:line="440" w:lineRule="exact"/>
        <w:ind w:left="420" w:leftChars="200" w:firstLine="0" w:firstLineChars="0"/>
        <w:textAlignment w:val="auto"/>
        <w:rPr>
          <w:b/>
          <w:bCs/>
          <w:color w:val="auto"/>
          <w:highlight w:val="none"/>
        </w:rPr>
      </w:pPr>
      <w:r>
        <w:rPr>
          <w:b/>
          <w:bCs/>
          <w:color w:val="auto"/>
          <w:highlight w:val="none"/>
        </w:rPr>
        <w:t>26.</w:t>
      </w:r>
      <w:r>
        <w:rPr>
          <w:rFonts w:hint="eastAsia" w:eastAsia="宋体"/>
          <w:b/>
          <w:bCs/>
          <w:color w:val="auto"/>
          <w:highlight w:val="none"/>
        </w:rPr>
        <w:t>4</w:t>
      </w:r>
      <w:r>
        <w:rPr>
          <w:rFonts w:hint="eastAsia"/>
          <w:b/>
          <w:bCs/>
          <w:color w:val="auto"/>
          <w:highlight w:val="none"/>
        </w:rPr>
        <w:t>施工用电（包括电源）：由施工单位自行解决，其费用计入措施项目报价。</w:t>
      </w:r>
    </w:p>
    <w:p>
      <w:pPr>
        <w:pStyle w:val="37"/>
        <w:kinsoku/>
        <w:autoSpaceDE/>
        <w:autoSpaceDN/>
        <w:adjustRightInd/>
        <w:snapToGrid/>
        <w:spacing w:line="440" w:lineRule="exact"/>
        <w:ind w:left="420" w:leftChars="200" w:firstLine="0" w:firstLineChars="0"/>
        <w:textAlignment w:val="auto"/>
        <w:rPr>
          <w:b/>
          <w:bCs/>
          <w:color w:val="auto"/>
          <w:highlight w:val="none"/>
        </w:rPr>
      </w:pPr>
      <w:r>
        <w:rPr>
          <w:b/>
          <w:bCs/>
          <w:color w:val="auto"/>
          <w:highlight w:val="none"/>
        </w:rPr>
        <w:t>26.</w:t>
      </w:r>
      <w:r>
        <w:rPr>
          <w:rFonts w:hint="eastAsia" w:eastAsia="宋体"/>
          <w:b/>
          <w:bCs/>
          <w:color w:val="auto"/>
          <w:highlight w:val="none"/>
        </w:rPr>
        <w:t>5</w:t>
      </w:r>
      <w:r>
        <w:rPr>
          <w:rFonts w:hint="eastAsia" w:cs="宋体"/>
          <w:b/>
          <w:bCs/>
          <w:color w:val="auto"/>
          <w:highlight w:val="none"/>
        </w:rPr>
        <w:t>施工用水：</w:t>
      </w:r>
      <w:r>
        <w:rPr>
          <w:rFonts w:hint="eastAsia"/>
          <w:b/>
          <w:bCs/>
          <w:color w:val="auto"/>
          <w:highlight w:val="none"/>
        </w:rPr>
        <w:t>由施工单位自行解决，其费用计入措施项目报价。</w:t>
      </w:r>
    </w:p>
    <w:p>
      <w:pPr>
        <w:kinsoku/>
        <w:autoSpaceDE/>
        <w:autoSpaceDN/>
        <w:adjustRightInd/>
        <w:snapToGrid/>
        <w:spacing w:line="440" w:lineRule="exact"/>
        <w:ind w:firstLine="420" w:firstLineChars="200"/>
        <w:textAlignment w:val="auto"/>
        <w:rPr>
          <w:rFonts w:cs="宋体"/>
          <w:b/>
          <w:bCs/>
          <w:color w:val="auto"/>
          <w:highlight w:val="none"/>
        </w:rPr>
      </w:pPr>
      <w:r>
        <w:rPr>
          <w:b/>
          <w:bCs/>
          <w:color w:val="auto"/>
          <w:highlight w:val="none"/>
        </w:rPr>
        <w:t>26.</w:t>
      </w:r>
      <w:r>
        <w:rPr>
          <w:rFonts w:hint="eastAsia" w:eastAsia="宋体"/>
          <w:b/>
          <w:bCs/>
          <w:color w:val="auto"/>
          <w:highlight w:val="none"/>
        </w:rPr>
        <w:t>6</w:t>
      </w:r>
      <w:r>
        <w:rPr>
          <w:rFonts w:hint="eastAsia" w:cs="宋体"/>
          <w:b/>
          <w:bCs/>
          <w:color w:val="auto"/>
          <w:highlight w:val="none"/>
        </w:rPr>
        <w:t>弃土场：由承包人根据现场情况自行解决，所需费用进入报价。</w:t>
      </w:r>
    </w:p>
    <w:p>
      <w:pPr>
        <w:kinsoku/>
        <w:autoSpaceDE/>
        <w:autoSpaceDN/>
        <w:adjustRightInd/>
        <w:snapToGrid/>
        <w:spacing w:line="440" w:lineRule="exact"/>
        <w:ind w:firstLine="420" w:firstLineChars="200"/>
        <w:textAlignment w:val="auto"/>
        <w:rPr>
          <w:b/>
          <w:bCs/>
          <w:color w:val="auto"/>
          <w:highlight w:val="none"/>
        </w:rPr>
      </w:pPr>
      <w:r>
        <w:rPr>
          <w:b/>
          <w:bCs/>
          <w:color w:val="auto"/>
          <w:highlight w:val="none"/>
        </w:rPr>
        <w:t>26.</w:t>
      </w:r>
      <w:r>
        <w:rPr>
          <w:rFonts w:hint="eastAsia" w:eastAsia="宋体"/>
          <w:b/>
          <w:bCs/>
          <w:color w:val="auto"/>
          <w:highlight w:val="none"/>
        </w:rPr>
        <w:t>7</w:t>
      </w:r>
      <w:r>
        <w:rPr>
          <w:rFonts w:hint="eastAsia"/>
          <w:b/>
          <w:bCs/>
          <w:color w:val="auto"/>
          <w:highlight w:val="none"/>
        </w:rPr>
        <w:t>不足部分的土料、块石由承包人自行解决，所需费用计入报价。</w:t>
      </w:r>
    </w:p>
    <w:p>
      <w:pPr>
        <w:kinsoku/>
        <w:autoSpaceDE/>
        <w:autoSpaceDN/>
        <w:adjustRightInd/>
        <w:snapToGrid/>
        <w:spacing w:line="440" w:lineRule="exact"/>
        <w:ind w:firstLine="420" w:firstLineChars="200"/>
        <w:textAlignment w:val="auto"/>
        <w:rPr>
          <w:b/>
          <w:bCs/>
          <w:color w:val="auto"/>
          <w:highlight w:val="none"/>
        </w:rPr>
      </w:pPr>
      <w:r>
        <w:rPr>
          <w:b/>
          <w:bCs/>
          <w:color w:val="auto"/>
          <w:highlight w:val="none"/>
        </w:rPr>
        <w:t>26.</w:t>
      </w:r>
      <w:r>
        <w:rPr>
          <w:rFonts w:hint="eastAsia" w:eastAsia="宋体"/>
          <w:b/>
          <w:bCs/>
          <w:color w:val="auto"/>
          <w:highlight w:val="none"/>
        </w:rPr>
        <w:t>8</w:t>
      </w:r>
      <w:r>
        <w:rPr>
          <w:rFonts w:hint="eastAsia"/>
          <w:b/>
          <w:bCs/>
          <w:color w:val="auto"/>
          <w:highlight w:val="none"/>
        </w:rPr>
        <w:t>工程中所需的黏土料由承包人自行解决，所需费用计入报价。</w:t>
      </w:r>
    </w:p>
    <w:p>
      <w:pPr>
        <w:kinsoku/>
        <w:autoSpaceDE/>
        <w:autoSpaceDN/>
        <w:adjustRightInd/>
        <w:snapToGrid/>
        <w:spacing w:line="440" w:lineRule="exact"/>
        <w:ind w:firstLine="420" w:firstLineChars="200"/>
        <w:textAlignment w:val="auto"/>
        <w:rPr>
          <w:b/>
          <w:bCs/>
          <w:color w:val="auto"/>
          <w:highlight w:val="none"/>
        </w:rPr>
      </w:pPr>
      <w:r>
        <w:rPr>
          <w:b/>
          <w:bCs/>
          <w:color w:val="auto"/>
          <w:highlight w:val="none"/>
        </w:rPr>
        <w:t>26.</w:t>
      </w:r>
      <w:r>
        <w:rPr>
          <w:rFonts w:hint="eastAsia" w:eastAsia="宋体"/>
          <w:b/>
          <w:bCs/>
          <w:color w:val="auto"/>
          <w:highlight w:val="none"/>
        </w:rPr>
        <w:t>9</w:t>
      </w:r>
      <w:r>
        <w:rPr>
          <w:rFonts w:hint="eastAsia"/>
          <w:b/>
          <w:bCs/>
          <w:color w:val="auto"/>
          <w:highlight w:val="none"/>
        </w:rPr>
        <w:t>施工过程中造成周边建筑物损坏的，由施工单位负责修复，所需费用由施工单位自行承担。</w:t>
      </w:r>
    </w:p>
    <w:p>
      <w:pPr>
        <w:kinsoku/>
        <w:autoSpaceDE/>
        <w:autoSpaceDN/>
        <w:adjustRightInd/>
        <w:snapToGrid/>
        <w:spacing w:line="440" w:lineRule="exact"/>
        <w:ind w:firstLine="420" w:firstLineChars="200"/>
        <w:textAlignment w:val="auto"/>
        <w:rPr>
          <w:rFonts w:ascii="宋体" w:hAnsi="宋体"/>
          <w:b/>
          <w:bCs/>
          <w:color w:val="auto"/>
          <w:highlight w:val="none"/>
        </w:rPr>
      </w:pPr>
      <w:r>
        <w:rPr>
          <w:rFonts w:ascii="宋体" w:hAnsi="宋体"/>
          <w:b/>
          <w:bCs/>
          <w:color w:val="auto"/>
          <w:highlight w:val="none"/>
        </w:rPr>
        <w:t>26.1</w:t>
      </w:r>
      <w:r>
        <w:rPr>
          <w:rFonts w:hint="eastAsia" w:ascii="宋体" w:hAnsi="宋体" w:eastAsia="宋体"/>
          <w:b/>
          <w:bCs/>
          <w:color w:val="auto"/>
          <w:highlight w:val="none"/>
        </w:rPr>
        <w:t>0</w:t>
      </w:r>
      <w:r>
        <w:rPr>
          <w:rFonts w:hint="eastAsia" w:ascii="宋体" w:hAnsi="宋体"/>
          <w:b/>
          <w:bCs/>
          <w:color w:val="auto"/>
          <w:highlight w:val="none"/>
        </w:rPr>
        <w:t>外地施工企业中标，须在</w:t>
      </w:r>
      <w:r>
        <w:rPr>
          <w:rFonts w:hint="eastAsia" w:ascii="宋体" w:hAnsi="宋体" w:eastAsia="宋体"/>
          <w:b/>
          <w:bCs/>
          <w:color w:val="auto"/>
          <w:highlight w:val="none"/>
          <w:lang w:val="en-US" w:eastAsia="zh-CN"/>
        </w:rPr>
        <w:t>嵊州</w:t>
      </w:r>
      <w:r>
        <w:rPr>
          <w:rFonts w:hint="eastAsia" w:ascii="宋体" w:hAnsi="宋体"/>
          <w:b/>
          <w:bCs/>
          <w:color w:val="auto"/>
          <w:highlight w:val="none"/>
        </w:rPr>
        <w:t>市设立独立核算的分支机构，建设单位在工程款支付时，凭本地发票付款。</w:t>
      </w:r>
    </w:p>
    <w:p>
      <w:pPr>
        <w:pStyle w:val="21"/>
        <w:widowControl w:val="0"/>
        <w:kinsoku/>
        <w:autoSpaceDE/>
        <w:autoSpaceDN/>
        <w:adjustRightInd/>
        <w:snapToGrid/>
        <w:spacing w:line="440" w:lineRule="exact"/>
        <w:ind w:left="0" w:leftChars="0" w:firstLine="422"/>
        <w:textAlignment w:val="auto"/>
        <w:rPr>
          <w:rFonts w:ascii="宋体" w:hAnsi="宋体" w:eastAsia="宋体" w:cs="Times New Roman"/>
          <w:b/>
          <w:bCs/>
          <w:color w:val="auto"/>
          <w:kern w:val="2"/>
          <w:highlight w:val="none"/>
          <w:lang w:eastAsia="en-US"/>
        </w:rPr>
      </w:pPr>
      <w:r>
        <w:rPr>
          <w:rFonts w:hint="eastAsia" w:ascii="宋体" w:hAnsi="宋体"/>
          <w:b/>
          <w:bCs/>
          <w:color w:val="auto"/>
          <w:highlight w:val="none"/>
        </w:rPr>
        <w:t>26.11</w:t>
      </w:r>
      <w:r>
        <w:rPr>
          <w:rFonts w:hint="eastAsia" w:ascii="宋体" w:hAnsi="宋体" w:eastAsia="宋体" w:cs="Times New Roman"/>
          <w:b/>
          <w:bCs/>
          <w:color w:val="auto"/>
          <w:kern w:val="2"/>
          <w:highlight w:val="none"/>
          <w:lang w:eastAsia="en-US"/>
        </w:rPr>
        <w:t>柴油动力移动源应当符合低排放要求</w:t>
      </w:r>
      <w:r>
        <w:rPr>
          <w:rFonts w:hint="eastAsia" w:ascii="宋体" w:hAnsi="宋体" w:eastAsia="宋体" w:cs="Times New Roman"/>
          <w:b/>
          <w:bCs/>
          <w:color w:val="auto"/>
          <w:kern w:val="2"/>
          <w:highlight w:val="none"/>
        </w:rPr>
        <w:t>。</w:t>
      </w:r>
      <w:r>
        <w:rPr>
          <w:rFonts w:hint="eastAsia" w:ascii="宋体" w:hAnsi="宋体" w:eastAsia="宋体" w:cs="Times New Roman"/>
          <w:b/>
          <w:bCs/>
          <w:color w:val="auto"/>
          <w:kern w:val="2"/>
          <w:highlight w:val="none"/>
          <w:lang w:eastAsia="en-US"/>
        </w:rPr>
        <w:t>柴油动力移动源，是指以柴油作为动力来源的重型柴油车、船舶和非道路移动机械。非道路移动机械是指不在道路上行驶、装配有发动机的移动机械和可运输工业设备，主要包括工程机械、农业机械、林业机械、材料装卸机械、机场地勤设备、发电机组等机械设备。电动及国四的非道路移动机械、国六的重型柴油车为低排放柴油动力移动源，其余的为需改造柴油动力移动源。</w:t>
      </w:r>
    </w:p>
    <w:p>
      <w:pPr>
        <w:rPr>
          <w:color w:val="auto"/>
          <w:highlight w:val="none"/>
        </w:rPr>
      </w:pPr>
      <w:r>
        <w:rPr>
          <w:color w:val="auto"/>
          <w:highlight w:val="none"/>
        </w:rPr>
        <w:br w:type="page"/>
      </w:r>
    </w:p>
    <w:p>
      <w:pPr>
        <w:pStyle w:val="33"/>
        <w:keepNext/>
        <w:keepLines/>
        <w:spacing w:beforeLines="200" w:afterLines="200"/>
        <w:jc w:val="center"/>
        <w:rPr>
          <w:b/>
          <w:bCs/>
          <w:color w:val="auto"/>
          <w:sz w:val="30"/>
          <w:szCs w:val="30"/>
          <w:highlight w:val="none"/>
        </w:rPr>
      </w:pPr>
      <w:bookmarkStart w:id="406" w:name="_Toc32390"/>
      <w:r>
        <w:rPr>
          <w:rFonts w:hint="eastAsia"/>
          <w:b/>
          <w:bCs/>
          <w:color w:val="auto"/>
          <w:sz w:val="30"/>
          <w:szCs w:val="30"/>
          <w:highlight w:val="none"/>
        </w:rPr>
        <w:t>第</w:t>
      </w:r>
      <w:r>
        <w:rPr>
          <w:rFonts w:hint="eastAsia"/>
          <w:b/>
          <w:bCs/>
          <w:color w:val="auto"/>
          <w:sz w:val="30"/>
          <w:szCs w:val="30"/>
          <w:highlight w:val="none"/>
          <w:lang w:val="zh-CN" w:eastAsia="zh-CN"/>
        </w:rPr>
        <w:t>3</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合同附件格式</w:t>
      </w:r>
      <w:bookmarkEnd w:id="406"/>
    </w:p>
    <w:p>
      <w:pPr>
        <w:pStyle w:val="38"/>
        <w:spacing w:after="0" w:line="460" w:lineRule="exact"/>
        <w:rPr>
          <w:color w:val="auto"/>
          <w:sz w:val="21"/>
          <w:szCs w:val="21"/>
          <w:highlight w:val="none"/>
        </w:rPr>
      </w:pPr>
      <w:r>
        <w:rPr>
          <w:rFonts w:hint="eastAsia"/>
          <w:color w:val="auto"/>
          <w:sz w:val="21"/>
          <w:szCs w:val="21"/>
          <w:highlight w:val="none"/>
        </w:rPr>
        <w:t>附件一合同协议书</w:t>
      </w:r>
    </w:p>
    <w:p>
      <w:pPr>
        <w:pStyle w:val="32"/>
        <w:keepNext/>
        <w:keepLines/>
        <w:spacing w:afterLines="50"/>
        <w:jc w:val="center"/>
        <w:outlineLvl w:val="9"/>
        <w:rPr>
          <w:b/>
          <w:bCs/>
          <w:color w:val="auto"/>
          <w:sz w:val="36"/>
          <w:szCs w:val="36"/>
          <w:highlight w:val="none"/>
        </w:rPr>
      </w:pPr>
      <w:bookmarkStart w:id="407" w:name="_Toc23027"/>
      <w:bookmarkStart w:id="408" w:name="_Toc6652"/>
      <w:bookmarkStart w:id="409" w:name="_Toc10354"/>
      <w:bookmarkStart w:id="410" w:name="_Toc12698"/>
      <w:r>
        <w:rPr>
          <w:rFonts w:hint="eastAsia"/>
          <w:b/>
          <w:bCs/>
          <w:color w:val="auto"/>
          <w:sz w:val="36"/>
          <w:szCs w:val="36"/>
          <w:highlight w:val="none"/>
        </w:rPr>
        <w:t>合</w:t>
      </w:r>
      <w:r>
        <w:rPr>
          <w:rFonts w:hint="eastAsia"/>
          <w:b/>
          <w:bCs/>
          <w:color w:val="auto"/>
          <w:sz w:val="36"/>
          <w:szCs w:val="36"/>
          <w:highlight w:val="none"/>
          <w:lang w:val="en-US" w:eastAsia="zh-CN"/>
        </w:rPr>
        <w:t xml:space="preserve"> </w:t>
      </w:r>
      <w:r>
        <w:rPr>
          <w:rFonts w:hint="eastAsia"/>
          <w:b/>
          <w:bCs/>
          <w:color w:val="auto"/>
          <w:sz w:val="36"/>
          <w:szCs w:val="36"/>
          <w:highlight w:val="none"/>
        </w:rPr>
        <w:t>同</w:t>
      </w:r>
      <w:r>
        <w:rPr>
          <w:rFonts w:hint="eastAsia"/>
          <w:b/>
          <w:bCs/>
          <w:color w:val="auto"/>
          <w:sz w:val="36"/>
          <w:szCs w:val="36"/>
          <w:highlight w:val="none"/>
          <w:lang w:val="en-US" w:eastAsia="zh-CN"/>
        </w:rPr>
        <w:t xml:space="preserve"> </w:t>
      </w:r>
      <w:r>
        <w:rPr>
          <w:rFonts w:hint="eastAsia"/>
          <w:b/>
          <w:bCs/>
          <w:color w:val="auto"/>
          <w:sz w:val="36"/>
          <w:szCs w:val="36"/>
          <w:highlight w:val="none"/>
        </w:rPr>
        <w:t>协</w:t>
      </w:r>
      <w:r>
        <w:rPr>
          <w:rFonts w:hint="eastAsia"/>
          <w:b/>
          <w:bCs/>
          <w:color w:val="auto"/>
          <w:sz w:val="36"/>
          <w:szCs w:val="36"/>
          <w:highlight w:val="none"/>
          <w:lang w:val="en-US" w:eastAsia="zh-CN"/>
        </w:rPr>
        <w:t xml:space="preserve"> </w:t>
      </w:r>
      <w:r>
        <w:rPr>
          <w:rFonts w:hint="eastAsia"/>
          <w:b/>
          <w:bCs/>
          <w:color w:val="auto"/>
          <w:sz w:val="36"/>
          <w:szCs w:val="36"/>
          <w:highlight w:val="none"/>
        </w:rPr>
        <w:t>议</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07"/>
      <w:bookmarkEnd w:id="408"/>
      <w:bookmarkEnd w:id="409"/>
      <w:bookmarkEnd w:id="410"/>
    </w:p>
    <w:p>
      <w:pPr>
        <w:pStyle w:val="30"/>
        <w:tabs>
          <w:tab w:val="left" w:pos="1300"/>
        </w:tabs>
        <w:spacing w:after="0" w:line="460" w:lineRule="exact"/>
        <w:ind w:firstLine="630" w:firstLineChars="30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rPr>
        <w:t>“发</w:t>
      </w:r>
      <w:r>
        <w:rPr>
          <w:rFonts w:hint="eastAsia"/>
          <w:color w:val="auto"/>
          <w:sz w:val="21"/>
          <w:szCs w:val="21"/>
          <w:highlight w:val="none"/>
        </w:rPr>
        <w:t>包人”）为实施</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项目名称），已接受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承包人名称，以下简称</w:t>
      </w:r>
      <w:r>
        <w:rPr>
          <w:rFonts w:hint="eastAsia"/>
          <w:color w:val="auto"/>
          <w:sz w:val="21"/>
          <w:szCs w:val="21"/>
          <w:highlight w:val="none"/>
          <w:lang w:val="zh-CN" w:eastAsia="zh-CN"/>
        </w:rPr>
        <w:t>“承</w:t>
      </w:r>
      <w:r>
        <w:rPr>
          <w:rFonts w:hint="eastAsia"/>
          <w:color w:val="auto"/>
          <w:sz w:val="21"/>
          <w:szCs w:val="21"/>
          <w:highlight w:val="none"/>
        </w:rPr>
        <w:t>包人”）对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标段名称）的投标。发包人和承包人共同达成如下协议。</w:t>
      </w:r>
    </w:p>
    <w:p>
      <w:pPr>
        <w:pStyle w:val="30"/>
        <w:tabs>
          <w:tab w:val="left" w:pos="1225"/>
        </w:tabs>
        <w:spacing w:after="0" w:line="460" w:lineRule="exact"/>
        <w:ind w:left="420" w:leftChars="200" w:firstLine="0"/>
        <w:rPr>
          <w:color w:val="auto"/>
          <w:sz w:val="21"/>
          <w:szCs w:val="21"/>
          <w:highlight w:val="none"/>
          <w:lang w:val="en-US" w:eastAsia="zh-CN"/>
        </w:rPr>
      </w:pPr>
      <w:bookmarkStart w:id="411" w:name="_Toc18823"/>
      <w:bookmarkStart w:id="412" w:name="_Toc10772"/>
      <w:r>
        <w:rPr>
          <w:rFonts w:hint="eastAsia"/>
          <w:color w:val="auto"/>
          <w:sz w:val="21"/>
          <w:szCs w:val="21"/>
          <w:highlight w:val="none"/>
          <w:lang w:val="en-US" w:eastAsia="zh-CN"/>
        </w:rPr>
        <w:t>1.  本协议书与下列文件一起构成合同文件：</w:t>
      </w:r>
      <w:bookmarkEnd w:id="411"/>
      <w:bookmarkEnd w:id="412"/>
    </w:p>
    <w:p>
      <w:pPr>
        <w:pStyle w:val="30"/>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1）中标通知书。</w:t>
      </w:r>
    </w:p>
    <w:p>
      <w:pPr>
        <w:pStyle w:val="30"/>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2）投标函及投标函附录。</w:t>
      </w:r>
    </w:p>
    <w:p>
      <w:pPr>
        <w:pStyle w:val="30"/>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3）专用合同条款。</w:t>
      </w:r>
    </w:p>
    <w:p>
      <w:pPr>
        <w:pStyle w:val="30"/>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4）通用合同条款。</w:t>
      </w:r>
    </w:p>
    <w:p>
      <w:pPr>
        <w:pStyle w:val="30"/>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5）技术标准和要求</w:t>
      </w:r>
      <w:r>
        <w:rPr>
          <w:rFonts w:hint="eastAsia"/>
          <w:color w:val="auto"/>
          <w:sz w:val="21"/>
          <w:szCs w:val="21"/>
          <w:highlight w:val="none"/>
          <w:lang w:eastAsia="zh-CN"/>
        </w:rPr>
        <w:t>（</w:t>
      </w:r>
      <w:r>
        <w:rPr>
          <w:rFonts w:hint="eastAsia"/>
          <w:color w:val="auto"/>
          <w:sz w:val="21"/>
          <w:szCs w:val="21"/>
          <w:highlight w:val="none"/>
        </w:rPr>
        <w:t>合同技术条款）。</w:t>
      </w:r>
    </w:p>
    <w:p>
      <w:pPr>
        <w:pStyle w:val="30"/>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6）图纸。</w:t>
      </w:r>
    </w:p>
    <w:p>
      <w:pPr>
        <w:pStyle w:val="30"/>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7）已标价工程量清单。</w:t>
      </w:r>
    </w:p>
    <w:p>
      <w:pPr>
        <w:pStyle w:val="30"/>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8）其他合同文件。</w:t>
      </w:r>
    </w:p>
    <w:p>
      <w:pPr>
        <w:pStyle w:val="30"/>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上述文件互相补充和解释.如有不明确或不一致之处，以合同约定次序在先者为准。</w:t>
      </w:r>
    </w:p>
    <w:p>
      <w:pPr>
        <w:pStyle w:val="30"/>
        <w:tabs>
          <w:tab w:val="left" w:pos="1225"/>
          <w:tab w:val="left" w:pos="8444"/>
          <w:tab w:val="left" w:pos="116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签约合同价：人民币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rPr>
        <w:t>）。</w:t>
      </w:r>
    </w:p>
    <w:p>
      <w:pPr>
        <w:pStyle w:val="30"/>
        <w:tabs>
          <w:tab w:val="left" w:pos="1225"/>
          <w:tab w:val="left" w:pos="5648"/>
          <w:tab w:val="left" w:pos="1016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承包人项目负责人：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项目技术负责人：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30"/>
        <w:tabs>
          <w:tab w:val="left" w:pos="1225"/>
          <w:tab w:val="left" w:pos="464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rPr>
        <w:t>工程质量符合</w:t>
      </w:r>
      <w:r>
        <w:rPr>
          <w:rFonts w:hint="eastAsia"/>
          <w:color w:val="auto"/>
          <w:sz w:val="21"/>
          <w:szCs w:val="21"/>
          <w:highlight w:val="none"/>
          <w:u w:val="single"/>
          <w:lang w:val="en-US" w:eastAsia="zh-CN"/>
        </w:rPr>
        <w:t xml:space="preserve">             </w:t>
      </w:r>
      <w:r>
        <w:rPr>
          <w:rFonts w:hint="eastAsia"/>
          <w:color w:val="auto"/>
          <w:sz w:val="21"/>
          <w:szCs w:val="21"/>
          <w:highlight w:val="none"/>
        </w:rPr>
        <w:t>标准。</w:t>
      </w:r>
    </w:p>
    <w:p>
      <w:pPr>
        <w:pStyle w:val="30"/>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6.  </w:t>
      </w:r>
      <w:r>
        <w:rPr>
          <w:rFonts w:hint="eastAsia"/>
          <w:color w:val="auto"/>
          <w:sz w:val="21"/>
          <w:szCs w:val="21"/>
          <w:highlight w:val="none"/>
        </w:rPr>
        <w:t>承包人承诺按合同约定承担工程的实施、完成及缺陷修复。</w:t>
      </w:r>
    </w:p>
    <w:p>
      <w:pPr>
        <w:pStyle w:val="30"/>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7.  </w:t>
      </w:r>
      <w:r>
        <w:rPr>
          <w:rFonts w:hint="eastAsia"/>
          <w:color w:val="auto"/>
          <w:sz w:val="21"/>
          <w:szCs w:val="21"/>
          <w:highlight w:val="none"/>
        </w:rPr>
        <w:t>发包人承诺按合同约定的条件、时间和方式向承包人支付合同</w:t>
      </w:r>
      <w:r>
        <w:rPr>
          <w:rFonts w:hint="eastAsia"/>
          <w:color w:val="auto"/>
          <w:sz w:val="21"/>
          <w:szCs w:val="21"/>
          <w:highlight w:val="none"/>
          <w:lang w:val="zh-CN" w:eastAsia="zh-CN" w:bidi="zh-CN"/>
        </w:rPr>
        <w:t>价款。</w:t>
      </w:r>
    </w:p>
    <w:p>
      <w:pPr>
        <w:pStyle w:val="30"/>
        <w:tabs>
          <w:tab w:val="left" w:pos="1225"/>
          <w:tab w:val="left" w:pos="92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8.  </w:t>
      </w:r>
      <w:r>
        <w:rPr>
          <w:rFonts w:hint="eastAsia"/>
          <w:color w:val="auto"/>
          <w:sz w:val="21"/>
          <w:szCs w:val="21"/>
          <w:highlight w:val="none"/>
        </w:rPr>
        <w:t>承包人承诺执行监理人开工通知，计划工期为</w:t>
      </w:r>
      <w:r>
        <w:rPr>
          <w:rFonts w:hint="eastAsia"/>
          <w:color w:val="auto"/>
          <w:sz w:val="21"/>
          <w:szCs w:val="21"/>
          <w:highlight w:val="none"/>
          <w:u w:val="single"/>
          <w:lang w:val="en-US" w:eastAsia="zh-CN"/>
        </w:rPr>
        <w:t xml:space="preserve">             </w:t>
      </w:r>
      <w:r>
        <w:rPr>
          <w:rFonts w:hint="eastAsia"/>
          <w:color w:val="auto"/>
          <w:sz w:val="21"/>
          <w:szCs w:val="21"/>
          <w:highlight w:val="none"/>
        </w:rPr>
        <w:t>个月</w:t>
      </w:r>
      <w:r>
        <w:rPr>
          <w:rFonts w:hint="eastAsia"/>
          <w:color w:val="auto"/>
          <w:sz w:val="21"/>
          <w:szCs w:val="21"/>
          <w:highlight w:val="none"/>
          <w:lang w:eastAsia="zh-CN"/>
        </w:rPr>
        <w:t>（</w:t>
      </w:r>
      <w:r>
        <w:rPr>
          <w:rFonts w:hint="eastAsia"/>
          <w:color w:val="auto"/>
          <w:sz w:val="21"/>
          <w:szCs w:val="21"/>
          <w:highlight w:val="none"/>
        </w:rPr>
        <w:t>日历天）。</w:t>
      </w:r>
    </w:p>
    <w:p>
      <w:pPr>
        <w:pStyle w:val="30"/>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9.  </w:t>
      </w:r>
      <w:r>
        <w:rPr>
          <w:rFonts w:hint="eastAsia"/>
          <w:color w:val="auto"/>
          <w:sz w:val="21"/>
          <w:szCs w:val="21"/>
          <w:highlight w:val="none"/>
        </w:rPr>
        <w:t>本协议书正本一式</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贰</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合同双方各执</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壹</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副本</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双方各执</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p>
    <w:p>
      <w:pPr>
        <w:pStyle w:val="30"/>
        <w:tabs>
          <w:tab w:val="left" w:pos="125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10.  </w:t>
      </w:r>
      <w:r>
        <w:rPr>
          <w:rFonts w:hint="eastAsia"/>
          <w:color w:val="auto"/>
          <w:sz w:val="21"/>
          <w:szCs w:val="21"/>
          <w:highlight w:val="none"/>
        </w:rPr>
        <w:t>合同未尽事宜，双方另行签订补充协议。补充协议是合同的组成部分。</w:t>
      </w:r>
    </w:p>
    <w:p>
      <w:pPr>
        <w:pStyle w:val="30"/>
        <w:tabs>
          <w:tab w:val="left" w:pos="2092"/>
          <w:tab w:val="left" w:pos="6184"/>
        </w:tabs>
        <w:spacing w:after="0" w:line="460" w:lineRule="exact"/>
        <w:ind w:firstLine="420" w:firstLineChars="200"/>
        <w:rPr>
          <w:color w:val="auto"/>
          <w:sz w:val="21"/>
          <w:szCs w:val="21"/>
          <w:highlight w:val="none"/>
        </w:rPr>
      </w:pPr>
    </w:p>
    <w:p>
      <w:pPr>
        <w:pStyle w:val="30"/>
        <w:tabs>
          <w:tab w:val="left" w:pos="2092"/>
          <w:tab w:val="left" w:pos="6184"/>
        </w:tabs>
        <w:spacing w:after="0" w:line="460" w:lineRule="exact"/>
        <w:ind w:firstLine="420" w:firstLineChars="200"/>
        <w:rPr>
          <w:color w:val="auto"/>
          <w:sz w:val="21"/>
          <w:szCs w:val="21"/>
          <w:highlight w:val="none"/>
        </w:rPr>
      </w:pP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rPr>
        <w:tab/>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30"/>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u w:val="single"/>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u w:val="single"/>
        </w:rPr>
        <w:tab/>
      </w:r>
    </w:p>
    <w:p>
      <w:pPr>
        <w:pStyle w:val="32"/>
        <w:keepNext/>
        <w:keepLines/>
        <w:spacing w:after="0" w:line="460" w:lineRule="exact"/>
        <w:ind w:firstLine="1680" w:firstLineChars="800"/>
        <w:outlineLvl w:val="9"/>
        <w:rPr>
          <w:color w:val="auto"/>
          <w:sz w:val="21"/>
          <w:szCs w:val="21"/>
          <w:highlight w:val="none"/>
          <w:lang w:val="en-US" w:eastAsia="zh-CN"/>
        </w:rPr>
      </w:pPr>
      <w:r>
        <w:rPr>
          <w:rFonts w:hint="eastAsia"/>
          <w:color w:val="auto"/>
          <w:sz w:val="21"/>
          <w:szCs w:val="21"/>
          <w:highlight w:val="none"/>
          <w:u w:val="single"/>
          <w:lang w:val="en-US" w:eastAsia="zh-CN"/>
        </w:rPr>
        <w:t xml:space="preserve">     </w:t>
      </w:r>
      <w:bookmarkStart w:id="413" w:name="_Toc15344"/>
      <w:bookmarkStart w:id="414" w:name="_Toc32498"/>
      <w:bookmarkStart w:id="415" w:name="_Toc21213"/>
      <w:bookmarkStart w:id="416" w:name="_Toc18875"/>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bookmarkEnd w:id="413"/>
      <w:bookmarkEnd w:id="414"/>
      <w:bookmarkEnd w:id="415"/>
      <w:bookmarkEnd w:id="416"/>
    </w:p>
    <w:p>
      <w:pPr>
        <w:pStyle w:val="30"/>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rPr>
      </w:pPr>
    </w:p>
    <w:p>
      <w:pPr>
        <w:pStyle w:val="38"/>
        <w:spacing w:after="0" w:line="460" w:lineRule="exact"/>
        <w:rPr>
          <w:color w:val="auto"/>
          <w:sz w:val="21"/>
          <w:szCs w:val="21"/>
          <w:highlight w:val="none"/>
        </w:rPr>
      </w:pPr>
    </w:p>
    <w:p>
      <w:pPr>
        <w:pStyle w:val="38"/>
        <w:spacing w:after="0" w:line="460" w:lineRule="exact"/>
        <w:rPr>
          <w:color w:val="auto"/>
          <w:sz w:val="21"/>
          <w:szCs w:val="21"/>
          <w:highlight w:val="none"/>
        </w:rPr>
      </w:pPr>
      <w:r>
        <w:rPr>
          <w:rFonts w:hint="eastAsia"/>
          <w:color w:val="auto"/>
          <w:sz w:val="21"/>
          <w:szCs w:val="21"/>
          <w:highlight w:val="none"/>
        </w:rPr>
        <w:t>附件二履约担保</w:t>
      </w:r>
      <w:r>
        <w:rPr>
          <w:rFonts w:hint="eastAsia"/>
          <w:color w:val="auto"/>
          <w:sz w:val="21"/>
          <w:szCs w:val="21"/>
          <w:highlight w:val="none"/>
          <w:lang w:eastAsia="zh-CN"/>
        </w:rPr>
        <w:t>（</w:t>
      </w:r>
      <w:r>
        <w:rPr>
          <w:rFonts w:hint="eastAsia"/>
          <w:color w:val="auto"/>
          <w:sz w:val="21"/>
          <w:szCs w:val="21"/>
          <w:highlight w:val="none"/>
        </w:rPr>
        <w:t>格式）</w:t>
      </w:r>
    </w:p>
    <w:p>
      <w:pPr>
        <w:pStyle w:val="32"/>
        <w:keepNext/>
        <w:keepLines/>
        <w:spacing w:beforeLines="100" w:afterLines="50"/>
        <w:jc w:val="center"/>
        <w:outlineLvl w:val="9"/>
        <w:rPr>
          <w:b/>
          <w:bCs/>
          <w:color w:val="auto"/>
          <w:sz w:val="36"/>
          <w:szCs w:val="36"/>
          <w:highlight w:val="none"/>
        </w:rPr>
      </w:pPr>
      <w:bookmarkStart w:id="417" w:name="_Toc17155"/>
      <w:bookmarkStart w:id="418" w:name="_Toc29339"/>
      <w:bookmarkStart w:id="419" w:name="_Toc15214"/>
      <w:bookmarkStart w:id="420" w:name="_Toc10456"/>
      <w:r>
        <w:rPr>
          <w:rFonts w:hint="eastAsia"/>
          <w:b/>
          <w:bCs/>
          <w:color w:val="auto"/>
          <w:sz w:val="36"/>
          <w:szCs w:val="36"/>
          <w:highlight w:val="none"/>
        </w:rPr>
        <w:t>履</w:t>
      </w:r>
      <w:r>
        <w:rPr>
          <w:rFonts w:hint="eastAsia"/>
          <w:b/>
          <w:bCs/>
          <w:color w:val="auto"/>
          <w:sz w:val="36"/>
          <w:szCs w:val="36"/>
          <w:highlight w:val="none"/>
          <w:lang w:val="en-US" w:eastAsia="zh-CN"/>
        </w:rPr>
        <w:t xml:space="preserve"> </w:t>
      </w:r>
      <w:r>
        <w:rPr>
          <w:rFonts w:hint="eastAsia"/>
          <w:b/>
          <w:bCs/>
          <w:color w:val="auto"/>
          <w:sz w:val="36"/>
          <w:szCs w:val="36"/>
          <w:highlight w:val="none"/>
        </w:rPr>
        <w:t>约</w:t>
      </w:r>
      <w:r>
        <w:rPr>
          <w:rFonts w:hint="eastAsia"/>
          <w:b/>
          <w:bCs/>
          <w:color w:val="auto"/>
          <w:sz w:val="36"/>
          <w:szCs w:val="36"/>
          <w:highlight w:val="none"/>
          <w:lang w:val="en-US" w:eastAsia="zh-CN"/>
        </w:rPr>
        <w:t xml:space="preserve"> </w:t>
      </w:r>
      <w:r>
        <w:rPr>
          <w:rFonts w:hint="eastAsia"/>
          <w:b/>
          <w:bCs/>
          <w:color w:val="auto"/>
          <w:sz w:val="36"/>
          <w:szCs w:val="36"/>
          <w:highlight w:val="none"/>
        </w:rPr>
        <w:t>担</w:t>
      </w:r>
      <w:r>
        <w:rPr>
          <w:rFonts w:hint="eastAsia"/>
          <w:b/>
          <w:bCs/>
          <w:color w:val="auto"/>
          <w:sz w:val="36"/>
          <w:szCs w:val="36"/>
          <w:highlight w:val="none"/>
          <w:lang w:val="en-US" w:eastAsia="zh-CN"/>
        </w:rPr>
        <w:t xml:space="preserve"> </w:t>
      </w:r>
      <w:r>
        <w:rPr>
          <w:rFonts w:hint="eastAsia"/>
          <w:b/>
          <w:bCs/>
          <w:color w:val="auto"/>
          <w:sz w:val="36"/>
          <w:szCs w:val="36"/>
          <w:highlight w:val="none"/>
        </w:rPr>
        <w:t>保</w:t>
      </w:r>
      <w:bookmarkEnd w:id="417"/>
      <w:bookmarkEnd w:id="418"/>
      <w:bookmarkEnd w:id="419"/>
      <w:bookmarkEnd w:id="420"/>
    </w:p>
    <w:p>
      <w:pPr>
        <w:pStyle w:val="30"/>
        <w:tabs>
          <w:tab w:val="left" w:pos="2796"/>
        </w:tabs>
        <w:spacing w:after="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发包人名称）：</w:t>
      </w:r>
    </w:p>
    <w:p>
      <w:pPr>
        <w:pStyle w:val="30"/>
        <w:tabs>
          <w:tab w:val="left" w:pos="2796"/>
          <w:tab w:val="left" w:pos="10596"/>
          <w:tab w:val="left" w:pos="10956"/>
        </w:tabs>
        <w:spacing w:after="0" w:line="460" w:lineRule="exact"/>
        <w:ind w:firstLine="420" w:firstLineChars="200"/>
        <w:rPr>
          <w:color w:val="auto"/>
          <w:sz w:val="21"/>
          <w:szCs w:val="21"/>
          <w:highlight w:val="none"/>
        </w:rPr>
      </w:pPr>
      <w:r>
        <w:rPr>
          <w:rFonts w:hint="eastAsia"/>
          <w:color w:val="auto"/>
          <w:sz w:val="21"/>
          <w:szCs w:val="21"/>
          <w:highlight w:val="none"/>
        </w:rPr>
        <w:t>鉴于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bidi="zh-CN"/>
        </w:rPr>
        <w:t>“发</w:t>
      </w:r>
      <w:r>
        <w:rPr>
          <w:rFonts w:hint="eastAsia"/>
          <w:color w:val="auto"/>
          <w:sz w:val="21"/>
          <w:szCs w:val="21"/>
          <w:highlight w:val="none"/>
        </w:rPr>
        <w:t>包人”）接受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承包人</w:t>
      </w:r>
      <w:r>
        <w:rPr>
          <w:rFonts w:hint="eastAsia"/>
          <w:color w:val="auto"/>
          <w:sz w:val="21"/>
          <w:szCs w:val="21"/>
          <w:highlight w:val="none"/>
        </w:rPr>
        <w:t>名称，以下简称</w:t>
      </w: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承包人</w:t>
      </w:r>
      <w:r>
        <w:rPr>
          <w:rFonts w:hint="eastAsia"/>
          <w:color w:val="auto"/>
          <w:sz w:val="21"/>
          <w:szCs w:val="21"/>
          <w:highlight w:val="none"/>
        </w:rPr>
        <w:t>”</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rPr>
        <w:t>日递交的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标段名称）的投标文件。我方愿意无条件地、不可撤销地就承包人履行与你方订立的合同，向你方提供担保。</w:t>
      </w:r>
    </w:p>
    <w:p>
      <w:pPr>
        <w:pStyle w:val="30"/>
        <w:tabs>
          <w:tab w:val="left" w:pos="1130"/>
          <w:tab w:val="left" w:pos="7048"/>
          <w:tab w:val="left" w:pos="1021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担保金额人民币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30"/>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担保有效期自发包人与承包人签订的合同生效之日起至发包人签发合同工程完工证书之日止。</w:t>
      </w:r>
    </w:p>
    <w:p>
      <w:pPr>
        <w:pStyle w:val="30"/>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在本担保有效期内，因承包人违反合同约定的义务给你方造成经济损失时，我方在收到你方以书面形式提出的在担保金额内的赔偿要求后，无条件地在7天内予以支付。</w:t>
      </w:r>
    </w:p>
    <w:p>
      <w:pPr>
        <w:pStyle w:val="30"/>
        <w:tabs>
          <w:tab w:val="left" w:pos="1130"/>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4.  </w:t>
      </w:r>
      <w:r>
        <w:rPr>
          <w:rFonts w:hint="eastAsia"/>
          <w:color w:val="auto"/>
          <w:sz w:val="21"/>
          <w:szCs w:val="21"/>
          <w:highlight w:val="none"/>
        </w:rPr>
        <w:t>发包人和承包人按《通用合同条款》第15条</w:t>
      </w:r>
      <w:r>
        <w:rPr>
          <w:rFonts w:hint="eastAsia"/>
          <w:color w:val="auto"/>
          <w:sz w:val="21"/>
          <w:szCs w:val="21"/>
          <w:highlight w:val="none"/>
          <w:lang w:val="en-US" w:eastAsia="zh-CN"/>
        </w:rPr>
        <w:t>变更</w:t>
      </w:r>
      <w:r>
        <w:rPr>
          <w:rFonts w:hint="eastAsia"/>
          <w:color w:val="auto"/>
          <w:sz w:val="21"/>
          <w:szCs w:val="21"/>
          <w:highlight w:val="none"/>
        </w:rPr>
        <w:t>合同时，我方承担本担保规定的义务不变。</w:t>
      </w:r>
    </w:p>
    <w:p>
      <w:pPr>
        <w:pStyle w:val="30"/>
        <w:tabs>
          <w:tab w:val="left" w:pos="1130"/>
        </w:tabs>
        <w:wordWrap w:val="0"/>
        <w:spacing w:after="0" w:line="460" w:lineRule="exact"/>
        <w:ind w:firstLine="420" w:firstLineChars="200"/>
        <w:rPr>
          <w:color w:val="auto"/>
          <w:sz w:val="21"/>
          <w:szCs w:val="21"/>
          <w:highlight w:val="none"/>
          <w:lang w:val="en-US" w:eastAsia="zh-CN"/>
        </w:rPr>
      </w:pPr>
    </w:p>
    <w:p>
      <w:pPr>
        <w:pStyle w:val="30"/>
        <w:tabs>
          <w:tab w:val="left" w:pos="1130"/>
        </w:tabs>
        <w:wordWrap w:val="0"/>
        <w:spacing w:after="0" w:line="460" w:lineRule="exact"/>
        <w:ind w:firstLine="420" w:firstLineChars="200"/>
        <w:rPr>
          <w:color w:val="auto"/>
          <w:sz w:val="21"/>
          <w:szCs w:val="21"/>
          <w:highlight w:val="none"/>
          <w:lang w:val="en-US" w:eastAsia="zh-CN"/>
        </w:rPr>
      </w:pPr>
    </w:p>
    <w:p>
      <w:pPr>
        <w:pStyle w:val="30"/>
        <w:tabs>
          <w:tab w:val="left" w:pos="1130"/>
        </w:tabs>
        <w:wordWrap w:val="0"/>
        <w:spacing w:after="0" w:line="460" w:lineRule="exact"/>
        <w:ind w:firstLine="420" w:firstLineChars="200"/>
        <w:rPr>
          <w:color w:val="auto"/>
          <w:sz w:val="21"/>
          <w:szCs w:val="21"/>
          <w:highlight w:val="none"/>
          <w:lang w:val="en-US" w:eastAsia="zh-CN"/>
        </w:rPr>
      </w:pPr>
    </w:p>
    <w:p>
      <w:pPr>
        <w:pStyle w:val="30"/>
        <w:tabs>
          <w:tab w:val="left" w:pos="1130"/>
        </w:tabs>
        <w:wordWrap w:val="0"/>
        <w:spacing w:after="0" w:line="460" w:lineRule="exact"/>
        <w:ind w:firstLine="420" w:firstLineChars="200"/>
        <w:rPr>
          <w:color w:val="auto"/>
          <w:sz w:val="21"/>
          <w:szCs w:val="21"/>
          <w:highlight w:val="none"/>
          <w:lang w:val="en-US" w:eastAsia="zh-CN"/>
        </w:rPr>
      </w:pPr>
    </w:p>
    <w:p>
      <w:pPr>
        <w:pStyle w:val="30"/>
        <w:tabs>
          <w:tab w:val="left" w:pos="1130"/>
        </w:tabs>
        <w:wordWrap w:val="0"/>
        <w:spacing w:beforeLines="10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担保人：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（盖单位章）</w:t>
      </w:r>
    </w:p>
    <w:p>
      <w:pPr>
        <w:pStyle w:val="30"/>
        <w:tabs>
          <w:tab w:val="left" w:pos="1130"/>
        </w:tabs>
        <w:wordWrap w:val="0"/>
        <w:spacing w:beforeLines="10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（签字）</w:t>
      </w:r>
    </w:p>
    <w:p>
      <w:pPr>
        <w:pStyle w:val="30"/>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地址：</w:t>
      </w:r>
      <w:r>
        <w:rPr>
          <w:rFonts w:hint="eastAsia"/>
          <w:color w:val="auto"/>
          <w:sz w:val="21"/>
          <w:szCs w:val="21"/>
          <w:highlight w:val="none"/>
          <w:u w:val="single"/>
          <w:lang w:val="en-US" w:eastAsia="zh-CN"/>
        </w:rPr>
        <w:t xml:space="preserve">                  </w:t>
      </w:r>
    </w:p>
    <w:p>
      <w:pPr>
        <w:pStyle w:val="30"/>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邮政编码：</w:t>
      </w:r>
      <w:r>
        <w:rPr>
          <w:rFonts w:hint="eastAsia"/>
          <w:color w:val="auto"/>
          <w:sz w:val="21"/>
          <w:szCs w:val="21"/>
          <w:highlight w:val="none"/>
          <w:u w:val="single"/>
          <w:lang w:val="en-US" w:eastAsia="zh-CN"/>
        </w:rPr>
        <w:t xml:space="preserve">              </w:t>
      </w:r>
    </w:p>
    <w:p>
      <w:pPr>
        <w:pStyle w:val="30"/>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电话：</w:t>
      </w:r>
      <w:r>
        <w:rPr>
          <w:rFonts w:hint="eastAsia"/>
          <w:color w:val="auto"/>
          <w:sz w:val="21"/>
          <w:szCs w:val="21"/>
          <w:highlight w:val="none"/>
          <w:u w:val="single"/>
          <w:lang w:val="en-US" w:eastAsia="zh-CN"/>
        </w:rPr>
        <w:t xml:space="preserve">                  </w:t>
      </w:r>
    </w:p>
    <w:p>
      <w:pPr>
        <w:pStyle w:val="30"/>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传真：</w:t>
      </w:r>
      <w:r>
        <w:rPr>
          <w:rFonts w:hint="eastAsia"/>
          <w:color w:val="auto"/>
          <w:sz w:val="21"/>
          <w:szCs w:val="21"/>
          <w:highlight w:val="none"/>
          <w:u w:val="single"/>
          <w:lang w:val="en-US" w:eastAsia="zh-CN"/>
        </w:rPr>
        <w:t xml:space="preserve">                  </w:t>
      </w:r>
    </w:p>
    <w:p>
      <w:pPr>
        <w:pStyle w:val="30"/>
        <w:tabs>
          <w:tab w:val="left" w:pos="1130"/>
        </w:tabs>
        <w:spacing w:after="0" w:line="460" w:lineRule="exact"/>
        <w:ind w:firstLine="420" w:firstLineChars="200"/>
        <w:jc w:val="right"/>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30"/>
        <w:tabs>
          <w:tab w:val="left" w:pos="1380"/>
        </w:tabs>
        <w:spacing w:after="0" w:line="460" w:lineRule="exact"/>
        <w:ind w:firstLine="420" w:firstLineChars="200"/>
        <w:rPr>
          <w:color w:val="auto"/>
          <w:sz w:val="21"/>
          <w:szCs w:val="21"/>
          <w:highlight w:val="none"/>
        </w:rPr>
      </w:pPr>
    </w:p>
    <w:p>
      <w:pPr>
        <w:pStyle w:val="30"/>
        <w:tabs>
          <w:tab w:val="left" w:pos="1380"/>
        </w:tabs>
        <w:spacing w:after="0" w:line="460" w:lineRule="exact"/>
        <w:ind w:firstLine="420" w:firstLineChars="200"/>
        <w:rPr>
          <w:color w:val="auto"/>
          <w:sz w:val="21"/>
          <w:szCs w:val="21"/>
          <w:highlight w:val="none"/>
        </w:rPr>
      </w:pPr>
      <w:r>
        <w:rPr>
          <w:rFonts w:hint="eastAsia"/>
          <w:color w:val="auto"/>
          <w:sz w:val="21"/>
          <w:szCs w:val="21"/>
          <w:highlight w:val="none"/>
        </w:rPr>
        <w:t>注：委托代理人应附授权委托书。</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32"/>
        <w:keepNext/>
        <w:keepLines/>
        <w:spacing w:after="0" w:line="460" w:lineRule="exact"/>
        <w:outlineLvl w:val="9"/>
        <w:rPr>
          <w:color w:val="auto"/>
          <w:sz w:val="21"/>
          <w:szCs w:val="21"/>
          <w:highlight w:val="none"/>
        </w:rPr>
      </w:pPr>
      <w:bookmarkStart w:id="421" w:name="_Toc30047"/>
      <w:bookmarkStart w:id="422" w:name="_Toc3456"/>
      <w:r>
        <w:rPr>
          <w:rFonts w:hint="eastAsia"/>
          <w:color w:val="auto"/>
          <w:sz w:val="21"/>
          <w:szCs w:val="21"/>
          <w:highlight w:val="none"/>
        </w:rPr>
        <w:t>附件三工程廉政责任书</w:t>
      </w:r>
      <w:r>
        <w:rPr>
          <w:rFonts w:hint="eastAsia"/>
          <w:color w:val="auto"/>
          <w:sz w:val="21"/>
          <w:szCs w:val="21"/>
          <w:highlight w:val="none"/>
          <w:lang w:eastAsia="zh-CN"/>
        </w:rPr>
        <w:t>（</w:t>
      </w:r>
      <w:r>
        <w:rPr>
          <w:rFonts w:hint="eastAsia"/>
          <w:color w:val="auto"/>
          <w:sz w:val="21"/>
          <w:szCs w:val="21"/>
          <w:highlight w:val="none"/>
        </w:rPr>
        <w:t>格式）</w:t>
      </w:r>
      <w:bookmarkEnd w:id="421"/>
      <w:bookmarkEnd w:id="422"/>
    </w:p>
    <w:p>
      <w:pPr>
        <w:pStyle w:val="32"/>
        <w:keepNext/>
        <w:keepLines/>
        <w:spacing w:beforeLines="100" w:afterLines="50"/>
        <w:jc w:val="center"/>
        <w:outlineLvl w:val="9"/>
        <w:rPr>
          <w:b/>
          <w:bCs/>
          <w:color w:val="auto"/>
          <w:sz w:val="36"/>
          <w:szCs w:val="36"/>
          <w:highlight w:val="none"/>
        </w:rPr>
      </w:pPr>
      <w:bookmarkStart w:id="423" w:name="_Toc31190"/>
      <w:bookmarkStart w:id="424" w:name="_Toc24951"/>
      <w:bookmarkStart w:id="425" w:name="_Toc15843"/>
      <w:bookmarkStart w:id="426" w:name="_Toc6054"/>
      <w:r>
        <w:rPr>
          <w:rFonts w:hint="eastAsia"/>
          <w:b/>
          <w:bCs/>
          <w:color w:val="auto"/>
          <w:sz w:val="36"/>
          <w:szCs w:val="36"/>
          <w:highlight w:val="none"/>
        </w:rPr>
        <w:t>工</w:t>
      </w:r>
      <w:r>
        <w:rPr>
          <w:rFonts w:hint="eastAsia"/>
          <w:b/>
          <w:bCs/>
          <w:color w:val="auto"/>
          <w:sz w:val="36"/>
          <w:szCs w:val="36"/>
          <w:highlight w:val="none"/>
          <w:lang w:val="en-US" w:eastAsia="zh-CN"/>
        </w:rPr>
        <w:t xml:space="preserve"> </w:t>
      </w:r>
      <w:r>
        <w:rPr>
          <w:rFonts w:hint="eastAsia"/>
          <w:b/>
          <w:bCs/>
          <w:color w:val="auto"/>
          <w:sz w:val="36"/>
          <w:szCs w:val="36"/>
          <w:highlight w:val="none"/>
        </w:rPr>
        <w:t>程</w:t>
      </w:r>
      <w:r>
        <w:rPr>
          <w:rFonts w:hint="eastAsia"/>
          <w:b/>
          <w:bCs/>
          <w:color w:val="auto"/>
          <w:sz w:val="36"/>
          <w:szCs w:val="36"/>
          <w:highlight w:val="none"/>
          <w:lang w:val="en-US" w:eastAsia="zh-CN"/>
        </w:rPr>
        <w:t xml:space="preserve"> </w:t>
      </w:r>
      <w:r>
        <w:rPr>
          <w:rFonts w:hint="eastAsia"/>
          <w:b/>
          <w:bCs/>
          <w:color w:val="auto"/>
          <w:sz w:val="36"/>
          <w:szCs w:val="36"/>
          <w:highlight w:val="none"/>
        </w:rPr>
        <w:t>廉</w:t>
      </w:r>
      <w:r>
        <w:rPr>
          <w:rFonts w:hint="eastAsia"/>
          <w:b/>
          <w:bCs/>
          <w:color w:val="auto"/>
          <w:sz w:val="36"/>
          <w:szCs w:val="36"/>
          <w:highlight w:val="none"/>
          <w:lang w:val="en-US" w:eastAsia="zh-CN"/>
        </w:rPr>
        <w:t xml:space="preserve"> </w:t>
      </w:r>
      <w:r>
        <w:rPr>
          <w:rFonts w:hint="eastAsia"/>
          <w:b/>
          <w:bCs/>
          <w:color w:val="auto"/>
          <w:sz w:val="36"/>
          <w:szCs w:val="36"/>
          <w:highlight w:val="none"/>
        </w:rPr>
        <w:t>政</w:t>
      </w:r>
      <w:r>
        <w:rPr>
          <w:rFonts w:hint="eastAsia"/>
          <w:b/>
          <w:bCs/>
          <w:color w:val="auto"/>
          <w:sz w:val="36"/>
          <w:szCs w:val="36"/>
          <w:highlight w:val="none"/>
          <w:lang w:val="en-US" w:eastAsia="zh-CN"/>
        </w:rPr>
        <w:t xml:space="preserve"> </w:t>
      </w:r>
      <w:r>
        <w:rPr>
          <w:rFonts w:hint="eastAsia"/>
          <w:b/>
          <w:bCs/>
          <w:color w:val="auto"/>
          <w:sz w:val="36"/>
          <w:szCs w:val="36"/>
          <w:highlight w:val="none"/>
        </w:rPr>
        <w:t>责</w:t>
      </w:r>
      <w:r>
        <w:rPr>
          <w:rFonts w:hint="eastAsia"/>
          <w:b/>
          <w:bCs/>
          <w:color w:val="auto"/>
          <w:sz w:val="36"/>
          <w:szCs w:val="36"/>
          <w:highlight w:val="none"/>
          <w:lang w:val="en-US" w:eastAsia="zh-CN"/>
        </w:rPr>
        <w:t xml:space="preserve"> </w:t>
      </w:r>
      <w:r>
        <w:rPr>
          <w:rFonts w:hint="eastAsia"/>
          <w:b/>
          <w:bCs/>
          <w:color w:val="auto"/>
          <w:sz w:val="36"/>
          <w:szCs w:val="36"/>
          <w:highlight w:val="none"/>
        </w:rPr>
        <w:t>任</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23"/>
      <w:bookmarkEnd w:id="424"/>
      <w:bookmarkEnd w:id="425"/>
      <w:bookmarkEnd w:id="426"/>
    </w:p>
    <w:p>
      <w:pPr>
        <w:pStyle w:val="30"/>
        <w:tabs>
          <w:tab w:val="left" w:pos="1044"/>
          <w:tab w:val="left" w:pos="6312"/>
          <w:tab w:val="left" w:pos="8232"/>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为加强工程建设中的廉政建设，保证工程建设高效优质完成，保证建设资金的安全和有效使用，</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项目名称）的发包人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以下称甲方）与承包人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以下称乙方），特订立如下责</w:t>
      </w:r>
      <w:r>
        <w:rPr>
          <w:rFonts w:hint="eastAsia"/>
          <w:color w:val="auto"/>
          <w:sz w:val="21"/>
          <w:szCs w:val="21"/>
          <w:highlight w:val="none"/>
          <w:lang w:val="zh-CN" w:eastAsia="zh-CN" w:bidi="zh-CN"/>
        </w:rPr>
        <w:t>任书。</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甲乙双方的权利和义务</w:t>
      </w:r>
    </w:p>
    <w:p>
      <w:pPr>
        <w:pStyle w:val="30"/>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一）严格遵守党和国家工程建设的有关法律法规及水利部门的有关规定。</w:t>
      </w:r>
    </w:p>
    <w:p>
      <w:pPr>
        <w:pStyle w:val="30"/>
        <w:tabs>
          <w:tab w:val="left" w:pos="1522"/>
          <w:tab w:val="left" w:pos="6748"/>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二）严格执行</w:t>
      </w:r>
      <w:r>
        <w:rPr>
          <w:rFonts w:hint="eastAsia"/>
          <w:color w:val="auto"/>
          <w:sz w:val="21"/>
          <w:szCs w:val="21"/>
          <w:highlight w:val="none"/>
          <w:u w:val="single"/>
        </w:rPr>
        <w:tab/>
      </w:r>
      <w:r>
        <w:rPr>
          <w:rFonts w:hint="eastAsia"/>
          <w:color w:val="auto"/>
          <w:sz w:val="21"/>
          <w:szCs w:val="21"/>
          <w:highlight w:val="none"/>
        </w:rPr>
        <w:t>的合同文件，自觉按合同办事。</w:t>
      </w:r>
    </w:p>
    <w:p>
      <w:pPr>
        <w:pStyle w:val="30"/>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三）双方的业务活动坚持公开、公平、公正、诚信、透明的原则</w:t>
      </w:r>
      <w:r>
        <w:rPr>
          <w:rFonts w:hint="eastAsia"/>
          <w:color w:val="auto"/>
          <w:sz w:val="21"/>
          <w:szCs w:val="21"/>
          <w:highlight w:val="none"/>
          <w:lang w:eastAsia="zh-CN"/>
        </w:rPr>
        <w:t>（</w:t>
      </w:r>
      <w:r>
        <w:rPr>
          <w:rFonts w:hint="eastAsia"/>
          <w:color w:val="auto"/>
          <w:sz w:val="21"/>
          <w:szCs w:val="21"/>
          <w:highlight w:val="none"/>
        </w:rPr>
        <w:t>除法律认定的商业秘密和合同文件另有规定之外），不得损害国家和集体利益，违反工程建设管理规定。</w:t>
      </w:r>
      <w:r>
        <w:rPr>
          <w:rFonts w:hint="eastAsia"/>
          <w:color w:val="auto"/>
          <w:sz w:val="21"/>
          <w:szCs w:val="21"/>
          <w:highlight w:val="none"/>
        </w:rPr>
        <w:tab/>
      </w:r>
    </w:p>
    <w:p>
      <w:pPr>
        <w:pStyle w:val="30"/>
        <w:tabs>
          <w:tab w:val="left" w:pos="1532"/>
          <w:tab w:val="left" w:pos="289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四）建立健全廉政制度、监督制度和处罚制度，开展廉政教育，设立廉政告示牌，公布举报电话。</w:t>
      </w:r>
    </w:p>
    <w:p>
      <w:pPr>
        <w:pStyle w:val="30"/>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五）发现对方在业务活动中有违反廉政规定的行为，有及时提醒对方纠正的权利和义务。</w:t>
      </w:r>
    </w:p>
    <w:p>
      <w:pPr>
        <w:pStyle w:val="30"/>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六）发现对方严重违反本责任书义务条款的行为，有向其上级有关部门举报、建议给予处理并要求告知处理结果的权利。</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甲方的义务</w:t>
      </w:r>
    </w:p>
    <w:p>
      <w:pPr>
        <w:pStyle w:val="30"/>
        <w:numPr>
          <w:ilvl w:val="0"/>
          <w:numId w:val="2"/>
        </w:numPr>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rPr>
        <w:t>甲方及其工作人员不得索要或接受乙方的礼金、礼券、有价证券和物品，不得到乙方报销任何由甲方或个人支付的费用等。</w:t>
      </w:r>
    </w:p>
    <w:p>
      <w:pPr>
        <w:pStyle w:val="30"/>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甲方不得有意刁难、拖延承包商工程款，不得违反规定批拨工程建设费用等。</w:t>
      </w:r>
    </w:p>
    <w:p>
      <w:pPr>
        <w:pStyle w:val="30"/>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三）甲方工作人员不得参加乙方安排的宴请和娱乐活动；不得接受乙方提供的通信工具、交通工具和高档办公用品等。</w:t>
      </w:r>
    </w:p>
    <w:p>
      <w:pPr>
        <w:pStyle w:val="30"/>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四）甲方及其工作人员不得要求或者接受乙方为其住房装修、操办婚丧嫁娶、安排配偶子女的工作以及出国出境、旅游等。</w:t>
      </w:r>
    </w:p>
    <w:p>
      <w:pPr>
        <w:pStyle w:val="30"/>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五）甲方工作人员的配偶、子女及下属单位不得从事与甲方工程有关的材料设备供应、工程分包、劳务等经济活动。</w:t>
      </w:r>
    </w:p>
    <w:p>
      <w:pPr>
        <w:pStyle w:val="30"/>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六）甲方及其工作人员不得以任何理由向乙方推荐分包单位，不得要求乙方购买合同规定外的材料和设备。</w:t>
      </w:r>
      <w:r>
        <w:rPr>
          <w:rFonts w:hint="eastAsia"/>
          <w:color w:val="auto"/>
          <w:sz w:val="21"/>
          <w:szCs w:val="21"/>
          <w:highlight w:val="none"/>
        </w:rPr>
        <w:br w:type="page"/>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乙方义务</w:t>
      </w:r>
    </w:p>
    <w:p>
      <w:pPr>
        <w:pStyle w:val="30"/>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乙方不得以任何理由向甲方及其工作人员行贿或馈赠礼金、礼券、有价证券、礼品。</w:t>
      </w:r>
    </w:p>
    <w:p>
      <w:pPr>
        <w:pStyle w:val="30"/>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二）乙方不得以任何名义为甲方及其工作人员报销应由甲方单位或个人支付的任何费用。</w:t>
      </w:r>
    </w:p>
    <w:p>
      <w:pPr>
        <w:pStyle w:val="30"/>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三）乙方不得要求甲方违反规定，批拨、追加工程建设费用等。</w:t>
      </w:r>
    </w:p>
    <w:p>
      <w:pPr>
        <w:pStyle w:val="30"/>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四）乙方不得以任何理由安排甲方工作人员参加宴请及娱乐活动。</w:t>
      </w:r>
    </w:p>
    <w:p>
      <w:pPr>
        <w:pStyle w:val="30"/>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五）乙方不得为甲方单位和个人购置或提供通信工具、交通工具和高档办公室用品等。</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第四条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30"/>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甲方及其工作人员违反本责任书第一、二条，按管理权限，依据有关规定给予党纪、政纪或组织处理；涉嫌犯罪的，移送司法机关追究刑事责任；给乙方单位造成经济损失的，应予以赔偿。</w:t>
      </w:r>
    </w:p>
    <w:p>
      <w:pPr>
        <w:pStyle w:val="30"/>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乙方及其工作人员违反</w:t>
      </w:r>
      <w:r>
        <w:rPr>
          <w:rFonts w:hint="eastAsia"/>
          <w:color w:val="auto"/>
          <w:sz w:val="21"/>
          <w:szCs w:val="21"/>
          <w:highlight w:val="none"/>
          <w:lang w:val="en-US" w:eastAsia="zh-CN"/>
        </w:rPr>
        <w:t>本</w:t>
      </w:r>
      <w:r>
        <w:rPr>
          <w:rFonts w:hint="eastAsia"/>
          <w:color w:val="auto"/>
          <w:sz w:val="21"/>
          <w:szCs w:val="21"/>
          <w:highlight w:val="none"/>
        </w:rPr>
        <w:t>责任书第一、三条，按管理权限，依据有关规定，给予党纪、政纪、组织处理或停止承接业务处理；给甲方单位造成经济损失的，应予以赔偿；情节严重的，甲方建议有关工程建设主管部门给予乙方1〜3年内不得参与工程建设项目投标的处罚。</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第五条</w:t>
      </w:r>
      <w:r>
        <w:rPr>
          <w:rFonts w:hint="eastAsia"/>
          <w:color w:val="auto"/>
          <w:sz w:val="21"/>
          <w:szCs w:val="21"/>
          <w:highlight w:val="none"/>
          <w:lang w:val="en-US" w:eastAsia="zh-CN"/>
        </w:rPr>
        <w:t xml:space="preserve">  </w:t>
      </w:r>
      <w:r>
        <w:rPr>
          <w:rFonts w:hint="eastAsia"/>
          <w:color w:val="auto"/>
          <w:sz w:val="21"/>
          <w:szCs w:val="21"/>
          <w:highlight w:val="none"/>
        </w:rPr>
        <w:t>双方约定</w:t>
      </w:r>
    </w:p>
    <w:p>
      <w:pPr>
        <w:pStyle w:val="30"/>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本责任书由纪检监察机关负责监督执行。纪检监察机关对本责任书执行</w:t>
      </w:r>
      <w:r>
        <w:rPr>
          <w:rFonts w:hint="eastAsia"/>
          <w:color w:val="auto"/>
          <w:sz w:val="21"/>
          <w:szCs w:val="21"/>
          <w:highlight w:val="none"/>
          <w:lang w:val="en-US" w:eastAsia="zh-CN"/>
        </w:rPr>
        <w:t>情况进行抽查。</w:t>
      </w:r>
      <w:r>
        <w:rPr>
          <w:rFonts w:hint="eastAsia"/>
          <w:color w:val="auto"/>
          <w:sz w:val="21"/>
          <w:szCs w:val="21"/>
          <w:highlight w:val="none"/>
        </w:rPr>
        <w:t>提出属于本责任书规定范围的处理意见</w:t>
      </w:r>
      <w:r>
        <w:rPr>
          <w:rFonts w:hint="eastAsia"/>
          <w:color w:val="auto"/>
          <w:sz w:val="21"/>
          <w:szCs w:val="21"/>
          <w:highlight w:val="none"/>
          <w:lang w:eastAsia="zh-CN"/>
        </w:rPr>
        <w:t>。</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第六条</w:t>
      </w:r>
      <w:r>
        <w:rPr>
          <w:rFonts w:hint="eastAsia"/>
          <w:color w:val="auto"/>
          <w:sz w:val="21"/>
          <w:szCs w:val="21"/>
          <w:highlight w:val="none"/>
          <w:lang w:val="en-US" w:eastAsia="zh-CN"/>
        </w:rPr>
        <w:t xml:space="preserve">  </w:t>
      </w:r>
      <w:r>
        <w:rPr>
          <w:rFonts w:hint="eastAsia"/>
          <w:color w:val="auto"/>
          <w:sz w:val="21"/>
          <w:szCs w:val="21"/>
          <w:highlight w:val="none"/>
        </w:rPr>
        <w:t>本责任书有效期</w:t>
      </w:r>
      <w:r>
        <w:rPr>
          <w:rFonts w:hint="eastAsia"/>
          <w:color w:val="auto"/>
          <w:sz w:val="21"/>
          <w:szCs w:val="21"/>
          <w:highlight w:val="none"/>
          <w:lang w:eastAsia="zh-CN"/>
        </w:rPr>
        <w:t>自</w:t>
      </w:r>
      <w:r>
        <w:rPr>
          <w:rFonts w:hint="eastAsia"/>
          <w:color w:val="auto"/>
          <w:sz w:val="21"/>
          <w:szCs w:val="21"/>
          <w:highlight w:val="none"/>
        </w:rPr>
        <w:t>甲乙双方签署之日起至该工程项目工程款支付完结时止。</w:t>
      </w:r>
    </w:p>
    <w:p>
      <w:pPr>
        <w:pStyle w:val="30"/>
        <w:spacing w:after="0" w:line="460" w:lineRule="exact"/>
        <w:ind w:firstLine="420" w:firstLineChars="200"/>
        <w:rPr>
          <w:color w:val="auto"/>
          <w:sz w:val="21"/>
          <w:szCs w:val="21"/>
          <w:highlight w:val="none"/>
          <w:lang w:val="zh-CN" w:eastAsia="zh-CN" w:bidi="zh-CN"/>
        </w:rPr>
      </w:pPr>
      <w:r>
        <w:rPr>
          <w:rFonts w:hint="eastAsia"/>
          <w:color w:val="auto"/>
          <w:sz w:val="21"/>
          <w:szCs w:val="21"/>
          <w:highlight w:val="none"/>
        </w:rPr>
        <w:t>第七条</w:t>
      </w:r>
      <w:r>
        <w:rPr>
          <w:rFonts w:hint="eastAsia"/>
          <w:color w:val="auto"/>
          <w:sz w:val="21"/>
          <w:szCs w:val="21"/>
          <w:highlight w:val="none"/>
          <w:lang w:val="en-US" w:eastAsia="zh-CN"/>
        </w:rPr>
        <w:t xml:space="preserve">  </w:t>
      </w:r>
      <w:r>
        <w:rPr>
          <w:rFonts w:hint="eastAsia"/>
          <w:color w:val="auto"/>
          <w:sz w:val="21"/>
          <w:szCs w:val="21"/>
          <w:highlight w:val="none"/>
        </w:rPr>
        <w:t>本责任书作为本工程施工承包合同的附件，与工程施工合同具有同等的法律效力，经甲、乙双方签署后</w:t>
      </w:r>
      <w:r>
        <w:rPr>
          <w:rFonts w:hint="eastAsia"/>
          <w:color w:val="auto"/>
          <w:sz w:val="21"/>
          <w:szCs w:val="21"/>
          <w:highlight w:val="none"/>
          <w:lang w:val="zh-CN" w:eastAsia="zh-CN" w:bidi="zh-CN"/>
        </w:rPr>
        <w:t>生效。</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第八条</w:t>
      </w:r>
      <w:r>
        <w:rPr>
          <w:rFonts w:hint="eastAsia"/>
          <w:color w:val="auto"/>
          <w:sz w:val="21"/>
          <w:szCs w:val="21"/>
          <w:highlight w:val="none"/>
          <w:lang w:val="en-US" w:eastAsia="zh-CN"/>
        </w:rPr>
        <w:t xml:space="preserve">  </w:t>
      </w:r>
      <w:r>
        <w:rPr>
          <w:rFonts w:hint="eastAsia"/>
          <w:color w:val="auto"/>
          <w:sz w:val="21"/>
          <w:szCs w:val="21"/>
          <w:highlight w:val="none"/>
        </w:rPr>
        <w:t>本责任书甲、乙双方各执一份，送交监督单位一份。</w:t>
      </w:r>
    </w:p>
    <w:p>
      <w:pPr>
        <w:pStyle w:val="30"/>
        <w:spacing w:after="0" w:line="460" w:lineRule="exact"/>
        <w:ind w:firstLine="420" w:firstLineChars="200"/>
        <w:rPr>
          <w:color w:val="auto"/>
          <w:sz w:val="21"/>
          <w:szCs w:val="21"/>
          <w:highlight w:val="none"/>
          <w:lang w:val="zh-CN" w:eastAsia="zh-CN" w:bidi="zh-CN"/>
        </w:rPr>
      </w:pPr>
    </w:p>
    <w:p>
      <w:pPr>
        <w:pStyle w:val="30"/>
        <w:spacing w:after="0" w:line="460" w:lineRule="exact"/>
        <w:ind w:firstLine="420" w:firstLineChars="200"/>
        <w:rPr>
          <w:color w:val="auto"/>
          <w:sz w:val="21"/>
          <w:szCs w:val="21"/>
          <w:highlight w:val="none"/>
          <w:lang w:val="zh-CN" w:eastAsia="zh-CN" w:bidi="zh-CN"/>
        </w:rPr>
      </w:pPr>
    </w:p>
    <w:p>
      <w:pPr>
        <w:pStyle w:val="30"/>
        <w:tabs>
          <w:tab w:val="left" w:pos="3228"/>
          <w:tab w:val="left" w:pos="3300"/>
        </w:tabs>
        <w:spacing w:after="0" w:line="460" w:lineRule="exact"/>
        <w:ind w:firstLine="420" w:firstLineChars="200"/>
        <w:rPr>
          <w:color w:val="auto"/>
          <w:sz w:val="21"/>
          <w:szCs w:val="21"/>
          <w:highlight w:val="none"/>
          <w:u w:val="single"/>
          <w:lang w:eastAsia="zh-CN"/>
        </w:rPr>
      </w:pPr>
      <w:r>
        <w:rPr>
          <w:color w:val="auto"/>
          <w:sz w:val="21"/>
          <w:szCs w:val="21"/>
          <w:highlight w:val="none"/>
        </w:rPr>
        <w:t>甲方</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r>
        <w:rPr>
          <w:rFonts w:hint="eastAsia"/>
          <w:color w:val="auto"/>
          <w:sz w:val="21"/>
          <w:szCs w:val="21"/>
          <w:highlight w:val="none"/>
          <w:lang w:val="en-US" w:eastAsia="zh-CN"/>
        </w:rPr>
        <w:t xml:space="preserve">         </w:t>
      </w:r>
      <w:r>
        <w:rPr>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p>
    <w:p>
      <w:pPr>
        <w:pStyle w:val="30"/>
        <w:tabs>
          <w:tab w:val="left" w:pos="3228"/>
          <w:tab w:val="left" w:pos="3300"/>
        </w:tabs>
        <w:spacing w:after="0" w:line="460" w:lineRule="exact"/>
        <w:ind w:firstLine="420" w:firstLineChars="200"/>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p>
    <w:p>
      <w:pPr>
        <w:pStyle w:val="30"/>
        <w:tabs>
          <w:tab w:val="left" w:pos="4308"/>
          <w:tab w:val="left" w:pos="4320"/>
        </w:tabs>
        <w:spacing w:after="0" w:line="460" w:lineRule="exact"/>
        <w:ind w:firstLine="420" w:firstLineChars="200"/>
        <w:rPr>
          <w:color w:val="auto"/>
          <w:sz w:val="21"/>
          <w:szCs w:val="21"/>
          <w:highlight w:val="none"/>
          <w:u w:val="single"/>
          <w:lang w:val="en-US" w:eastAsia="zh-CN"/>
        </w:rPr>
      </w:pPr>
      <w:r>
        <w:rPr>
          <w:color w:val="auto"/>
          <w:sz w:val="21"/>
          <w:szCs w:val="21"/>
          <w:highlight w:val="none"/>
        </w:rPr>
        <w:t>地址：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地址：</w:t>
      </w:r>
      <w:r>
        <w:rPr>
          <w:rFonts w:hint="eastAsia"/>
          <w:color w:val="auto"/>
          <w:sz w:val="21"/>
          <w:szCs w:val="21"/>
          <w:highlight w:val="none"/>
          <w:u w:val="single"/>
          <w:lang w:val="en-US" w:eastAsia="zh-CN"/>
        </w:rPr>
        <w:t xml:space="preserve">                         </w:t>
      </w:r>
    </w:p>
    <w:p>
      <w:pPr>
        <w:pStyle w:val="30"/>
        <w:tabs>
          <w:tab w:val="left" w:pos="4308"/>
          <w:tab w:val="left" w:pos="4320"/>
        </w:tabs>
        <w:spacing w:after="0" w:line="460" w:lineRule="exact"/>
        <w:ind w:firstLine="420" w:firstLineChars="200"/>
        <w:rPr>
          <w:color w:val="auto"/>
          <w:sz w:val="21"/>
          <w:szCs w:val="21"/>
          <w:highlight w:val="none"/>
          <w:u w:val="single"/>
        </w:rPr>
      </w:pPr>
      <w:r>
        <w:rPr>
          <w:color w:val="auto"/>
          <w:sz w:val="21"/>
          <w:szCs w:val="21"/>
          <w:highlight w:val="none"/>
        </w:rPr>
        <w:t>电话：</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电话：</w:t>
      </w:r>
      <w:r>
        <w:rPr>
          <w:rFonts w:hint="eastAsia"/>
          <w:color w:val="auto"/>
          <w:sz w:val="21"/>
          <w:szCs w:val="21"/>
          <w:highlight w:val="none"/>
          <w:u w:val="single"/>
          <w:lang w:val="en-US" w:eastAsia="zh-CN"/>
        </w:rPr>
        <w:t xml:space="preserve">                         </w:t>
      </w:r>
    </w:p>
    <w:p>
      <w:pPr>
        <w:pStyle w:val="30"/>
        <w:tabs>
          <w:tab w:val="left" w:pos="4308"/>
          <w:tab w:val="left" w:pos="4320"/>
        </w:tabs>
        <w:spacing w:after="0" w:line="460" w:lineRule="exact"/>
        <w:ind w:firstLine="840" w:firstLineChars="400"/>
        <w:rPr>
          <w:color w:val="auto"/>
          <w:sz w:val="21"/>
          <w:szCs w:val="21"/>
          <w:highlight w:val="none"/>
          <w:u w:val="singl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32"/>
        <w:keepNext/>
        <w:keepLines/>
        <w:spacing w:after="0" w:line="460" w:lineRule="exact"/>
        <w:outlineLvl w:val="9"/>
        <w:rPr>
          <w:color w:val="auto"/>
          <w:sz w:val="21"/>
          <w:szCs w:val="21"/>
          <w:highlight w:val="none"/>
        </w:rPr>
      </w:pPr>
      <w:bookmarkStart w:id="427" w:name="_Toc28155"/>
      <w:bookmarkStart w:id="428" w:name="_Toc2046"/>
      <w:r>
        <w:rPr>
          <w:rFonts w:hint="eastAsia"/>
          <w:color w:val="auto"/>
          <w:sz w:val="21"/>
          <w:szCs w:val="21"/>
          <w:highlight w:val="none"/>
        </w:rPr>
        <w:t>附件四安全生产协议书</w:t>
      </w:r>
      <w:r>
        <w:rPr>
          <w:rFonts w:hint="eastAsia"/>
          <w:color w:val="auto"/>
          <w:sz w:val="21"/>
          <w:szCs w:val="21"/>
          <w:highlight w:val="none"/>
          <w:lang w:eastAsia="zh-CN"/>
        </w:rPr>
        <w:t>（</w:t>
      </w:r>
      <w:r>
        <w:rPr>
          <w:rFonts w:hint="eastAsia"/>
          <w:color w:val="auto"/>
          <w:sz w:val="21"/>
          <w:szCs w:val="21"/>
          <w:highlight w:val="none"/>
        </w:rPr>
        <w:t>格式）</w:t>
      </w:r>
      <w:bookmarkEnd w:id="427"/>
      <w:bookmarkEnd w:id="428"/>
    </w:p>
    <w:p>
      <w:pPr>
        <w:pStyle w:val="32"/>
        <w:keepNext/>
        <w:keepLines/>
        <w:spacing w:beforeLines="100" w:afterLines="50"/>
        <w:jc w:val="center"/>
        <w:outlineLvl w:val="9"/>
        <w:rPr>
          <w:b/>
          <w:bCs/>
          <w:color w:val="auto"/>
          <w:sz w:val="36"/>
          <w:szCs w:val="36"/>
          <w:highlight w:val="none"/>
        </w:rPr>
      </w:pPr>
      <w:bookmarkStart w:id="429" w:name="_Toc25448"/>
      <w:bookmarkStart w:id="430" w:name="_Toc3241"/>
      <w:bookmarkStart w:id="431" w:name="_Toc3546"/>
      <w:bookmarkStart w:id="432" w:name="_Toc27218"/>
      <w:r>
        <w:rPr>
          <w:rFonts w:hint="eastAsia"/>
          <w:b/>
          <w:bCs/>
          <w:color w:val="auto"/>
          <w:sz w:val="36"/>
          <w:szCs w:val="36"/>
          <w:highlight w:val="none"/>
        </w:rPr>
        <w:t>安全生产协议书</w:t>
      </w:r>
      <w:bookmarkEnd w:id="429"/>
      <w:bookmarkEnd w:id="430"/>
      <w:bookmarkEnd w:id="431"/>
      <w:bookmarkEnd w:id="432"/>
    </w:p>
    <w:p>
      <w:pPr>
        <w:pStyle w:val="30"/>
        <w:tabs>
          <w:tab w:val="left" w:pos="4212"/>
          <w:tab w:val="left" w:pos="4320"/>
          <w:tab w:val="left" w:pos="7740"/>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为在</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标段名称）施工合同的实施过程中创造安全、高效的施工环境，切实做好本项目的安全管理工作，本项目的发包人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“甲</w:t>
      </w:r>
      <w:r>
        <w:rPr>
          <w:rFonts w:hint="eastAsia"/>
          <w:color w:val="auto"/>
          <w:sz w:val="21"/>
          <w:szCs w:val="21"/>
          <w:highlight w:val="none"/>
        </w:rPr>
        <w:t>方”）与承包人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“乙</w:t>
      </w:r>
      <w:r>
        <w:rPr>
          <w:rFonts w:hint="eastAsia"/>
          <w:color w:val="auto"/>
          <w:sz w:val="21"/>
          <w:szCs w:val="21"/>
          <w:highlight w:val="none"/>
        </w:rPr>
        <w:t>方”），特此签订安全生产协议书：</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甲方职责</w:t>
      </w:r>
    </w:p>
    <w:p>
      <w:pPr>
        <w:pStyle w:val="30"/>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一）遵守国家有关安全生产的法律法规，认真执行工程承包合同中的有关安全要求。</w:t>
      </w:r>
    </w:p>
    <w:p>
      <w:pPr>
        <w:pStyle w:val="30"/>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二）按照</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生产必须管安全”的原则进行安全生产管理，做到生产与安全工作同时计划、布置、检查、总结和评比。</w:t>
      </w:r>
    </w:p>
    <w:p>
      <w:pPr>
        <w:pStyle w:val="30"/>
        <w:tabs>
          <w:tab w:val="left" w:pos="150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三）重要的安全设施必须坚持与主体工程</w:t>
      </w:r>
      <w:r>
        <w:rPr>
          <w:rFonts w:hint="eastAsia"/>
          <w:color w:val="auto"/>
          <w:sz w:val="21"/>
          <w:szCs w:val="21"/>
          <w:highlight w:val="none"/>
          <w:lang w:val="zh-CN" w:eastAsia="zh-CN" w:bidi="zh-CN"/>
        </w:rPr>
        <w:t>“三同</w:t>
      </w:r>
      <w:r>
        <w:rPr>
          <w:rFonts w:hint="eastAsia"/>
          <w:color w:val="auto"/>
          <w:sz w:val="21"/>
          <w:szCs w:val="21"/>
          <w:highlight w:val="none"/>
        </w:rPr>
        <w:t>时”的原则，即：同时设计、审批，同时施工，同时验收、投入使用。</w:t>
      </w:r>
    </w:p>
    <w:p>
      <w:pPr>
        <w:pStyle w:val="30"/>
        <w:tabs>
          <w:tab w:val="left" w:pos="-12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四）定期召开安全生产调度会，及时传达中央及地方有关安全生产的精神。</w:t>
      </w:r>
    </w:p>
    <w:p>
      <w:pPr>
        <w:pStyle w:val="30"/>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五）组织对乙方施工现场安全生产</w:t>
      </w:r>
      <w:r>
        <w:rPr>
          <w:rFonts w:hint="eastAsia"/>
          <w:color w:val="auto"/>
          <w:sz w:val="21"/>
          <w:szCs w:val="21"/>
          <w:highlight w:val="none"/>
          <w:lang w:eastAsia="zh-CN"/>
        </w:rPr>
        <w:t>检查</w:t>
      </w:r>
      <w:r>
        <w:rPr>
          <w:rFonts w:hint="eastAsia"/>
          <w:color w:val="auto"/>
          <w:sz w:val="21"/>
          <w:szCs w:val="21"/>
          <w:highlight w:val="none"/>
        </w:rPr>
        <w:t>，监督乙方及时处理发现的各种安全隐患。</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乙方职责</w:t>
      </w:r>
    </w:p>
    <w:p>
      <w:pPr>
        <w:pStyle w:val="30"/>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严格遵守国家有关安全生产的法律法规、水利部颁发的有关工程施工安全技术规程的安全生产规定，认真执行工程承包合同中的有关安全要求。</w:t>
      </w:r>
    </w:p>
    <w:p>
      <w:pPr>
        <w:pStyle w:val="30"/>
        <w:tabs>
          <w:tab w:val="left" w:pos="1128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坚持</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pStyle w:val="30"/>
        <w:tabs>
          <w:tab w:val="left" w:pos="290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三）建立健全安全生产责任制。从派往项目实施的项目负责人到生产工人</w:t>
      </w:r>
      <w:r>
        <w:rPr>
          <w:rFonts w:hint="eastAsia"/>
          <w:color w:val="auto"/>
          <w:sz w:val="21"/>
          <w:szCs w:val="21"/>
          <w:highlight w:val="none"/>
          <w:lang w:eastAsia="zh-CN"/>
        </w:rPr>
        <w:t>（</w:t>
      </w:r>
      <w:r>
        <w:rPr>
          <w:rFonts w:hint="eastAsia"/>
          <w:color w:val="auto"/>
          <w:sz w:val="21"/>
          <w:szCs w:val="21"/>
          <w:highlight w:val="none"/>
        </w:rPr>
        <w:t>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w:t>
      </w:r>
      <w:r>
        <w:rPr>
          <w:rFonts w:hint="eastAsia"/>
          <w:color w:val="auto"/>
          <w:sz w:val="21"/>
          <w:szCs w:val="21"/>
          <w:highlight w:val="none"/>
          <w:lang w:val="en-US" w:eastAsia="zh-CN"/>
        </w:rPr>
        <w:t>安全</w:t>
      </w:r>
      <w:r>
        <w:rPr>
          <w:rFonts w:hint="eastAsia"/>
          <w:color w:val="auto"/>
          <w:sz w:val="21"/>
          <w:szCs w:val="21"/>
          <w:highlight w:val="none"/>
        </w:rPr>
        <w:t>机构人员，有权按有关规定发布指令，并采取保护性措施防止事故发生。</w:t>
      </w:r>
    </w:p>
    <w:p>
      <w:pPr>
        <w:pStyle w:val="30"/>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四）乙方在任何时候都应采取各种合理的预防措施，防止其员工发生任何违法、违禁、暴力或妨碍治安的行为。</w:t>
      </w:r>
    </w:p>
    <w:p>
      <w:pPr>
        <w:pStyle w:val="30"/>
        <w:tabs>
          <w:tab w:val="left" w:pos="1519"/>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五）乙方必须具有劳动安全管理部门颁发的安全生产证书，参加施工的人员，必须接受安全技术教育，熟知和遵守本工种的各项安全技术操作规程</w:t>
      </w:r>
      <w:r>
        <w:rPr>
          <w:rFonts w:hint="eastAsia"/>
          <w:color w:val="auto"/>
          <w:sz w:val="21"/>
          <w:szCs w:val="21"/>
          <w:highlight w:val="none"/>
          <w:lang w:eastAsia="zh-CN"/>
        </w:rPr>
        <w:t>，</w:t>
      </w:r>
      <w:r>
        <w:rPr>
          <w:rFonts w:hint="eastAsia"/>
          <w:color w:val="auto"/>
          <w:sz w:val="21"/>
          <w:szCs w:val="21"/>
          <w:highlight w:val="none"/>
        </w:rPr>
        <w:t>定期进行安全技术考核，合格者方准上岗操作。对于从事电气、起重、建筑登高架设作业、锅炉、压力容器、焊接、机动车驾驶、爆破等特殊工种的人员，需经过专业培训，获得《安全操作合格证》后，方准持证</w:t>
      </w:r>
      <w:r>
        <w:rPr>
          <w:rFonts w:hint="eastAsia"/>
          <w:color w:val="auto"/>
          <w:sz w:val="21"/>
          <w:szCs w:val="21"/>
          <w:highlight w:val="none"/>
          <w:lang w:val="zh-CN" w:eastAsia="zh-CN" w:bidi="zh-CN"/>
        </w:rPr>
        <w:t>上岗。</w:t>
      </w:r>
      <w:r>
        <w:rPr>
          <w:rFonts w:hint="eastAsia"/>
          <w:color w:val="auto"/>
          <w:sz w:val="21"/>
          <w:szCs w:val="21"/>
          <w:highlight w:val="none"/>
        </w:rPr>
        <w:t>施工现场如出现特种作业无证操作现象时，项目负责人必须承担管理责任。</w:t>
      </w:r>
    </w:p>
    <w:p>
      <w:pPr>
        <w:pStyle w:val="30"/>
        <w:tabs>
          <w:tab w:val="left" w:pos="1519"/>
          <w:tab w:val="left" w:pos="6876"/>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对于易燃易爆的材料除应专门妥善保管之外，还应配备有足够的消防设施，所有施工人员都应熟悉消防设备的性能和使用方法；乙方不得将任何种类的给予、易货或以其他方式转让给任何人，或允许、容忍上述同样行为。</w:t>
      </w:r>
    </w:p>
    <w:p>
      <w:pPr>
        <w:pStyle w:val="30"/>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七）操作人员上岗，必须按规定穿戴防护用品。施工负责人和</w:t>
      </w:r>
      <w:r>
        <w:rPr>
          <w:rFonts w:hint="eastAsia"/>
          <w:color w:val="auto"/>
          <w:sz w:val="21"/>
          <w:szCs w:val="21"/>
          <w:highlight w:val="none"/>
          <w:lang w:eastAsia="zh-CN"/>
        </w:rPr>
        <w:t>安全检查</w:t>
      </w:r>
      <w:r>
        <w:rPr>
          <w:rFonts w:hint="eastAsia"/>
          <w:color w:val="auto"/>
          <w:sz w:val="21"/>
          <w:szCs w:val="21"/>
          <w:highlight w:val="none"/>
        </w:rPr>
        <w:t>员应随时</w:t>
      </w:r>
      <w:r>
        <w:rPr>
          <w:rFonts w:hint="eastAsia"/>
          <w:color w:val="auto"/>
          <w:sz w:val="21"/>
          <w:szCs w:val="21"/>
          <w:highlight w:val="none"/>
          <w:lang w:eastAsia="zh-CN"/>
        </w:rPr>
        <w:t>检查</w:t>
      </w:r>
      <w:r>
        <w:rPr>
          <w:rFonts w:hint="eastAsia"/>
          <w:color w:val="auto"/>
          <w:sz w:val="21"/>
          <w:szCs w:val="21"/>
          <w:highlight w:val="none"/>
        </w:rPr>
        <w:t>劳动防护用品的穿戴情况，不按规定穿戴防护用品的人员不得上岗。</w:t>
      </w:r>
    </w:p>
    <w:p>
      <w:pPr>
        <w:pStyle w:val="30"/>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八）所有施工机具设备和高空作业的设备均应定期检查，并有安全员的签字记录，保证其经常处于完好状态；不合格的机具、设备和劳动保护用品严禁使用。</w:t>
      </w:r>
    </w:p>
    <w:p>
      <w:pPr>
        <w:pStyle w:val="30"/>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九）所有施工中采用新技术，新工艺、新设备、新材料时，必须制定相应的安全技术措施，施工现场必须具有相关的安全标志牌。</w:t>
      </w:r>
    </w:p>
    <w:p>
      <w:pPr>
        <w:pStyle w:val="3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十）乙方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color w:val="auto"/>
          <w:sz w:val="21"/>
          <w:szCs w:val="21"/>
          <w:highlight w:val="none"/>
          <w:lang w:val="zh-CN" w:eastAsia="zh-CN" w:bidi="zh-CN"/>
        </w:rPr>
        <w:t>“四</w:t>
      </w:r>
      <w:r>
        <w:rPr>
          <w:rFonts w:hint="eastAsia"/>
          <w:color w:val="auto"/>
          <w:sz w:val="21"/>
          <w:szCs w:val="21"/>
          <w:highlight w:val="none"/>
        </w:rPr>
        <w:t>不放过”的原则，严肃处理相关责任人。</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如因甲方或乙方违约造成安全事故，将依法追究责任，并视事故轻重承担相应的经济赔偿责任。</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本合同正本一式两份，副本八份，合同双方各执正本一份，副本四份。由双方法定代表人或其授权的代理人签署与加盖公章后生效，全部工程竣工验收后失效。</w:t>
      </w:r>
    </w:p>
    <w:p>
      <w:pPr>
        <w:pStyle w:val="30"/>
        <w:spacing w:after="0" w:line="460" w:lineRule="exact"/>
        <w:ind w:firstLine="420" w:firstLineChars="200"/>
        <w:rPr>
          <w:color w:val="auto"/>
          <w:sz w:val="21"/>
          <w:szCs w:val="21"/>
          <w:highlight w:val="none"/>
        </w:rPr>
      </w:pPr>
    </w:p>
    <w:p>
      <w:pPr>
        <w:pStyle w:val="30"/>
        <w:spacing w:after="0" w:line="460" w:lineRule="exact"/>
        <w:ind w:firstLine="420" w:firstLineChars="200"/>
        <w:rPr>
          <w:color w:val="auto"/>
          <w:sz w:val="21"/>
          <w:szCs w:val="21"/>
          <w:highlight w:val="none"/>
        </w:rPr>
      </w:pPr>
    </w:p>
    <w:p>
      <w:pPr>
        <w:pStyle w:val="30"/>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甲方：</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30"/>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p>
    <w:p>
      <w:pPr>
        <w:pStyle w:val="30"/>
        <w:tabs>
          <w:tab w:val="left" w:pos="1130"/>
        </w:tabs>
        <w:spacing w:after="0" w:line="460" w:lineRule="exact"/>
        <w:ind w:firstLine="1890" w:firstLineChars="900"/>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30"/>
        <w:tabs>
          <w:tab w:val="left" w:pos="1130"/>
        </w:tabs>
        <w:spacing w:after="0" w:line="460" w:lineRule="exact"/>
        <w:ind w:firstLine="420" w:firstLineChars="200"/>
        <w:rPr>
          <w:color w:val="auto"/>
          <w:sz w:val="21"/>
          <w:szCs w:val="21"/>
          <w:highlight w:val="none"/>
          <w:lang w:val="en-US" w:eastAsia="zh-CN"/>
        </w:rPr>
      </w:pPr>
    </w:p>
    <w:p>
      <w:pPr>
        <w:pStyle w:val="30"/>
        <w:tabs>
          <w:tab w:val="left" w:pos="1130"/>
        </w:tabs>
        <w:spacing w:after="0" w:line="460" w:lineRule="exact"/>
        <w:ind w:firstLine="420" w:firstLineChars="200"/>
        <w:rPr>
          <w:color w:val="auto"/>
          <w:sz w:val="21"/>
          <w:szCs w:val="21"/>
          <w:highlight w:val="none"/>
          <w:lang w:val="en-US" w:eastAsia="zh-CN"/>
        </w:rPr>
      </w:pPr>
    </w:p>
    <w:p>
      <w:pPr>
        <w:pStyle w:val="30"/>
        <w:tabs>
          <w:tab w:val="left" w:pos="1130"/>
        </w:tabs>
        <w:spacing w:after="0" w:line="460" w:lineRule="exact"/>
        <w:ind w:firstLine="420" w:firstLineChars="200"/>
        <w:rPr>
          <w:color w:val="auto"/>
          <w:sz w:val="21"/>
          <w:szCs w:val="21"/>
          <w:highlight w:val="none"/>
          <w:lang w:val="en-US" w:eastAsia="zh-CN"/>
        </w:rPr>
      </w:pPr>
    </w:p>
    <w:p>
      <w:pPr>
        <w:jc w:val="center"/>
        <w:rPr>
          <w:rFonts w:ascii="黑体" w:hAnsi="黑体" w:eastAsia="黑体" w:cs="黑体"/>
          <w:b/>
          <w:bCs/>
          <w:color w:val="auto"/>
          <w:sz w:val="36"/>
          <w:szCs w:val="36"/>
          <w:highlight w:val="none"/>
        </w:rPr>
      </w:pPr>
      <w:r>
        <w:rPr>
          <w:color w:val="auto"/>
          <w:highlight w:val="none"/>
        </w:rPr>
        <w:br w:type="page"/>
      </w:r>
      <w:bookmarkStart w:id="433" w:name="_Toc18958"/>
      <w:bookmarkStart w:id="434" w:name="_Toc30340"/>
      <w:r>
        <w:rPr>
          <w:rFonts w:hint="eastAsia" w:ascii="黑体" w:hAnsi="黑体" w:eastAsia="黑体" w:cs="黑体"/>
          <w:b/>
          <w:bCs/>
          <w:color w:val="auto"/>
          <w:sz w:val="36"/>
          <w:szCs w:val="36"/>
          <w:highlight w:val="none"/>
        </w:rPr>
        <w:t>第五章  工程量清单</w:t>
      </w:r>
      <w:bookmarkEnd w:id="433"/>
      <w:bookmarkEnd w:id="434"/>
    </w:p>
    <w:p>
      <w:pPr>
        <w:spacing w:beforeLines="100" w:line="360" w:lineRule="auto"/>
        <w:outlineLvl w:val="0"/>
        <w:rPr>
          <w:rFonts w:ascii="宋体" w:hAnsi="宋体" w:cs="宋体"/>
          <w:color w:val="auto"/>
          <w:sz w:val="18"/>
          <w:szCs w:val="18"/>
          <w:highlight w:val="none"/>
        </w:rPr>
      </w:pPr>
      <w:r>
        <w:rPr>
          <w:rFonts w:hint="eastAsia" w:eastAsia="宋体"/>
          <w:color w:val="auto"/>
          <w:sz w:val="24"/>
          <w:szCs w:val="24"/>
          <w:highlight w:val="none"/>
        </w:rPr>
        <w:t>一、</w:t>
      </w:r>
      <w:r>
        <w:rPr>
          <w:rFonts w:hint="eastAsia"/>
          <w:color w:val="auto"/>
          <w:sz w:val="24"/>
          <w:szCs w:val="24"/>
          <w:highlight w:val="none"/>
        </w:rPr>
        <w:t>总  说  明</w:t>
      </w:r>
    </w:p>
    <w:p>
      <w:pPr>
        <w:rPr>
          <w:rFonts w:ascii="宋体" w:hAnsi="宋体" w:cs="宋体"/>
          <w:color w:val="auto"/>
          <w:sz w:val="24"/>
          <w:szCs w:val="24"/>
          <w:highlight w:val="none"/>
        </w:rPr>
      </w:pPr>
      <w:r>
        <w:rPr>
          <w:rFonts w:hint="eastAsia" w:ascii="宋体" w:hAnsi="宋体" w:cs="宋体"/>
          <w:color w:val="auto"/>
          <w:highlight w:val="none"/>
        </w:rPr>
        <w:t xml:space="preserve">项目名称: </w:t>
      </w:r>
      <w:r>
        <w:rPr>
          <w:rFonts w:hint="eastAsia" w:ascii="宋体" w:hAnsi="宋体" w:eastAsia="宋体" w:cs="宋体"/>
          <w:color w:val="auto"/>
          <w:highlight w:val="none"/>
          <w:u w:val="none"/>
        </w:rPr>
        <w:t>嵊州市生态共富小流域水土流失综合治理项目（花桥、后村小流域）</w:t>
      </w:r>
      <w:r>
        <w:rPr>
          <w:rFonts w:hint="eastAsia" w:ascii="宋体" w:hAnsi="宋体" w:cs="宋体"/>
          <w:color w:val="auto"/>
          <w:highlight w:val="none"/>
          <w:u w:val="none"/>
        </w:rPr>
        <w:t xml:space="preserve"> </w:t>
      </w:r>
      <w:r>
        <w:rPr>
          <w:rFonts w:hint="eastAsia" w:ascii="宋体" w:hAnsi="宋体" w:cs="宋体"/>
          <w:color w:val="auto"/>
          <w:sz w:val="24"/>
          <w:szCs w:val="24"/>
          <w:highlight w:val="none"/>
          <w:u w:val="none"/>
        </w:rPr>
        <w:t xml:space="preserve"> </w:t>
      </w:r>
      <w:r>
        <w:rPr>
          <w:rFonts w:hint="eastAsia" w:ascii="宋体" w:hAnsi="宋体" w:cs="宋体"/>
          <w:color w:val="auto"/>
          <w:sz w:val="24"/>
          <w:szCs w:val="24"/>
          <w:highlight w:val="none"/>
        </w:rPr>
        <w:t xml:space="preserve">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trPr>
        <w:tc>
          <w:tcPr>
            <w:tcW w:w="9832" w:type="dxa"/>
          </w:tcPr>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1"/>
                <w:sz w:val="21"/>
                <w:szCs w:val="21"/>
                <w:highlight w:val="none"/>
              </w:rPr>
              <w:t>一、工程名称：嵊州市生态共富小流域水土流失综合治理项目(花桥、后村小流域</w:t>
            </w:r>
            <w:r>
              <w:rPr>
                <w:rFonts w:hint="eastAsia" w:ascii="宋体" w:hAnsi="宋体" w:eastAsia="宋体" w:cs="宋体"/>
                <w:color w:val="auto"/>
                <w:spacing w:val="-1"/>
                <w:sz w:val="21"/>
                <w:szCs w:val="21"/>
                <w:highlight w:val="none"/>
                <w:lang w:eastAsia="zh-CN"/>
              </w:rPr>
              <w:t>）</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二、工程范围及内容：本工程包括图纸范围内水利工程，具体详见施工图纸</w:t>
            </w:r>
            <w:r>
              <w:rPr>
                <w:rFonts w:hint="eastAsia" w:ascii="宋体" w:hAnsi="宋体" w:eastAsia="宋体" w:cs="宋体"/>
                <w:color w:val="auto"/>
                <w:spacing w:val="-1"/>
                <w:sz w:val="21"/>
                <w:szCs w:val="21"/>
                <w:highlight w:val="none"/>
              </w:rPr>
              <w:t>及预算报价书。</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三、工程标底编制依据</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(一)工程量：根据业主提供的“浙江广川工程咨询有限公司”的施工图纸</w:t>
            </w:r>
            <w:r>
              <w:rPr>
                <w:rFonts w:hint="eastAsia" w:cs="宋体"/>
                <w:color w:val="auto"/>
                <w:sz w:val="21"/>
                <w:szCs w:val="21"/>
                <w:highlight w:val="none"/>
                <w:lang w:eastAsia="zh-CN"/>
              </w:rPr>
              <w:t>。</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(二)定额套用：</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0"/>
                <w:sz w:val="21"/>
                <w:szCs w:val="21"/>
                <w:highlight w:val="none"/>
              </w:rPr>
              <w:t>1</w:t>
            </w:r>
            <w:r>
              <w:rPr>
                <w:rFonts w:hint="eastAsia" w:ascii="宋体" w:hAnsi="宋体" w:eastAsia="宋体" w:cs="宋体"/>
                <w:color w:val="auto"/>
                <w:spacing w:val="-10"/>
                <w:sz w:val="21"/>
                <w:szCs w:val="21"/>
                <w:highlight w:val="none"/>
                <w:lang w:eastAsia="zh-CN"/>
              </w:rPr>
              <w:t>、</w:t>
            </w:r>
            <w:r>
              <w:rPr>
                <w:rFonts w:hint="eastAsia" w:ascii="宋体" w:hAnsi="宋体" w:eastAsia="宋体" w:cs="宋体"/>
                <w:color w:val="auto"/>
                <w:spacing w:val="-9"/>
                <w:sz w:val="21"/>
                <w:szCs w:val="21"/>
                <w:highlight w:val="none"/>
              </w:rPr>
              <w:t>《浙江省水利水电工程设计概(预)算编制规定》</w:t>
            </w:r>
            <w:r>
              <w:rPr>
                <w:rFonts w:hint="eastAsia" w:ascii="宋体" w:hAnsi="宋体" w:eastAsia="宋体" w:cs="宋体"/>
                <w:color w:val="auto"/>
                <w:spacing w:val="-9"/>
                <w:sz w:val="21"/>
                <w:szCs w:val="21"/>
                <w:highlight w:val="none"/>
                <w:lang w:val="en-US" w:eastAsia="zh-CN"/>
              </w:rPr>
              <w:t xml:space="preserve"> </w:t>
            </w:r>
            <w:r>
              <w:rPr>
                <w:rFonts w:hint="eastAsia" w:ascii="宋体" w:hAnsi="宋体" w:eastAsia="宋体" w:cs="宋体"/>
                <w:color w:val="auto"/>
                <w:spacing w:val="-9"/>
                <w:sz w:val="21"/>
                <w:szCs w:val="21"/>
                <w:highlight w:val="none"/>
              </w:rPr>
              <w:t>(2021年)</w:t>
            </w:r>
            <w:r>
              <w:rPr>
                <w:rFonts w:hint="eastAsia" w:ascii="宋体" w:hAnsi="宋体" w:eastAsia="宋体" w:cs="宋体"/>
                <w:color w:val="auto"/>
                <w:spacing w:val="-9"/>
                <w:sz w:val="21"/>
                <w:szCs w:val="21"/>
                <w:highlight w:val="none"/>
                <w:lang w:val="en-US" w:eastAsia="zh-CN"/>
              </w:rPr>
              <w:t xml:space="preserve"> </w:t>
            </w:r>
            <w:r>
              <w:rPr>
                <w:rFonts w:hint="eastAsia" w:cs="宋体"/>
                <w:color w:val="auto"/>
                <w:spacing w:val="-9"/>
                <w:sz w:val="21"/>
                <w:szCs w:val="21"/>
                <w:highlight w:val="none"/>
                <w:lang w:val="en-US" w:eastAsia="zh-CN"/>
              </w:rPr>
              <w:t>、</w:t>
            </w:r>
            <w:r>
              <w:rPr>
                <w:rFonts w:hint="eastAsia" w:ascii="宋体" w:hAnsi="宋体" w:eastAsia="宋体" w:cs="宋体"/>
                <w:color w:val="auto"/>
                <w:spacing w:val="-9"/>
                <w:sz w:val="21"/>
                <w:szCs w:val="21"/>
                <w:highlight w:val="none"/>
              </w:rPr>
              <w:t>《浙江省水利工</w:t>
            </w:r>
            <w:r>
              <w:rPr>
                <w:rFonts w:hint="eastAsia" w:ascii="宋体" w:hAnsi="宋体" w:eastAsia="宋体" w:cs="宋体"/>
                <w:color w:val="auto"/>
                <w:spacing w:val="-10"/>
                <w:sz w:val="21"/>
                <w:szCs w:val="21"/>
                <w:highlight w:val="none"/>
              </w:rPr>
              <w:t>程工程量清单计价办法》</w:t>
            </w:r>
            <w:r>
              <w:rPr>
                <w:rFonts w:hint="eastAsia" w:ascii="宋体" w:hAnsi="宋体" w:eastAsia="宋体" w:cs="宋体"/>
                <w:color w:val="auto"/>
                <w:spacing w:val="-10"/>
                <w:sz w:val="21"/>
                <w:szCs w:val="21"/>
                <w:highlight w:val="none"/>
                <w:lang w:val="en-US" w:eastAsia="zh-CN"/>
              </w:rPr>
              <w:t xml:space="preserve"> </w:t>
            </w:r>
            <w:r>
              <w:rPr>
                <w:rFonts w:hint="eastAsia" w:ascii="宋体" w:hAnsi="宋体" w:eastAsia="宋体" w:cs="宋体"/>
                <w:color w:val="auto"/>
                <w:spacing w:val="-10"/>
                <w:sz w:val="21"/>
                <w:szCs w:val="21"/>
                <w:highlight w:val="none"/>
              </w:rPr>
              <w:t>(2022</w:t>
            </w: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2"/>
                <w:sz w:val="21"/>
                <w:szCs w:val="21"/>
                <w:highlight w:val="none"/>
              </w:rPr>
              <w:t>版);</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《浙江省水利水电建筑工程预算定额》(2021年版，上、下册)、《浙江省水利水电工程施工机械台班费定额》</w:t>
            </w:r>
            <w:r>
              <w:rPr>
                <w:rFonts w:hint="eastAsia" w:ascii="宋体" w:hAnsi="宋体" w:eastAsia="宋体" w:cs="宋体"/>
                <w:color w:val="auto"/>
                <w:spacing w:val="-1"/>
                <w:sz w:val="21"/>
                <w:szCs w:val="21"/>
                <w:highlight w:val="none"/>
              </w:rPr>
              <w:t>(2021年版)及有关补充定额、文件编制。</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(三)费用计取：</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jc w:val="righ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1、水利工程按其他水利工程三类工程取费，根据浙江省水利厅、省发展和改革委员会、省财政厅浙水建</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jc w:val="both"/>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[2021]</w:t>
            </w:r>
            <w:r>
              <w:rPr>
                <w:rFonts w:hint="eastAsia" w:ascii="宋体" w:hAnsi="宋体" w:eastAsia="宋体" w:cs="宋体"/>
                <w:color w:val="auto"/>
                <w:spacing w:val="-1"/>
                <w:sz w:val="21"/>
                <w:szCs w:val="21"/>
                <w:highlight w:val="none"/>
              </w:rPr>
              <w:t>4号文《浙</w:t>
            </w:r>
            <w:r>
              <w:rPr>
                <w:rFonts w:hint="eastAsia" w:ascii="宋体" w:hAnsi="宋体" w:eastAsia="宋体" w:cs="宋体"/>
                <w:color w:val="auto"/>
                <w:sz w:val="21"/>
                <w:szCs w:val="21"/>
                <w:highlight w:val="none"/>
              </w:rPr>
              <w:t>江省水利水电工程设计概(预)算编制规定(2021年)》,本工程按水利三类工程取费，措施费按3.</w:t>
            </w:r>
            <w:r>
              <w:rPr>
                <w:rFonts w:hint="eastAsia" w:ascii="宋体" w:hAnsi="宋体" w:eastAsia="宋体" w:cs="宋体"/>
                <w:color w:val="auto"/>
                <w:spacing w:val="-1"/>
                <w:sz w:val="21"/>
                <w:szCs w:val="21"/>
                <w:highlight w:val="none"/>
              </w:rPr>
              <w:t>5%计取，利润(三类</w:t>
            </w:r>
            <w:r>
              <w:rPr>
                <w:rFonts w:hint="eastAsia" w:ascii="宋体" w:hAnsi="宋体" w:eastAsia="宋体" w:cs="宋体"/>
                <w:color w:val="auto"/>
                <w:sz w:val="21"/>
                <w:szCs w:val="21"/>
                <w:highlight w:val="none"/>
              </w:rPr>
              <w:t>工程)按5%计取。</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position w:val="4"/>
                <w:sz w:val="21"/>
                <w:szCs w:val="21"/>
                <w:highlight w:val="none"/>
              </w:rPr>
              <w:t>2、税金按增值税9%计取【浙建建发(2019)92号文件</w:t>
            </w:r>
            <w:r>
              <w:rPr>
                <w:rFonts w:hint="eastAsia" w:ascii="宋体" w:hAnsi="宋体" w:eastAsia="宋体" w:cs="宋体"/>
                <w:color w:val="auto"/>
                <w:spacing w:val="-1"/>
                <w:position w:val="4"/>
                <w:sz w:val="21"/>
                <w:szCs w:val="21"/>
                <w:highlight w:val="none"/>
              </w:rPr>
              <w:t>】。</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3、农民工工伤保险已包含。</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(四)所选用材料及人工的计价依据：</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1、材料信息价按2023年第10期《绍兴市建设工程造价管理信息》中发布的嵊州地区信息价(除税价)及同期《浙江造价信息》中发布的信息价(除税价)计，部分无价材料按市场价计取</w:t>
            </w:r>
            <w:r>
              <w:rPr>
                <w:rFonts w:hint="eastAsia" w:ascii="宋体" w:hAnsi="宋体" w:eastAsia="宋体" w:cs="宋体"/>
                <w:color w:val="auto"/>
                <w:spacing w:val="-1"/>
                <w:sz w:val="21"/>
                <w:szCs w:val="21"/>
                <w:highlight w:val="none"/>
              </w:rPr>
              <w:t>(除税价)。</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2、水利工程根据《浙江省水利水电工程设计概(预)算编制规定》(2021年),人工预算单价为128</w:t>
            </w:r>
            <w:r>
              <w:rPr>
                <w:rFonts w:hint="eastAsia" w:ascii="宋体" w:hAnsi="宋体" w:eastAsia="宋体" w:cs="宋体"/>
                <w:color w:val="auto"/>
                <w:spacing w:val="-1"/>
                <w:sz w:val="21"/>
                <w:szCs w:val="21"/>
                <w:highlight w:val="none"/>
              </w:rPr>
              <w:t>元/工日，限价128元</w:t>
            </w:r>
            <w:r>
              <w:rPr>
                <w:rFonts w:hint="eastAsia" w:ascii="宋体" w:hAnsi="宋体" w:eastAsia="宋体" w:cs="宋体"/>
                <w:color w:val="auto"/>
                <w:sz w:val="21"/>
                <w:szCs w:val="21"/>
                <w:highlight w:val="none"/>
              </w:rPr>
              <w:t>/工日，差价部分仅计取税金。</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3、水利部分工程主要材料限价：进入直接工程费的水泥预算价限价300元/吨，钢筋预算价限价</w:t>
            </w:r>
            <w:r>
              <w:rPr>
                <w:rFonts w:hint="eastAsia" w:ascii="宋体" w:hAnsi="宋体" w:eastAsia="宋体" w:cs="宋体"/>
                <w:color w:val="auto"/>
                <w:spacing w:val="-1"/>
                <w:sz w:val="21"/>
                <w:szCs w:val="21"/>
                <w:highlight w:val="none"/>
              </w:rPr>
              <w:t>3000元/吨，外购砂石料</w:t>
            </w:r>
            <w:r>
              <w:rPr>
                <w:rFonts w:hint="eastAsia" w:ascii="宋体" w:hAnsi="宋体" w:eastAsia="宋体" w:cs="宋体"/>
                <w:color w:val="auto"/>
                <w:sz w:val="21"/>
                <w:szCs w:val="21"/>
                <w:highlight w:val="none"/>
              </w:rPr>
              <w:t xml:space="preserve"> 1:混凝土骨料(砂、碎卵石)、砌筑块石预算价限价60元/m3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外购砂石料2:用作垫层或回填的砂、碎卵石、塘渣、石渣、毛块石、抛石预算价限价30元/m3。</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(五)其他说明：</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水利部分：</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1、本工程施工场外供电工程(含自备发电机、临时变压器安装、临时接电点布置、临时线路架设等)由施工方负责，费</w:t>
            </w:r>
            <w:r>
              <w:rPr>
                <w:rFonts w:hint="eastAsia" w:ascii="宋体" w:hAnsi="宋体" w:eastAsia="宋体" w:cs="宋体"/>
                <w:color w:val="auto"/>
                <w:spacing w:val="-1"/>
                <w:sz w:val="21"/>
                <w:szCs w:val="21"/>
                <w:highlight w:val="none"/>
              </w:rPr>
              <w:t>用含在其他施工临时工程中。</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2、施工仓库，考虑55m2,综合单价120元/m2;办公、生活用房，考虑55m2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综合单价120元/m2。费用一次性包干。</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3、本工程围堰(包括围堰桩打拔、围堰抽水、施工期间抽水、施工完毕清场恢复等一切相关费用)按综合单价10000元一项计入，费用一次性包干。</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4、临时道路按10000元一项计入。</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5、开挖后多余土方就近消纳，不考虑外运。</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6、本工程预留金按100000元一项计入。</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7、第三者责任险按照保额为100万元计取。</w:t>
            </w:r>
          </w:p>
          <w:p>
            <w:pPr>
              <w:pStyle w:val="52"/>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8、工程一切险按照建筑安装工程费的0.45%计</w:t>
            </w:r>
            <w:r>
              <w:rPr>
                <w:rFonts w:hint="eastAsia" w:ascii="宋体" w:hAnsi="宋体" w:eastAsia="宋体" w:cs="宋体"/>
                <w:color w:val="auto"/>
                <w:spacing w:val="-1"/>
                <w:sz w:val="21"/>
                <w:szCs w:val="21"/>
                <w:highlight w:val="none"/>
              </w:rPr>
              <w:t>取。</w:t>
            </w:r>
          </w:p>
          <w:p>
            <w:pPr>
              <w:keepNext w:val="0"/>
              <w:keepLines w:val="0"/>
              <w:pageBreakBefore w:val="0"/>
              <w:widowControl/>
              <w:kinsoku w:val="0"/>
              <w:wordWrap/>
              <w:overflowPunct/>
              <w:topLinePunct w:val="0"/>
              <w:autoSpaceDE w:val="0"/>
              <w:autoSpaceDN w:val="0"/>
              <w:bidi w:val="0"/>
              <w:adjustRightInd w:val="0"/>
              <w:snapToGrid w:val="0"/>
              <w:spacing w:line="340" w:lineRule="exact"/>
              <w:ind w:left="0" w:right="0"/>
              <w:textAlignment w:val="baseline"/>
              <w:rPr>
                <w:color w:val="auto"/>
                <w:highlight w:val="none"/>
              </w:rPr>
            </w:pPr>
            <w:r>
              <w:rPr>
                <w:rFonts w:hint="eastAsia" w:ascii="宋体" w:hAnsi="宋体" w:eastAsia="宋体" w:cs="宋体"/>
                <w:color w:val="auto"/>
                <w:sz w:val="21"/>
                <w:szCs w:val="21"/>
                <w:highlight w:val="none"/>
              </w:rPr>
              <w:t>9、安全施工费按照建筑安装工程费的1%计</w:t>
            </w:r>
            <w:r>
              <w:rPr>
                <w:rFonts w:hint="eastAsia" w:ascii="宋体" w:hAnsi="宋体" w:eastAsia="宋体" w:cs="宋体"/>
                <w:color w:val="auto"/>
                <w:spacing w:val="-1"/>
                <w:sz w:val="21"/>
                <w:szCs w:val="21"/>
                <w:highlight w:val="none"/>
              </w:rPr>
              <w:t>取。</w:t>
            </w:r>
          </w:p>
        </w:tc>
      </w:tr>
    </w:tbl>
    <w:p>
      <w:pPr>
        <w:spacing w:line="480" w:lineRule="auto"/>
        <w:rPr>
          <w:rFonts w:eastAsia="宋体"/>
          <w:color w:val="auto"/>
          <w:sz w:val="24"/>
          <w:szCs w:val="24"/>
          <w:highlight w:val="none"/>
        </w:rPr>
      </w:pPr>
    </w:p>
    <w:p>
      <w:pPr>
        <w:spacing w:line="480" w:lineRule="auto"/>
        <w:ind w:firstLine="480" w:firstLineChars="200"/>
        <w:rPr>
          <w:rFonts w:eastAsia="宋体"/>
          <w:color w:val="auto"/>
          <w:sz w:val="24"/>
          <w:szCs w:val="20"/>
          <w:highlight w:val="none"/>
        </w:rPr>
      </w:pPr>
      <w:r>
        <w:rPr>
          <w:rFonts w:hint="eastAsia" w:eastAsia="宋体"/>
          <w:color w:val="auto"/>
          <w:sz w:val="24"/>
          <w:szCs w:val="20"/>
          <w:highlight w:val="none"/>
        </w:rPr>
        <w:t>二、工程量清单另行成册</w:t>
      </w:r>
    </w:p>
    <w:p>
      <w:pPr>
        <w:spacing w:line="480" w:lineRule="auto"/>
        <w:ind w:firstLine="480" w:firstLineChars="200"/>
        <w:rPr>
          <w:rFonts w:eastAsia="宋体"/>
          <w:color w:val="auto"/>
          <w:sz w:val="24"/>
          <w:szCs w:val="20"/>
          <w:highlight w:val="none"/>
        </w:rPr>
      </w:pPr>
    </w:p>
    <w:p>
      <w:pPr>
        <w:spacing w:line="480" w:lineRule="auto"/>
        <w:ind w:firstLine="480" w:firstLineChars="200"/>
        <w:rPr>
          <w:rFonts w:eastAsia="宋体"/>
          <w:color w:val="auto"/>
          <w:sz w:val="24"/>
          <w:szCs w:val="2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二</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435" w:name="_Toc11860"/>
      <w:r>
        <w:rPr>
          <w:rFonts w:hint="eastAsia" w:ascii="黑体" w:hAnsi="黑体" w:eastAsia="黑体" w:cs="黑体"/>
          <w:b/>
          <w:bCs/>
          <w:color w:val="auto"/>
          <w:sz w:val="36"/>
          <w:szCs w:val="36"/>
          <w:highlight w:val="none"/>
        </w:rPr>
        <w:t>第六章图纸（招标图纸）及其他资料</w:t>
      </w:r>
      <w:bookmarkEnd w:id="435"/>
    </w:p>
    <w:p>
      <w:pPr>
        <w:pStyle w:val="33"/>
        <w:keepNext/>
        <w:keepLines/>
        <w:spacing w:beforeLines="150" w:afterLines="100" w:line="460" w:lineRule="exact"/>
        <w:jc w:val="both"/>
        <w:outlineLvl w:val="9"/>
        <w:rPr>
          <w:b/>
          <w:bCs/>
          <w:color w:val="auto"/>
          <w:sz w:val="28"/>
          <w:szCs w:val="28"/>
          <w:highlight w:val="none"/>
          <w:lang w:val="zh-CN" w:eastAsia="zh-CN"/>
        </w:rPr>
      </w:pPr>
      <w:bookmarkStart w:id="436" w:name="_Toc30030"/>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说明</w:t>
      </w:r>
      <w:bookmarkEnd w:id="436"/>
    </w:p>
    <w:p>
      <w:pPr>
        <w:pStyle w:val="30"/>
        <w:spacing w:after="0" w:line="460" w:lineRule="exact"/>
        <w:ind w:firstLine="420" w:firstLineChars="200"/>
        <w:rPr>
          <w:color w:val="auto"/>
          <w:sz w:val="21"/>
          <w:szCs w:val="21"/>
          <w:highlight w:val="none"/>
        </w:rPr>
      </w:pPr>
      <w:r>
        <w:rPr>
          <w:rFonts w:hint="eastAsia"/>
          <w:color w:val="auto"/>
          <w:sz w:val="21"/>
          <w:szCs w:val="21"/>
          <w:highlight w:val="none"/>
        </w:rPr>
        <w:t>本招标文件所附的全部图纸及其他资料均为招标阶段的中间成果，仅供投标人在编制投标文件时使用，不得作为施工的依据。否则，由此而造成的一切后果均由承包人自负。</w:t>
      </w:r>
    </w:p>
    <w:p>
      <w:pPr>
        <w:pStyle w:val="33"/>
        <w:keepNext/>
        <w:keepLines/>
        <w:spacing w:beforeLines="150" w:afterLines="100" w:line="460" w:lineRule="exact"/>
        <w:jc w:val="both"/>
        <w:outlineLvl w:val="9"/>
        <w:rPr>
          <w:b/>
          <w:bCs/>
          <w:color w:val="auto"/>
          <w:sz w:val="28"/>
          <w:szCs w:val="28"/>
          <w:highlight w:val="none"/>
          <w:lang w:val="zh-CN" w:eastAsia="zh-CN"/>
        </w:rPr>
      </w:pPr>
      <w:bookmarkStart w:id="437" w:name="_Toc30094"/>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图纸及其他资料目录</w:t>
      </w:r>
      <w:bookmarkEnd w:id="437"/>
    </w:p>
    <w:tbl>
      <w:tblPr>
        <w:tblStyle w:val="22"/>
        <w:tblW w:w="9998" w:type="dxa"/>
        <w:jc w:val="center"/>
        <w:tblLayout w:type="fixed"/>
        <w:tblCellMar>
          <w:top w:w="0" w:type="dxa"/>
          <w:left w:w="108" w:type="dxa"/>
          <w:bottom w:w="0" w:type="dxa"/>
          <w:right w:w="108" w:type="dxa"/>
        </w:tblCellMar>
      </w:tblPr>
      <w:tblGrid>
        <w:gridCol w:w="1042"/>
        <w:gridCol w:w="2552"/>
        <w:gridCol w:w="2562"/>
        <w:gridCol w:w="2821"/>
        <w:gridCol w:w="1021"/>
      </w:tblGrid>
      <w:tr>
        <w:tblPrEx>
          <w:tblCellMar>
            <w:top w:w="0" w:type="dxa"/>
            <w:left w:w="108" w:type="dxa"/>
            <w:bottom w:w="0" w:type="dxa"/>
            <w:right w:w="108" w:type="dxa"/>
          </w:tblCellMar>
        </w:tblPrEx>
        <w:trPr>
          <w:trHeight w:val="625" w:hRule="exact"/>
          <w:jc w:val="center"/>
        </w:trPr>
        <w:tc>
          <w:tcPr>
            <w:tcW w:w="1042"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序号</w:t>
            </w:r>
          </w:p>
        </w:tc>
        <w:tc>
          <w:tcPr>
            <w:tcW w:w="2552"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图名或资料名称</w:t>
            </w:r>
          </w:p>
        </w:tc>
        <w:tc>
          <w:tcPr>
            <w:tcW w:w="2562"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图号或资料</w:t>
            </w:r>
            <w:r>
              <w:rPr>
                <w:rFonts w:hint="eastAsia"/>
                <w:color w:val="auto"/>
                <w:sz w:val="21"/>
                <w:szCs w:val="21"/>
                <w:highlight w:val="none"/>
                <w:lang w:eastAsia="zh-CN"/>
              </w:rPr>
              <w:t>编</w:t>
            </w:r>
            <w:r>
              <w:rPr>
                <w:color w:val="auto"/>
                <w:sz w:val="21"/>
                <w:szCs w:val="21"/>
                <w:highlight w:val="none"/>
              </w:rPr>
              <w:t>号</w:t>
            </w:r>
          </w:p>
        </w:tc>
        <w:tc>
          <w:tcPr>
            <w:tcW w:w="2821"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出图日期或资料日期</w:t>
            </w:r>
          </w:p>
        </w:tc>
        <w:tc>
          <w:tcPr>
            <w:tcW w:w="1021"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46" w:hRule="exact"/>
          <w:jc w:val="center"/>
        </w:trPr>
        <w:tc>
          <w:tcPr>
            <w:tcW w:w="104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bottom w:val="single" w:color="auto" w:sz="4" w:space="0"/>
              <w:right w:val="single" w:color="auto" w:sz="4" w:space="0"/>
            </w:tcBorders>
            <w:shd w:val="clear" w:color="auto" w:fill="FFFFFF"/>
          </w:tcPr>
          <w:p>
            <w:pPr>
              <w:widowControl w:val="0"/>
              <w:rPr>
                <w:color w:val="auto"/>
                <w:highlight w:val="none"/>
              </w:rPr>
            </w:pPr>
          </w:p>
        </w:tc>
      </w:tr>
    </w:tbl>
    <w:p>
      <w:pPr>
        <w:widowControl w:val="0"/>
        <w:spacing w:after="719" w:line="1" w:lineRule="exact"/>
        <w:rPr>
          <w:color w:val="auto"/>
          <w:highlight w:val="none"/>
        </w:rPr>
      </w:pPr>
    </w:p>
    <w:p>
      <w:pPr>
        <w:pStyle w:val="33"/>
        <w:keepNext/>
        <w:keepLines/>
        <w:spacing w:beforeLines="150" w:afterLines="100" w:line="460" w:lineRule="exact"/>
        <w:jc w:val="both"/>
        <w:outlineLvl w:val="9"/>
        <w:rPr>
          <w:b/>
          <w:bCs/>
          <w:color w:val="auto"/>
          <w:sz w:val="28"/>
          <w:szCs w:val="28"/>
          <w:highlight w:val="none"/>
          <w:lang w:val="zh-CN" w:eastAsia="zh-CN"/>
        </w:rPr>
      </w:pPr>
      <w:bookmarkStart w:id="438" w:name="_Toc16947"/>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w:t>
      </w:r>
      <w:bookmarkEnd w:id="438"/>
    </w:p>
    <w:p>
      <w:pPr>
        <w:spacing w:before="69" w:line="220" w:lineRule="auto"/>
        <w:ind w:left="316"/>
        <w:rPr>
          <w:rFonts w:ascii="宋体" w:hAnsi="宋体" w:eastAsia="宋体" w:cs="宋体"/>
          <w:color w:val="auto"/>
          <w:highlight w:val="none"/>
        </w:rPr>
      </w:pPr>
      <w:r>
        <w:rPr>
          <w:rFonts w:ascii="宋体" w:hAnsi="宋体" w:eastAsia="宋体" w:cs="宋体"/>
          <w:color w:val="auto"/>
          <w:spacing w:val="-2"/>
          <w:highlight w:val="none"/>
        </w:rPr>
        <w:t>本次</w:t>
      </w:r>
      <w:r>
        <w:rPr>
          <w:rFonts w:ascii="宋体" w:hAnsi="宋体" w:eastAsia="宋体" w:cs="宋体"/>
          <w:color w:val="auto"/>
          <w:spacing w:val="-1"/>
          <w:highlight w:val="none"/>
        </w:rPr>
        <w:t>招标图纸提供电子版本供自行下载。</w:t>
      </w:r>
    </w:p>
    <w:p>
      <w:pPr>
        <w:rPr>
          <w:color w:val="auto"/>
          <w:highlight w:val="none"/>
        </w:rPr>
        <w:sectPr>
          <w:headerReference r:id="rId16" w:type="default"/>
          <w:footerReference r:id="rId17" w:type="default"/>
          <w:pgSz w:w="11907" w:h="16841"/>
          <w:pgMar w:top="400" w:right="1467" w:bottom="1278" w:left="1539" w:header="680" w:footer="850" w:gutter="0"/>
          <w:cols w:space="720" w:num="1"/>
        </w:sect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4"/>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三</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rPr>
          <w:color w:val="auto"/>
          <w:highlight w:val="none"/>
        </w:rPr>
        <w:sectPr>
          <w:headerReference r:id="rId18" w:type="default"/>
          <w:footerReference r:id="rId19" w:type="default"/>
          <w:pgSz w:w="11905" w:h="16839"/>
          <w:pgMar w:top="400" w:right="1785" w:bottom="969" w:left="1729" w:header="0" w:footer="850" w:gutter="0"/>
          <w:cols w:space="720" w:num="1"/>
        </w:sectPr>
      </w:pPr>
    </w:p>
    <w:p>
      <w:pPr>
        <w:spacing w:line="331" w:lineRule="auto"/>
        <w:rPr>
          <w:color w:val="auto"/>
          <w:highlight w:val="none"/>
        </w:rPr>
      </w:pPr>
    </w:p>
    <w:p>
      <w:pPr>
        <w:spacing w:line="331" w:lineRule="auto"/>
        <w:rPr>
          <w:color w:val="auto"/>
          <w:highlight w:val="none"/>
        </w:rPr>
      </w:pPr>
    </w:p>
    <w:p>
      <w:pPr>
        <w:spacing w:before="117" w:line="219" w:lineRule="auto"/>
        <w:ind w:left="1482"/>
        <w:rPr>
          <w:rFonts w:ascii="宋体" w:hAnsi="宋体" w:eastAsia="宋体" w:cs="宋体"/>
          <w:color w:val="auto"/>
          <w:sz w:val="36"/>
          <w:szCs w:val="36"/>
          <w:highlight w:val="none"/>
        </w:rPr>
      </w:pPr>
      <w:bookmarkStart w:id="439" w:name="_bookmark89"/>
      <w:bookmarkEnd w:id="439"/>
      <w:r>
        <w:rPr>
          <w:rFonts w:ascii="宋体" w:hAnsi="宋体" w:eastAsia="宋体" w:cs="宋体"/>
          <w:color w:val="auto"/>
          <w:spacing w:val="11"/>
          <w:sz w:val="36"/>
          <w:szCs w:val="36"/>
          <w:highlight w:val="none"/>
        </w:rPr>
        <w:t>第</w:t>
      </w:r>
      <w:r>
        <w:rPr>
          <w:rFonts w:ascii="宋体" w:hAnsi="宋体" w:eastAsia="宋体" w:cs="宋体"/>
          <w:color w:val="auto"/>
          <w:spacing w:val="10"/>
          <w:sz w:val="36"/>
          <w:szCs w:val="36"/>
          <w:highlight w:val="none"/>
        </w:rPr>
        <w:t>七章 技术标准和要求(合同技术条款)</w:t>
      </w:r>
    </w:p>
    <w:p>
      <w:pPr>
        <w:spacing w:before="94" w:line="246" w:lineRule="auto"/>
        <w:ind w:firstLine="762"/>
        <w:rPr>
          <w:rFonts w:ascii="宋体" w:hAnsi="宋体" w:eastAsia="宋体" w:cs="宋体"/>
          <w:i/>
          <w:iCs/>
          <w:color w:val="auto"/>
          <w:spacing w:val="-10"/>
          <w:sz w:val="29"/>
          <w:szCs w:val="29"/>
          <w:highlight w:val="none"/>
        </w:rPr>
      </w:pPr>
      <w:bookmarkStart w:id="440" w:name="_bookmark90"/>
      <w:bookmarkEnd w:id="440"/>
    </w:p>
    <w:p>
      <w:pPr>
        <w:spacing w:before="94" w:line="246" w:lineRule="auto"/>
        <w:rPr>
          <w:rFonts w:ascii="宋体" w:hAnsi="宋体" w:eastAsia="宋体" w:cs="宋体"/>
          <w:color w:val="auto"/>
          <w:sz w:val="29"/>
          <w:szCs w:val="29"/>
          <w:highlight w:val="none"/>
        </w:rPr>
      </w:pPr>
      <w:r>
        <w:rPr>
          <w:rFonts w:ascii="宋体" w:hAnsi="宋体" w:eastAsia="宋体" w:cs="宋体"/>
          <w:color w:val="auto"/>
          <w:spacing w:val="-10"/>
          <w:sz w:val="29"/>
          <w:szCs w:val="29"/>
          <w:highlight w:val="none"/>
        </w:rPr>
        <w:t>略。参照《</w:t>
      </w:r>
      <w:r>
        <w:rPr>
          <w:rFonts w:ascii="宋体" w:hAnsi="宋体" w:eastAsia="宋体" w:cs="宋体"/>
          <w:color w:val="auto"/>
          <w:spacing w:val="-6"/>
          <w:sz w:val="29"/>
          <w:szCs w:val="29"/>
          <w:highlight w:val="none"/>
        </w:rPr>
        <w:t>浙</w:t>
      </w:r>
      <w:r>
        <w:rPr>
          <w:rFonts w:ascii="宋体" w:hAnsi="宋体" w:eastAsia="宋体" w:cs="宋体"/>
          <w:color w:val="auto"/>
          <w:spacing w:val="-5"/>
          <w:sz w:val="29"/>
          <w:szCs w:val="29"/>
          <w:highlight w:val="none"/>
        </w:rPr>
        <w:t>江省水利水电工程施工招标文件示范文本》(2022年</w:t>
      </w:r>
      <w:r>
        <w:rPr>
          <w:rFonts w:ascii="宋体" w:hAnsi="宋体" w:eastAsia="宋体" w:cs="宋体"/>
          <w:color w:val="auto"/>
          <w:spacing w:val="25"/>
          <w:sz w:val="29"/>
          <w:szCs w:val="29"/>
          <w:highlight w:val="none"/>
        </w:rPr>
        <w:t>版</w:t>
      </w:r>
      <w:r>
        <w:rPr>
          <w:rFonts w:ascii="宋体" w:hAnsi="宋体" w:eastAsia="宋体" w:cs="宋体"/>
          <w:color w:val="auto"/>
          <w:spacing w:val="24"/>
          <w:sz w:val="29"/>
          <w:szCs w:val="29"/>
          <w:highlight w:val="none"/>
        </w:rPr>
        <w:t>)</w:t>
      </w:r>
    </w:p>
    <w:p>
      <w:pPr>
        <w:rPr>
          <w:color w:val="auto"/>
          <w:highlight w:val="none"/>
        </w:rPr>
        <w:sectPr>
          <w:footerReference r:id="rId20" w:type="default"/>
          <w:pgSz w:w="11907" w:h="16841"/>
          <w:pgMar w:top="400" w:right="1388" w:bottom="1278" w:left="1530" w:header="0" w:footer="850" w:gutter="0"/>
          <w:cols w:space="720" w:num="1"/>
        </w:sect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spacing w:before="273" w:line="220" w:lineRule="auto"/>
        <w:ind w:left="2932"/>
        <w:rPr>
          <w:rFonts w:ascii="宋体" w:hAnsi="宋体" w:eastAsia="宋体" w:cs="宋体"/>
          <w:color w:val="auto"/>
          <w:sz w:val="84"/>
          <w:szCs w:val="84"/>
          <w:highlight w:val="none"/>
        </w:rPr>
      </w:pPr>
      <w:bookmarkStart w:id="441" w:name="_bookmark115"/>
      <w:bookmarkEnd w:id="441"/>
      <w:r>
        <w:rPr>
          <w:rFonts w:ascii="宋体" w:hAnsi="宋体" w:eastAsia="宋体" w:cs="宋体"/>
          <w:color w:val="auto"/>
          <w:spacing w:val="-11"/>
          <w:sz w:val="84"/>
          <w:szCs w:val="84"/>
          <w:highlight w:val="none"/>
        </w:rPr>
        <w:t>第</w:t>
      </w:r>
      <w:r>
        <w:rPr>
          <w:rFonts w:ascii="宋体" w:hAnsi="宋体" w:eastAsia="宋体" w:cs="宋体"/>
          <w:color w:val="auto"/>
          <w:spacing w:val="-8"/>
          <w:sz w:val="84"/>
          <w:szCs w:val="84"/>
          <w:highlight w:val="none"/>
        </w:rPr>
        <w:t>四卷</w:t>
      </w: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1" w:lineRule="auto"/>
        <w:rPr>
          <w:color w:val="auto"/>
          <w:highlight w:val="none"/>
        </w:rPr>
      </w:pPr>
    </w:p>
    <w:p>
      <w:pPr>
        <w:spacing w:line="242" w:lineRule="auto"/>
        <w:rPr>
          <w:color w:val="auto"/>
          <w:highlight w:val="none"/>
        </w:rPr>
      </w:pPr>
    </w:p>
    <w:p>
      <w:pPr>
        <w:spacing w:line="242" w:lineRule="auto"/>
        <w:rPr>
          <w:color w:val="auto"/>
          <w:highlight w:val="none"/>
        </w:rPr>
      </w:pPr>
    </w:p>
    <w:p>
      <w:pPr>
        <w:spacing w:line="242" w:lineRule="auto"/>
        <w:rPr>
          <w:color w:val="auto"/>
          <w:highlight w:val="none"/>
        </w:rPr>
      </w:pPr>
    </w:p>
    <w:p>
      <w:pPr>
        <w:rPr>
          <w:color w:val="auto"/>
          <w:highlight w:val="none"/>
        </w:rPr>
        <w:sectPr>
          <w:footerReference r:id="rId21" w:type="default"/>
          <w:pgSz w:w="11905" w:h="16839"/>
          <w:pgMar w:top="400" w:right="1785" w:bottom="799" w:left="1785" w:header="0" w:footer="907" w:gutter="0"/>
          <w:cols w:space="720" w:num="1"/>
        </w:sectPr>
      </w:pPr>
    </w:p>
    <w:p>
      <w:pPr>
        <w:spacing w:line="331" w:lineRule="auto"/>
        <w:rPr>
          <w:color w:val="auto"/>
          <w:highlight w:val="none"/>
        </w:rPr>
      </w:pPr>
    </w:p>
    <w:p>
      <w:pPr>
        <w:spacing w:line="331" w:lineRule="auto"/>
        <w:rPr>
          <w:color w:val="auto"/>
          <w:highlight w:val="none"/>
        </w:rPr>
      </w:pPr>
    </w:p>
    <w:p>
      <w:pPr>
        <w:spacing w:line="360" w:lineRule="auto"/>
        <w:jc w:val="center"/>
        <w:outlineLvl w:val="0"/>
        <w:rPr>
          <w:rFonts w:ascii="黑体" w:hAnsi="黑体" w:eastAsia="黑体" w:cs="黑体"/>
          <w:b/>
          <w:bCs/>
          <w:color w:val="auto"/>
          <w:sz w:val="36"/>
          <w:szCs w:val="36"/>
          <w:highlight w:val="none"/>
        </w:rPr>
      </w:pPr>
      <w:bookmarkStart w:id="442" w:name="_bookmark116"/>
      <w:bookmarkEnd w:id="442"/>
      <w:bookmarkStart w:id="443" w:name="_Toc12987"/>
      <w:r>
        <w:rPr>
          <w:rFonts w:ascii="黑体" w:hAnsi="黑体" w:eastAsia="黑体" w:cs="黑体"/>
          <w:b/>
          <w:bCs/>
          <w:color w:val="auto"/>
          <w:sz w:val="36"/>
          <w:szCs w:val="36"/>
          <w:highlight w:val="none"/>
        </w:rPr>
        <w:t>第八章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投标文件格式</w:t>
      </w:r>
      <w:bookmarkEnd w:id="443"/>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6"/>
        <w:spacing w:after="0" w:line="240" w:lineRule="auto"/>
        <w:ind w:firstLine="0"/>
        <w:jc w:val="center"/>
        <w:rPr>
          <w:color w:val="auto"/>
          <w:sz w:val="56"/>
          <w:szCs w:val="56"/>
          <w:highlight w:val="none"/>
        </w:rPr>
      </w:pPr>
    </w:p>
    <w:p>
      <w:pPr>
        <w:pStyle w:val="30"/>
        <w:tabs>
          <w:tab w:val="left" w:pos="2808"/>
          <w:tab w:val="left" w:pos="6324"/>
        </w:tabs>
        <w:spacing w:beforeLines="200" w:afterLines="200" w:line="460" w:lineRule="exact"/>
        <w:ind w:firstLine="0"/>
        <w:jc w:val="both"/>
        <w:rPr>
          <w:b/>
          <w:bCs/>
          <w:color w:val="auto"/>
          <w:sz w:val="36"/>
          <w:szCs w:val="36"/>
          <w:highlight w:val="none"/>
        </w:rPr>
      </w:pPr>
    </w:p>
    <w:p>
      <w:pPr>
        <w:pStyle w:val="30"/>
        <w:tabs>
          <w:tab w:val="left" w:pos="2808"/>
          <w:tab w:val="left" w:pos="6324"/>
        </w:tabs>
        <w:spacing w:beforeLines="200" w:afterLines="200" w:line="460" w:lineRule="exact"/>
        <w:ind w:firstLine="361" w:firstLineChars="1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bookmarkStart w:id="444" w:name="_Toc11631"/>
      <w:bookmarkStart w:id="445" w:name="_Toc14845"/>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bookmarkEnd w:id="444"/>
      <w:bookmarkEnd w:id="445"/>
    </w:p>
    <w:p>
      <w:pPr>
        <w:pStyle w:val="32"/>
        <w:keepNext/>
        <w:keepLines/>
        <w:spacing w:after="0"/>
        <w:jc w:val="center"/>
        <w:outlineLvl w:val="9"/>
        <w:rPr>
          <w:b/>
          <w:bCs/>
          <w:color w:val="auto"/>
          <w:sz w:val="72"/>
          <w:szCs w:val="72"/>
          <w:highlight w:val="none"/>
        </w:rPr>
      </w:pPr>
    </w:p>
    <w:p>
      <w:pPr>
        <w:pStyle w:val="32"/>
        <w:keepNext/>
        <w:keepLines/>
        <w:spacing w:after="0"/>
        <w:jc w:val="center"/>
        <w:outlineLvl w:val="9"/>
        <w:rPr>
          <w:b/>
          <w:bCs/>
          <w:color w:val="auto"/>
          <w:sz w:val="72"/>
          <w:szCs w:val="72"/>
          <w:highlight w:val="none"/>
        </w:rPr>
      </w:pPr>
    </w:p>
    <w:p>
      <w:pPr>
        <w:pStyle w:val="32"/>
        <w:keepNext/>
        <w:keepLines/>
        <w:spacing w:after="1220"/>
        <w:jc w:val="center"/>
        <w:outlineLvl w:val="1"/>
        <w:rPr>
          <w:b/>
          <w:bCs/>
          <w:color w:val="auto"/>
          <w:sz w:val="72"/>
          <w:szCs w:val="72"/>
          <w:highlight w:val="none"/>
        </w:rPr>
      </w:pPr>
      <w:bookmarkStart w:id="446" w:name="_Toc27849"/>
      <w:bookmarkStart w:id="447" w:name="_Toc16645"/>
      <w:bookmarkStart w:id="448" w:name="_Toc5820"/>
      <w:bookmarkStart w:id="449" w:name="_Toc20617"/>
      <w:r>
        <w:rPr>
          <w:b/>
          <w:bCs/>
          <w:color w:val="auto"/>
          <w:sz w:val="72"/>
          <w:szCs w:val="72"/>
          <w:highlight w:val="none"/>
        </w:rPr>
        <w:t>投标文件</w:t>
      </w:r>
      <w:bookmarkEnd w:id="446"/>
      <w:bookmarkEnd w:id="447"/>
      <w:bookmarkEnd w:id="448"/>
      <w:bookmarkEnd w:id="449"/>
    </w:p>
    <w:p>
      <w:pPr>
        <w:pStyle w:val="30"/>
        <w:spacing w:after="2000" w:line="240" w:lineRule="auto"/>
        <w:ind w:firstLine="0"/>
        <w:jc w:val="center"/>
        <w:rPr>
          <w:color w:val="auto"/>
          <w:highlight w:val="none"/>
        </w:rPr>
      </w:pPr>
      <w:r>
        <w:rPr>
          <w:rFonts w:hint="eastAsia"/>
          <w:color w:val="auto"/>
          <w:highlight w:val="none"/>
          <w:lang w:eastAsia="zh-CN"/>
        </w:rPr>
        <w:t>（</w:t>
      </w:r>
      <w:r>
        <w:rPr>
          <w:color w:val="auto"/>
          <w:highlight w:val="none"/>
        </w:rPr>
        <w:t>商务标）</w:t>
      </w:r>
    </w:p>
    <w:p>
      <w:pPr>
        <w:pStyle w:val="30"/>
        <w:tabs>
          <w:tab w:val="left" w:pos="6200"/>
        </w:tabs>
        <w:spacing w:after="0" w:line="240" w:lineRule="auto"/>
        <w:ind w:firstLine="680" w:firstLineChars="200"/>
        <w:rPr>
          <w:color w:val="auto"/>
          <w:highlight w:val="none"/>
        </w:rPr>
      </w:pPr>
    </w:p>
    <w:p>
      <w:pPr>
        <w:pStyle w:val="30"/>
        <w:tabs>
          <w:tab w:val="left" w:pos="6200"/>
        </w:tabs>
        <w:spacing w:after="0" w:line="240" w:lineRule="auto"/>
        <w:ind w:firstLine="680" w:firstLineChars="200"/>
        <w:rPr>
          <w:color w:val="auto"/>
          <w:highlight w:val="none"/>
        </w:rPr>
      </w:pPr>
    </w:p>
    <w:p>
      <w:pPr>
        <w:pStyle w:val="30"/>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30"/>
        <w:spacing w:after="0" w:line="240" w:lineRule="auto"/>
        <w:ind w:firstLine="680" w:firstLineChars="200"/>
        <w:rPr>
          <w:color w:val="auto"/>
          <w:highlight w:val="none"/>
        </w:rPr>
      </w:pPr>
    </w:p>
    <w:p>
      <w:pPr>
        <w:pStyle w:val="30"/>
        <w:spacing w:after="0" w:line="240" w:lineRule="auto"/>
        <w:ind w:firstLine="680" w:firstLineChars="200"/>
        <w:rPr>
          <w:color w:val="auto"/>
          <w:highlight w:val="none"/>
        </w:rPr>
      </w:pPr>
      <w:r>
        <w:rPr>
          <w:color w:val="auto"/>
          <w:highlight w:val="none"/>
        </w:rPr>
        <w:t>法定代表人</w:t>
      </w:r>
    </w:p>
    <w:p>
      <w:pPr>
        <w:pStyle w:val="30"/>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30"/>
        <w:tabs>
          <w:tab w:val="left" w:pos="4580"/>
          <w:tab w:val="left" w:pos="6860"/>
          <w:tab w:val="left" w:pos="9332"/>
        </w:tabs>
        <w:spacing w:after="0" w:line="240" w:lineRule="auto"/>
        <w:ind w:firstLine="2040" w:firstLineChars="600"/>
        <w:rPr>
          <w:color w:val="auto"/>
          <w:highlight w:val="none"/>
          <w:u w:val="single"/>
          <w:lang w:val="en-US" w:eastAsia="zh-CN"/>
        </w:rPr>
      </w:pPr>
    </w:p>
    <w:p>
      <w:pPr>
        <w:pStyle w:val="30"/>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30"/>
        <w:spacing w:after="0" w:line="240" w:lineRule="auto"/>
        <w:ind w:firstLine="540"/>
        <w:rPr>
          <w:i/>
          <w:iCs/>
          <w:color w:val="auto"/>
          <w:sz w:val="32"/>
          <w:szCs w:val="32"/>
          <w:highlight w:val="none"/>
        </w:rPr>
      </w:pPr>
    </w:p>
    <w:p>
      <w:pPr>
        <w:pStyle w:val="30"/>
        <w:spacing w:after="0" w:line="240" w:lineRule="auto"/>
        <w:ind w:firstLine="540"/>
        <w:rPr>
          <w:i/>
          <w:iCs/>
          <w:color w:val="auto"/>
          <w:sz w:val="32"/>
          <w:szCs w:val="32"/>
          <w:highlight w:val="none"/>
        </w:rPr>
      </w:pPr>
    </w:p>
    <w:p>
      <w:pPr>
        <w:pStyle w:val="30"/>
        <w:spacing w:after="0" w:line="240" w:lineRule="auto"/>
        <w:ind w:firstLine="540"/>
        <w:rPr>
          <w:i/>
          <w:iCs/>
          <w:color w:val="auto"/>
          <w:sz w:val="32"/>
          <w:szCs w:val="32"/>
          <w:highlight w:val="none"/>
        </w:rPr>
      </w:pPr>
    </w:p>
    <w:p>
      <w:pPr>
        <w:pStyle w:val="30"/>
        <w:spacing w:after="0" w:line="240" w:lineRule="auto"/>
        <w:ind w:firstLine="540"/>
        <w:rPr>
          <w:color w:val="auto"/>
          <w:sz w:val="21"/>
          <w:szCs w:val="21"/>
          <w:highlight w:val="none"/>
        </w:rPr>
      </w:pPr>
      <w:r>
        <w:rPr>
          <w:color w:val="auto"/>
          <w:sz w:val="21"/>
          <w:szCs w:val="21"/>
          <w:highlight w:val="none"/>
        </w:rPr>
        <w:br w:type="page"/>
      </w:r>
    </w:p>
    <w:p>
      <w:pPr>
        <w:pStyle w:val="36"/>
        <w:spacing w:after="0" w:line="240" w:lineRule="auto"/>
        <w:ind w:firstLine="0"/>
        <w:jc w:val="center"/>
        <w:rPr>
          <w:color w:val="auto"/>
          <w:sz w:val="21"/>
          <w:szCs w:val="21"/>
          <w:highlight w:val="none"/>
        </w:rPr>
        <w:sectPr>
          <w:headerReference r:id="rId22" w:type="default"/>
          <w:footerReference r:id="rId24" w:type="default"/>
          <w:headerReference r:id="rId23" w:type="even"/>
          <w:footerReference r:id="rId25" w:type="even"/>
          <w:pgSz w:w="11905" w:h="16838"/>
          <w:pgMar w:top="1247" w:right="1417" w:bottom="1247" w:left="1417" w:header="0" w:footer="850" w:gutter="0"/>
          <w:cols w:space="0" w:num="1"/>
          <w:docGrid w:linePitch="360" w:charSpace="0"/>
        </w:sectPr>
      </w:pPr>
    </w:p>
    <w:p>
      <w:pPr>
        <w:spacing w:before="98" w:line="222" w:lineRule="auto"/>
        <w:jc w:val="center"/>
        <w:outlineLvl w:val="1"/>
        <w:rPr>
          <w:rFonts w:ascii="Times New Roman" w:hAnsi="Times New Roman"/>
          <w:color w:val="auto"/>
          <w:sz w:val="30"/>
          <w:szCs w:val="30"/>
          <w:highlight w:val="none"/>
        </w:rPr>
      </w:pPr>
      <w:bookmarkStart w:id="450" w:name="_Toc31979"/>
      <w:bookmarkStart w:id="451" w:name="_Toc1255"/>
      <w:bookmarkStart w:id="452" w:name="_Toc1970"/>
    </w:p>
    <w:p>
      <w:pPr>
        <w:spacing w:before="98" w:line="222" w:lineRule="auto"/>
        <w:jc w:val="center"/>
        <w:outlineLvl w:val="1"/>
        <w:rPr>
          <w:rFonts w:ascii="Times New Roman" w:hAnsi="Times New Roman"/>
          <w:color w:val="auto"/>
          <w:sz w:val="30"/>
          <w:szCs w:val="30"/>
          <w:highlight w:val="none"/>
        </w:rPr>
      </w:pPr>
      <w:r>
        <w:rPr>
          <w:rFonts w:ascii="Times New Roman" w:hAnsi="Times New Roman"/>
          <w:color w:val="auto"/>
          <w:sz w:val="30"/>
          <w:szCs w:val="30"/>
          <w:highlight w:val="none"/>
        </w:rPr>
        <w:t>目  录</w:t>
      </w:r>
      <w:bookmarkEnd w:id="450"/>
      <w:bookmarkEnd w:id="451"/>
      <w:bookmarkEnd w:id="452"/>
    </w:p>
    <w:p>
      <w:pPr>
        <w:spacing w:line="317" w:lineRule="auto"/>
        <w:rPr>
          <w:rFonts w:ascii="Times New Roman" w:hAnsi="Times New Roman"/>
          <w:color w:val="auto"/>
          <w:highlight w:val="none"/>
        </w:rPr>
      </w:pPr>
    </w:p>
    <w:p>
      <w:pPr>
        <w:pStyle w:val="30"/>
        <w:tabs>
          <w:tab w:val="left" w:pos="1373"/>
        </w:tabs>
        <w:spacing w:after="0" w:line="460" w:lineRule="exact"/>
        <w:ind w:left="420" w:leftChars="200" w:firstLine="0"/>
        <w:rPr>
          <w:color w:val="auto"/>
          <w:sz w:val="21"/>
          <w:szCs w:val="21"/>
          <w:highlight w:val="none"/>
          <w:lang w:eastAsia="zh-CN"/>
        </w:rPr>
      </w:pPr>
      <w:bookmarkStart w:id="453" w:name="_Toc27094"/>
      <w:bookmarkStart w:id="454" w:name="_Toc12462"/>
    </w:p>
    <w:p>
      <w:pPr>
        <w:pStyle w:val="30"/>
        <w:tabs>
          <w:tab w:val="left" w:pos="1373"/>
        </w:tabs>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30"/>
        <w:tabs>
          <w:tab w:val="left" w:pos="1373"/>
        </w:tabs>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30"/>
        <w:tabs>
          <w:tab w:val="left" w:pos="1373"/>
        </w:tabs>
        <w:spacing w:after="0" w:line="460" w:lineRule="exact"/>
        <w:ind w:left="420" w:leftChars="200" w:firstLine="0"/>
        <w:rPr>
          <w:rFonts w:hint="eastAsia" w:eastAsia="宋体"/>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r>
        <w:rPr>
          <w:rFonts w:hint="eastAsia"/>
          <w:color w:val="auto"/>
          <w:sz w:val="21"/>
          <w:szCs w:val="21"/>
          <w:highlight w:val="none"/>
          <w:lang w:eastAsia="zh-CN"/>
        </w:rPr>
        <w:t>。</w:t>
      </w: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rPr>
          <w:color w:val="auto"/>
          <w:sz w:val="21"/>
          <w:szCs w:val="21"/>
          <w:highlight w:val="none"/>
        </w:rPr>
      </w:pPr>
    </w:p>
    <w:p>
      <w:pPr>
        <w:pStyle w:val="30"/>
        <w:tabs>
          <w:tab w:val="left" w:pos="1373"/>
        </w:tabs>
        <w:spacing w:after="0" w:line="460" w:lineRule="exact"/>
        <w:ind w:left="420" w:leftChars="200" w:firstLine="0"/>
        <w:jc w:val="center"/>
        <w:rPr>
          <w:b/>
          <w:bCs/>
          <w:color w:val="auto"/>
          <w:sz w:val="36"/>
          <w:szCs w:val="36"/>
          <w:highlight w:val="none"/>
        </w:rPr>
      </w:pPr>
      <w:r>
        <w:rPr>
          <w:rFonts w:hint="eastAsia"/>
          <w:b/>
          <w:bCs/>
          <w:color w:val="auto"/>
          <w:sz w:val="36"/>
          <w:szCs w:val="36"/>
          <w:highlight w:val="none"/>
          <w:lang w:val="en-US" w:eastAsia="zh-CN"/>
        </w:rPr>
        <w:t>—</w:t>
      </w:r>
      <w:r>
        <w:rPr>
          <w:rFonts w:hint="eastAsia"/>
          <w:b/>
          <w:bCs/>
          <w:color w:val="auto"/>
          <w:sz w:val="36"/>
          <w:szCs w:val="36"/>
          <w:highlight w:val="none"/>
          <w:lang w:val="zh-CN" w:eastAsia="zh-CN"/>
        </w:rPr>
        <w:t>、</w:t>
      </w:r>
      <w:r>
        <w:rPr>
          <w:rFonts w:hint="eastAsia"/>
          <w:b/>
          <w:bCs/>
          <w:color w:val="auto"/>
          <w:sz w:val="36"/>
          <w:szCs w:val="36"/>
          <w:highlight w:val="none"/>
        </w:rPr>
        <w:t>投标函及投标函附录</w:t>
      </w:r>
      <w:bookmarkEnd w:id="453"/>
      <w:bookmarkEnd w:id="454"/>
    </w:p>
    <w:p>
      <w:pPr>
        <w:pStyle w:val="30"/>
        <w:spacing w:after="0" w:line="460" w:lineRule="exact"/>
        <w:ind w:firstLine="422" w:firstLineChars="200"/>
        <w:outlineLvl w:val="1"/>
        <w:rPr>
          <w:b/>
          <w:bCs/>
          <w:color w:val="auto"/>
          <w:sz w:val="21"/>
          <w:szCs w:val="21"/>
          <w:highlight w:val="none"/>
        </w:rPr>
      </w:pPr>
      <w:bookmarkStart w:id="455" w:name="_Toc27665"/>
      <w:bookmarkStart w:id="456" w:name="_Toc26434"/>
      <w:bookmarkStart w:id="457" w:name="_Toc1528"/>
      <w:bookmarkStart w:id="458" w:name="_Toc655"/>
      <w:r>
        <w:rPr>
          <w:rFonts w:hint="eastAsia"/>
          <w:b/>
          <w:bCs/>
          <w:color w:val="auto"/>
          <w:sz w:val="21"/>
          <w:szCs w:val="21"/>
          <w:highlight w:val="none"/>
          <w:lang w:eastAsia="zh-CN"/>
        </w:rPr>
        <w:t>（</w:t>
      </w:r>
      <w:r>
        <w:rPr>
          <w:rFonts w:hint="eastAsia"/>
          <w:b/>
          <w:bCs/>
          <w:color w:val="auto"/>
          <w:sz w:val="21"/>
          <w:szCs w:val="21"/>
          <w:highlight w:val="none"/>
        </w:rPr>
        <w:t>一）投标函</w:t>
      </w:r>
      <w:bookmarkEnd w:id="455"/>
      <w:bookmarkEnd w:id="456"/>
      <w:bookmarkEnd w:id="457"/>
      <w:bookmarkEnd w:id="458"/>
    </w:p>
    <w:p>
      <w:pPr>
        <w:pStyle w:val="30"/>
        <w:tabs>
          <w:tab w:val="left" w:pos="3504"/>
        </w:tabs>
        <w:spacing w:beforeLines="50" w:afterLines="5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招标人名称）：</w:t>
      </w:r>
    </w:p>
    <w:p>
      <w:pPr>
        <w:pStyle w:val="30"/>
        <w:tabs>
          <w:tab w:val="left" w:pos="1240"/>
          <w:tab w:val="left" w:pos="6952"/>
          <w:tab w:val="left" w:pos="105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我方已仔细研究了</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项目名称）招标文件的全部内容，愿意以人民币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rPr>
        <w:t>元）的投标总报价，工期</w:t>
      </w:r>
      <w:r>
        <w:rPr>
          <w:rFonts w:hint="eastAsia"/>
          <w:color w:val="auto"/>
          <w:sz w:val="21"/>
          <w:szCs w:val="21"/>
          <w:highlight w:val="none"/>
          <w:u w:val="single"/>
          <w:lang w:val="en-US" w:eastAsia="zh-CN"/>
        </w:rPr>
        <w:t xml:space="preserve">           </w:t>
      </w:r>
      <w:r>
        <w:rPr>
          <w:rFonts w:hint="eastAsia"/>
          <w:color w:val="auto"/>
          <w:sz w:val="21"/>
          <w:szCs w:val="21"/>
          <w:highlight w:val="none"/>
        </w:rPr>
        <w:t>，按合同约定实施和完成承包工程，修补工程中的任何缺陷，工程质量达到</w:t>
      </w:r>
      <w:r>
        <w:rPr>
          <w:rFonts w:hint="eastAsia"/>
          <w:color w:val="auto"/>
          <w:sz w:val="21"/>
          <w:szCs w:val="21"/>
          <w:highlight w:val="none"/>
          <w:u w:val="single"/>
          <w:lang w:val="en-US" w:eastAsia="zh-CN"/>
        </w:rPr>
        <w:t xml:space="preserve">           </w:t>
      </w:r>
      <w:r>
        <w:rPr>
          <w:rFonts w:hint="eastAsia"/>
          <w:i/>
          <w:iCs/>
          <w:color w:val="auto"/>
          <w:sz w:val="21"/>
          <w:szCs w:val="21"/>
          <w:highlight w:val="none"/>
          <w:lang w:eastAsia="zh-CN"/>
        </w:rPr>
        <w:t>，</w:t>
      </w:r>
      <w:r>
        <w:rPr>
          <w:rFonts w:hint="eastAsia"/>
          <w:color w:val="auto"/>
          <w:sz w:val="21"/>
          <w:szCs w:val="21"/>
          <w:highlight w:val="none"/>
        </w:rPr>
        <w:t>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r>
        <w:rPr>
          <w:rFonts w:hint="eastAsia"/>
          <w:color w:val="auto"/>
          <w:sz w:val="21"/>
          <w:szCs w:val="21"/>
          <w:highlight w:val="none"/>
        </w:rPr>
        <w:tab/>
      </w:r>
    </w:p>
    <w:p>
      <w:pPr>
        <w:pStyle w:val="30"/>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我方承诺在投标有效期内不补充、修改、替代或者撤回本投标文件。</w:t>
      </w:r>
    </w:p>
    <w:p>
      <w:pPr>
        <w:pStyle w:val="30"/>
        <w:tabs>
          <w:tab w:val="left" w:pos="1240"/>
          <w:tab w:val="left" w:pos="2448"/>
          <w:tab w:val="left" w:pos="12024"/>
        </w:tabs>
        <w:spacing w:after="0" w:line="460" w:lineRule="exact"/>
        <w:ind w:firstLine="420" w:firstLineChars="200"/>
        <w:rPr>
          <w:color w:val="auto"/>
          <w:sz w:val="21"/>
          <w:szCs w:val="21"/>
          <w:highlight w:val="none"/>
        </w:rPr>
      </w:pPr>
      <w:bookmarkStart w:id="459" w:name="_Toc24501"/>
      <w:bookmarkStart w:id="460" w:name="_Toc5865"/>
      <w:r>
        <w:rPr>
          <w:rFonts w:hint="eastAsia"/>
          <w:color w:val="auto"/>
          <w:sz w:val="21"/>
          <w:szCs w:val="21"/>
          <w:highlight w:val="none"/>
          <w:lang w:val="en-US" w:eastAsia="zh-CN"/>
        </w:rPr>
        <w:t xml:space="preserve">3. </w:t>
      </w:r>
      <w:r>
        <w:rPr>
          <w:rFonts w:hint="eastAsia"/>
          <w:color w:val="auto"/>
          <w:sz w:val="21"/>
          <w:szCs w:val="21"/>
          <w:highlight w:val="none"/>
        </w:rPr>
        <w:t>如我方中标：</w:t>
      </w:r>
      <w:bookmarkEnd w:id="459"/>
      <w:bookmarkEnd w:id="460"/>
    </w:p>
    <w:p>
      <w:pPr>
        <w:pStyle w:val="30"/>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1）我方承诺在收到中标通知书后，在中标通知书规定的期限内与你方签订</w:t>
      </w:r>
      <w:r>
        <w:rPr>
          <w:rFonts w:hint="eastAsia"/>
          <w:color w:val="auto"/>
          <w:sz w:val="21"/>
          <w:szCs w:val="21"/>
          <w:highlight w:val="none"/>
          <w:lang w:val="zh-CN" w:eastAsia="zh-CN" w:bidi="zh-CN"/>
        </w:rPr>
        <w:t>合同。</w:t>
      </w:r>
    </w:p>
    <w:p>
      <w:pPr>
        <w:pStyle w:val="30"/>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2）随同本投标函递交的投标函附录属于合同文件的组成部分。</w:t>
      </w:r>
    </w:p>
    <w:p>
      <w:pPr>
        <w:pStyle w:val="30"/>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3）我方承诺按照招标文件规定向你方递交履约担保。</w:t>
      </w:r>
    </w:p>
    <w:p>
      <w:pPr>
        <w:pStyle w:val="30"/>
        <w:tabs>
          <w:tab w:val="left" w:pos="1332"/>
        </w:tabs>
        <w:spacing w:after="0" w:line="4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4）我方承诺在合同约定的期限内完成并移交全部合同工程</w:t>
      </w:r>
      <w:r>
        <w:rPr>
          <w:rFonts w:hint="eastAsia"/>
          <w:color w:val="auto"/>
          <w:sz w:val="21"/>
          <w:szCs w:val="21"/>
          <w:highlight w:val="none"/>
          <w:lang w:eastAsia="zh-CN"/>
        </w:rPr>
        <w:t>。</w:t>
      </w:r>
    </w:p>
    <w:p>
      <w:pPr>
        <w:pStyle w:val="30"/>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我方在此声明，所递交的投标文件及有关资料内容完整、真实和准确，</w:t>
      </w:r>
    </w:p>
    <w:p>
      <w:pPr>
        <w:pStyle w:val="30"/>
        <w:spacing w:after="0" w:line="460" w:lineRule="exact"/>
        <w:ind w:firstLine="420" w:firstLineChars="200"/>
        <w:rPr>
          <w:color w:val="auto"/>
          <w:sz w:val="21"/>
          <w:szCs w:val="21"/>
          <w:highlight w:val="none"/>
        </w:rPr>
      </w:pPr>
      <w:r>
        <w:rPr>
          <w:rFonts w:hint="eastAsia"/>
          <w:color w:val="auto"/>
          <w:sz w:val="21"/>
          <w:szCs w:val="21"/>
          <w:highlight w:val="none"/>
        </w:rPr>
        <w:t>且不存在第2章投标人须知第1.4.3项规定的任何一种情形。</w:t>
      </w:r>
    </w:p>
    <w:p>
      <w:pPr>
        <w:pStyle w:val="30"/>
        <w:tabs>
          <w:tab w:val="left" w:pos="1240"/>
          <w:tab w:val="left" w:pos="3952"/>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其他补充说明）。</w:t>
      </w:r>
    </w:p>
    <w:p>
      <w:pPr>
        <w:pStyle w:val="30"/>
        <w:tabs>
          <w:tab w:val="left" w:pos="9600"/>
        </w:tabs>
        <w:spacing w:after="0" w:line="460" w:lineRule="exact"/>
        <w:ind w:firstLine="420" w:firstLineChars="200"/>
        <w:rPr>
          <w:color w:val="auto"/>
          <w:sz w:val="21"/>
          <w:szCs w:val="21"/>
          <w:highlight w:val="none"/>
        </w:rPr>
      </w:pPr>
    </w:p>
    <w:p>
      <w:pPr>
        <w:pStyle w:val="30"/>
        <w:tabs>
          <w:tab w:val="left" w:pos="9600"/>
        </w:tabs>
        <w:spacing w:after="0" w:line="460" w:lineRule="exact"/>
        <w:ind w:firstLine="420" w:firstLineChars="200"/>
        <w:rPr>
          <w:color w:val="auto"/>
          <w:sz w:val="21"/>
          <w:szCs w:val="21"/>
          <w:highlight w:val="none"/>
        </w:rPr>
      </w:pPr>
    </w:p>
    <w:p>
      <w:pPr>
        <w:pStyle w:val="30"/>
        <w:tabs>
          <w:tab w:val="left" w:pos="9600"/>
        </w:tabs>
        <w:spacing w:after="0" w:line="460" w:lineRule="exact"/>
        <w:ind w:firstLine="2730" w:firstLineChars="1300"/>
        <w:rPr>
          <w:color w:val="auto"/>
          <w:sz w:val="21"/>
          <w:szCs w:val="21"/>
          <w:highlight w:val="none"/>
          <w:u w:val="single"/>
        </w:rPr>
      </w:pPr>
      <w:bookmarkStart w:id="461" w:name="_Toc12893"/>
      <w:bookmarkStart w:id="462" w:name="_Toc21846"/>
      <w:r>
        <w:rPr>
          <w:rFonts w:hint="eastAsia"/>
          <w:color w:val="auto"/>
          <w:sz w:val="21"/>
          <w:szCs w:val="21"/>
          <w:highlight w:val="none"/>
        </w:rPr>
        <w:t>投</w:t>
      </w:r>
      <w:r>
        <w:rPr>
          <w:rFonts w:hint="eastAsia"/>
          <w:color w:val="auto"/>
          <w:sz w:val="21"/>
          <w:szCs w:val="21"/>
          <w:highlight w:val="none"/>
          <w:lang w:val="en-US" w:eastAsia="zh-CN"/>
        </w:rPr>
        <w:t xml:space="preserve"> </w:t>
      </w:r>
      <w:r>
        <w:rPr>
          <w:rFonts w:hint="eastAsia"/>
          <w:color w:val="auto"/>
          <w:sz w:val="21"/>
          <w:szCs w:val="21"/>
          <w:highlight w:val="none"/>
        </w:rPr>
        <w:t>标</w:t>
      </w:r>
      <w:r>
        <w:rPr>
          <w:rFonts w:hint="eastAsia"/>
          <w:color w:val="auto"/>
          <w:sz w:val="21"/>
          <w:szCs w:val="21"/>
          <w:highlight w:val="none"/>
          <w:lang w:val="en-US" w:eastAsia="zh-CN"/>
        </w:rPr>
        <w:t xml:space="preserve"> </w:t>
      </w:r>
      <w:r>
        <w:rPr>
          <w:rFonts w:hint="eastAsia"/>
          <w:color w:val="auto"/>
          <w:sz w:val="21"/>
          <w:szCs w:val="21"/>
          <w:highlight w:val="none"/>
        </w:rPr>
        <w:t>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盖单位公章）</w:t>
      </w:r>
      <w:bookmarkEnd w:id="461"/>
      <w:bookmarkEnd w:id="462"/>
    </w:p>
    <w:p>
      <w:pPr>
        <w:pStyle w:val="30"/>
        <w:tabs>
          <w:tab w:val="left" w:pos="8376"/>
          <w:tab w:val="left" w:pos="9420"/>
          <w:tab w:val="left" w:pos="11892"/>
        </w:tabs>
        <w:spacing w:after="0" w:line="460" w:lineRule="exact"/>
        <w:ind w:firstLine="2730" w:firstLineChars="1300"/>
        <w:rPr>
          <w:color w:val="auto"/>
          <w:sz w:val="21"/>
          <w:szCs w:val="21"/>
          <w:highlight w:val="none"/>
          <w:u w:val="single"/>
        </w:rPr>
      </w:pPr>
      <w:r>
        <w:rPr>
          <w:rFonts w:hint="eastAsia"/>
          <w:color w:val="auto"/>
          <w:sz w:val="21"/>
          <w:szCs w:val="21"/>
          <w:highlight w:val="none"/>
        </w:rPr>
        <w:t>法定代表人或委托代理人：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签字或盖章）</w:t>
      </w:r>
    </w:p>
    <w:p>
      <w:pPr>
        <w:pStyle w:val="30"/>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地</w:t>
      </w:r>
      <w:r>
        <w:rPr>
          <w:rFonts w:hint="eastAsia"/>
          <w:color w:val="auto"/>
          <w:sz w:val="21"/>
          <w:szCs w:val="21"/>
          <w:highlight w:val="none"/>
          <w:lang w:val="en-US" w:eastAsia="zh-CN"/>
        </w:rPr>
        <w:t xml:space="preserve">    </w:t>
      </w:r>
      <w:r>
        <w:rPr>
          <w:rFonts w:hint="eastAsia"/>
          <w:color w:val="auto"/>
          <w:sz w:val="21"/>
          <w:szCs w:val="21"/>
          <w:highlight w:val="none"/>
        </w:rPr>
        <w:t>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p>
    <w:p>
      <w:pPr>
        <w:pStyle w:val="30"/>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电子信箱：</w:t>
      </w:r>
      <w:r>
        <w:rPr>
          <w:rFonts w:hint="eastAsia"/>
          <w:color w:val="auto"/>
          <w:sz w:val="21"/>
          <w:szCs w:val="21"/>
          <w:highlight w:val="none"/>
          <w:u w:val="single"/>
          <w:lang w:val="en-US" w:eastAsia="zh-CN"/>
        </w:rPr>
        <w:t xml:space="preserve">                                        </w:t>
      </w:r>
    </w:p>
    <w:p>
      <w:pPr>
        <w:pStyle w:val="30"/>
        <w:tabs>
          <w:tab w:val="left" w:pos="8452"/>
        </w:tabs>
        <w:spacing w:after="0" w:line="460" w:lineRule="exact"/>
        <w:ind w:firstLine="2730" w:firstLineChars="1300"/>
        <w:rPr>
          <w:color w:val="auto"/>
          <w:sz w:val="21"/>
          <w:szCs w:val="21"/>
          <w:highlight w:val="none"/>
        </w:rPr>
      </w:pPr>
      <w:r>
        <w:rPr>
          <w:rFonts w:hint="eastAsia"/>
          <w:color w:val="auto"/>
          <w:sz w:val="21"/>
          <w:szCs w:val="21"/>
          <w:highlight w:val="none"/>
        </w:rPr>
        <w:t>电</w:t>
      </w:r>
      <w:r>
        <w:rPr>
          <w:rFonts w:hint="eastAsia"/>
          <w:color w:val="auto"/>
          <w:sz w:val="21"/>
          <w:szCs w:val="21"/>
          <w:highlight w:val="none"/>
          <w:lang w:val="en-US" w:eastAsia="zh-CN"/>
        </w:rPr>
        <w:t xml:space="preserve">    </w:t>
      </w:r>
      <w:r>
        <w:rPr>
          <w:rFonts w:hint="eastAsia"/>
          <w:color w:val="auto"/>
          <w:sz w:val="21"/>
          <w:szCs w:val="21"/>
          <w:highlight w:val="none"/>
        </w:rPr>
        <w:t>话：</w:t>
      </w:r>
      <w:r>
        <w:rPr>
          <w:rFonts w:hint="eastAsia"/>
          <w:color w:val="auto"/>
          <w:sz w:val="21"/>
          <w:szCs w:val="21"/>
          <w:highlight w:val="none"/>
          <w:u w:val="single"/>
          <w:lang w:val="en-US" w:eastAsia="zh-CN"/>
        </w:rPr>
        <w:t xml:space="preserve">              （手机号码）              </w:t>
      </w:r>
    </w:p>
    <w:p>
      <w:pPr>
        <w:pStyle w:val="30"/>
        <w:tabs>
          <w:tab w:val="left" w:pos="8488"/>
        </w:tabs>
        <w:spacing w:after="0" w:line="460" w:lineRule="exact"/>
        <w:ind w:firstLine="2730" w:firstLineChars="1300"/>
        <w:rPr>
          <w:color w:val="auto"/>
          <w:sz w:val="21"/>
          <w:szCs w:val="21"/>
          <w:highlight w:val="none"/>
        </w:rPr>
      </w:pPr>
      <w:r>
        <w:rPr>
          <w:rFonts w:hint="eastAsia"/>
          <w:color w:val="auto"/>
          <w:sz w:val="21"/>
          <w:szCs w:val="21"/>
          <w:highlight w:val="none"/>
        </w:rPr>
        <w:t>传</w:t>
      </w:r>
      <w:r>
        <w:rPr>
          <w:rFonts w:hint="eastAsia"/>
          <w:color w:val="auto"/>
          <w:sz w:val="21"/>
          <w:szCs w:val="21"/>
          <w:highlight w:val="none"/>
          <w:lang w:val="en-US" w:eastAsia="zh-CN"/>
        </w:rPr>
        <w:t xml:space="preserve">    </w:t>
      </w:r>
      <w:r>
        <w:rPr>
          <w:rFonts w:hint="eastAsia"/>
          <w:color w:val="auto"/>
          <w:sz w:val="21"/>
          <w:szCs w:val="21"/>
          <w:highlight w:val="none"/>
        </w:rPr>
        <w:t>真：</w:t>
      </w:r>
      <w:r>
        <w:rPr>
          <w:rFonts w:hint="eastAsia"/>
          <w:color w:val="auto"/>
          <w:sz w:val="21"/>
          <w:szCs w:val="21"/>
          <w:highlight w:val="none"/>
          <w:u w:val="single"/>
          <w:lang w:val="en-US" w:eastAsia="zh-CN"/>
        </w:rPr>
        <w:t xml:space="preserve">                                        </w:t>
      </w:r>
    </w:p>
    <w:p>
      <w:pPr>
        <w:pStyle w:val="30"/>
        <w:tabs>
          <w:tab w:val="left" w:pos="8464"/>
        </w:tabs>
        <w:spacing w:after="0" w:line="460" w:lineRule="exact"/>
        <w:ind w:firstLine="2730" w:firstLineChars="1300"/>
        <w:rPr>
          <w:color w:val="auto"/>
          <w:sz w:val="21"/>
          <w:szCs w:val="21"/>
          <w:highlight w:val="none"/>
        </w:rPr>
      </w:pPr>
      <w:r>
        <w:rPr>
          <w:rFonts w:hint="eastAsia"/>
          <w:color w:val="auto"/>
          <w:sz w:val="21"/>
          <w:szCs w:val="21"/>
          <w:highlight w:val="none"/>
        </w:rPr>
        <w:t>邮政编码：</w:t>
      </w:r>
      <w:r>
        <w:rPr>
          <w:rFonts w:hint="eastAsia"/>
          <w:color w:val="auto"/>
          <w:sz w:val="21"/>
          <w:szCs w:val="21"/>
          <w:highlight w:val="none"/>
          <w:u w:val="single"/>
          <w:lang w:val="en-US" w:eastAsia="zh-CN"/>
        </w:rPr>
        <w:t xml:space="preserve">                                        </w:t>
      </w:r>
    </w:p>
    <w:p>
      <w:pPr>
        <w:pStyle w:val="30"/>
        <w:tabs>
          <w:tab w:val="left" w:pos="684"/>
          <w:tab w:val="left" w:pos="1740"/>
          <w:tab w:val="left" w:pos="2124"/>
          <w:tab w:val="left" w:pos="2324"/>
          <w:tab w:val="left" w:pos="2796"/>
        </w:tabs>
        <w:spacing w:after="0" w:line="460" w:lineRule="exact"/>
        <w:ind w:firstLine="420" w:firstLineChars="200"/>
        <w:jc w:val="right"/>
        <w:rPr>
          <w:color w:val="auto"/>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年</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月</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日</w:t>
      </w:r>
      <w:r>
        <w:rPr>
          <w:color w:val="auto"/>
          <w:sz w:val="32"/>
          <w:szCs w:val="32"/>
          <w:highlight w:val="none"/>
        </w:rPr>
        <w:br w:type="page"/>
      </w:r>
    </w:p>
    <w:p>
      <w:pPr>
        <w:pStyle w:val="30"/>
        <w:spacing w:after="0" w:line="460" w:lineRule="exact"/>
        <w:ind w:firstLine="422" w:firstLineChars="200"/>
        <w:outlineLvl w:val="1"/>
        <w:rPr>
          <w:b/>
          <w:bCs/>
          <w:color w:val="auto"/>
          <w:sz w:val="21"/>
          <w:szCs w:val="21"/>
          <w:highlight w:val="none"/>
        </w:rPr>
      </w:pPr>
      <w:bookmarkStart w:id="463" w:name="_Toc5597"/>
      <w:bookmarkStart w:id="464" w:name="_Toc4828"/>
      <w:bookmarkStart w:id="465" w:name="_Toc10171"/>
      <w:bookmarkStart w:id="466" w:name="_Toc14563"/>
      <w:r>
        <w:rPr>
          <w:rFonts w:hint="eastAsia"/>
          <w:b/>
          <w:bCs/>
          <w:color w:val="auto"/>
          <w:sz w:val="21"/>
          <w:szCs w:val="21"/>
          <w:highlight w:val="none"/>
          <w:lang w:eastAsia="zh-CN"/>
        </w:rPr>
        <w:t>（</w:t>
      </w:r>
      <w:r>
        <w:rPr>
          <w:rFonts w:hint="eastAsia"/>
          <w:b/>
          <w:bCs/>
          <w:color w:val="auto"/>
          <w:sz w:val="21"/>
          <w:szCs w:val="21"/>
          <w:highlight w:val="none"/>
        </w:rPr>
        <w:t>二）投标函附录</w:t>
      </w:r>
      <w:bookmarkEnd w:id="463"/>
      <w:bookmarkEnd w:id="464"/>
      <w:bookmarkEnd w:id="465"/>
      <w:bookmarkEnd w:id="466"/>
    </w:p>
    <w:tbl>
      <w:tblPr>
        <w:tblStyle w:val="22"/>
        <w:tblW w:w="9356" w:type="dxa"/>
        <w:jc w:val="center"/>
        <w:tblLayout w:type="fixed"/>
        <w:tblCellMar>
          <w:top w:w="0" w:type="dxa"/>
          <w:left w:w="108" w:type="dxa"/>
          <w:bottom w:w="0" w:type="dxa"/>
          <w:right w:w="108" w:type="dxa"/>
        </w:tblCellMar>
      </w:tblPr>
      <w:tblGrid>
        <w:gridCol w:w="995"/>
        <w:gridCol w:w="2825"/>
        <w:gridCol w:w="1820"/>
        <w:gridCol w:w="2538"/>
        <w:gridCol w:w="1178"/>
      </w:tblGrid>
      <w:tr>
        <w:tblPrEx>
          <w:tblCellMar>
            <w:top w:w="0" w:type="dxa"/>
            <w:left w:w="108" w:type="dxa"/>
            <w:bottom w:w="0" w:type="dxa"/>
            <w:right w:w="108" w:type="dxa"/>
          </w:tblCellMar>
        </w:tblPrEx>
        <w:trPr>
          <w:trHeight w:val="743"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条款名称</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合同条款号</w:t>
            </w:r>
          </w:p>
        </w:tc>
        <w:tc>
          <w:tcPr>
            <w:tcW w:w="26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约定内容</w:t>
            </w:r>
          </w:p>
        </w:tc>
        <w:tc>
          <w:tcPr>
            <w:tcW w:w="1220"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left="60"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96"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1</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项目负责人</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1.1.2.4</w:t>
            </w:r>
          </w:p>
        </w:tc>
        <w:tc>
          <w:tcPr>
            <w:tcW w:w="2640" w:type="dxa"/>
            <w:tcBorders>
              <w:top w:val="single" w:color="auto" w:sz="4" w:space="0"/>
              <w:left w:val="single" w:color="auto" w:sz="4" w:space="0"/>
            </w:tcBorders>
            <w:shd w:val="clear" w:color="auto" w:fill="FFFFFF"/>
            <w:vAlign w:val="center"/>
          </w:tcPr>
          <w:p>
            <w:pPr>
              <w:pStyle w:val="36"/>
              <w:tabs>
                <w:tab w:val="left" w:leader="underscore" w:pos="2088"/>
              </w:tabs>
              <w:spacing w:after="0" w:line="240" w:lineRule="auto"/>
              <w:ind w:firstLine="0"/>
              <w:jc w:val="center"/>
              <w:rPr>
                <w:color w:val="auto"/>
                <w:sz w:val="21"/>
                <w:szCs w:val="21"/>
                <w:highlight w:val="none"/>
              </w:rPr>
            </w:pPr>
            <w:r>
              <w:rPr>
                <w:rFonts w:hint="eastAsia"/>
                <w:color w:val="auto"/>
                <w:sz w:val="21"/>
                <w:szCs w:val="21"/>
                <w:highlight w:val="none"/>
              </w:rPr>
              <w:t>姓名：</w:t>
            </w:r>
            <w:r>
              <w:rPr>
                <w:rFonts w:hint="eastAsia"/>
                <w:color w:val="auto"/>
                <w:sz w:val="21"/>
                <w:szCs w:val="21"/>
                <w:highlight w:val="none"/>
              </w:rPr>
              <w:tab/>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2</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工期</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1.1.4.3</w:t>
            </w:r>
          </w:p>
        </w:tc>
        <w:tc>
          <w:tcPr>
            <w:tcW w:w="2640" w:type="dxa"/>
            <w:tcBorders>
              <w:top w:val="single" w:color="auto" w:sz="4" w:space="0"/>
              <w:left w:val="single" w:color="auto" w:sz="4" w:space="0"/>
            </w:tcBorders>
            <w:shd w:val="clear" w:color="auto" w:fill="FFFFFF"/>
            <w:vAlign w:val="center"/>
          </w:tcPr>
          <w:p>
            <w:pPr>
              <w:pStyle w:val="36"/>
              <w:tabs>
                <w:tab w:val="left" w:leader="underscore" w:pos="1284"/>
              </w:tabs>
              <w:spacing w:after="0" w:line="240" w:lineRule="auto"/>
              <w:ind w:left="60" w:firstLine="210" w:firstLineChars="100"/>
              <w:jc w:val="both"/>
              <w:rPr>
                <w:color w:val="auto"/>
                <w:sz w:val="21"/>
                <w:szCs w:val="21"/>
                <w:highlight w:val="none"/>
                <w:lang w:eastAsia="zh-CN"/>
              </w:rPr>
            </w:pPr>
            <w:r>
              <w:rPr>
                <w:rFonts w:hint="eastAsia"/>
                <w:color w:val="auto"/>
                <w:sz w:val="21"/>
                <w:szCs w:val="21"/>
                <w:highlight w:val="none"/>
              </w:rPr>
              <w:tab/>
            </w:r>
            <w:r>
              <w:rPr>
                <w:rFonts w:hint="eastAsia"/>
                <w:color w:val="auto"/>
                <w:sz w:val="21"/>
                <w:szCs w:val="21"/>
                <w:highlight w:val="none"/>
                <w:lang w:val="en-US" w:eastAsia="zh-CN"/>
              </w:rPr>
              <w:t xml:space="preserve">日历天 </w:t>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203"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3</w:t>
            </w:r>
          </w:p>
        </w:tc>
        <w:tc>
          <w:tcPr>
            <w:tcW w:w="2940" w:type="dxa"/>
            <w:tcBorders>
              <w:top w:val="single" w:color="auto" w:sz="4" w:space="0"/>
              <w:left w:val="single" w:color="auto" w:sz="4" w:space="0"/>
            </w:tcBorders>
            <w:shd w:val="clear" w:color="auto" w:fill="FFFFFF"/>
            <w:vAlign w:val="center"/>
          </w:tcPr>
          <w:p>
            <w:pPr>
              <w:pStyle w:val="36"/>
              <w:spacing w:after="0" w:line="456" w:lineRule="exact"/>
              <w:ind w:firstLine="0"/>
              <w:jc w:val="center"/>
              <w:rPr>
                <w:color w:val="auto"/>
                <w:sz w:val="21"/>
                <w:szCs w:val="21"/>
                <w:highlight w:val="none"/>
              </w:rPr>
            </w:pPr>
            <w:r>
              <w:rPr>
                <w:rFonts w:hint="eastAsia"/>
                <w:color w:val="auto"/>
                <w:sz w:val="21"/>
                <w:szCs w:val="21"/>
                <w:highlight w:val="none"/>
              </w:rPr>
              <w:t>缺陷责任期</w:t>
            </w:r>
          </w:p>
          <w:p>
            <w:pPr>
              <w:pStyle w:val="36"/>
              <w:spacing w:after="0" w:line="456"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工程质量保修期）</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1.1.4.5</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4</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分包</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4.3</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20" w:hRule="exact"/>
          <w:jc w:val="center"/>
        </w:trPr>
        <w:tc>
          <w:tcPr>
            <w:tcW w:w="102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5</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投标有效期</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294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1220" w:type="dxa"/>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752" w:hRule="exact"/>
          <w:jc w:val="center"/>
        </w:trPr>
        <w:tc>
          <w:tcPr>
            <w:tcW w:w="1028"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w:t>
            </w:r>
          </w:p>
        </w:tc>
        <w:tc>
          <w:tcPr>
            <w:tcW w:w="2940"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w:t>
            </w:r>
          </w:p>
        </w:tc>
        <w:tc>
          <w:tcPr>
            <w:tcW w:w="122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widowControl w:val="0"/>
        <w:spacing w:after="1479" w:line="1" w:lineRule="exact"/>
        <w:rPr>
          <w:color w:val="auto"/>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 w:val="28"/>
          <w:szCs w:val="28"/>
          <w:highlight w:val="none"/>
        </w:rPr>
      </w:pPr>
    </w:p>
    <w:p>
      <w:pPr>
        <w:spacing w:line="400" w:lineRule="exact"/>
        <w:jc w:val="center"/>
        <w:outlineLvl w:val="2"/>
        <w:rPr>
          <w:rStyle w:val="45"/>
          <w:b/>
          <w:color w:val="auto"/>
          <w:szCs w:val="24"/>
          <w:highlight w:val="none"/>
        </w:rPr>
      </w:pPr>
      <w:r>
        <w:rPr>
          <w:rStyle w:val="45"/>
          <w:rFonts w:hint="eastAsia"/>
          <w:b/>
          <w:color w:val="auto"/>
          <w:sz w:val="28"/>
          <w:szCs w:val="28"/>
          <w:highlight w:val="none"/>
        </w:rPr>
        <w:t>二、已标价工程量清单</w:t>
      </w:r>
      <w:r>
        <w:rPr>
          <w:rFonts w:hint="eastAsia"/>
          <w:color w:val="auto"/>
          <w:sz w:val="28"/>
          <w:szCs w:val="28"/>
          <w:highlight w:val="none"/>
        </w:rPr>
        <w:t xml:space="preserve"> </w:t>
      </w:r>
    </w:p>
    <w:p>
      <w:pPr>
        <w:spacing w:line="400" w:lineRule="exact"/>
        <w:jc w:val="center"/>
        <w:outlineLvl w:val="2"/>
        <w:rPr>
          <w:rStyle w:val="45"/>
          <w:color w:val="auto"/>
          <w:sz w:val="28"/>
          <w:szCs w:val="28"/>
          <w:highlight w:val="none"/>
        </w:rPr>
      </w:pPr>
    </w:p>
    <w:p>
      <w:pPr>
        <w:pStyle w:val="21"/>
        <w:ind w:left="420" w:firstLine="420"/>
        <w:rPr>
          <w:color w:val="auto"/>
          <w:highlight w:val="none"/>
        </w:rPr>
      </w:pPr>
    </w:p>
    <w:p>
      <w:pPr>
        <w:pStyle w:val="21"/>
        <w:ind w:left="420" w:firstLine="420"/>
        <w:rPr>
          <w:color w:val="auto"/>
          <w:highlight w:val="none"/>
        </w:rPr>
      </w:pPr>
    </w:p>
    <w:p>
      <w:pPr>
        <w:pStyle w:val="21"/>
        <w:ind w:left="420" w:firstLine="420"/>
        <w:rPr>
          <w:color w:val="auto"/>
          <w:highlight w:val="none"/>
        </w:rPr>
      </w:pPr>
    </w:p>
    <w:p>
      <w:pPr>
        <w:pStyle w:val="21"/>
        <w:ind w:left="420" w:firstLine="420"/>
        <w:rPr>
          <w:color w:val="auto"/>
          <w:highlight w:val="none"/>
        </w:rPr>
      </w:pPr>
    </w:p>
    <w:p>
      <w:pPr>
        <w:pStyle w:val="21"/>
        <w:ind w:left="420" w:firstLine="420"/>
        <w:rPr>
          <w:color w:val="auto"/>
          <w:highlight w:val="none"/>
        </w:rPr>
      </w:pPr>
    </w:p>
    <w:p>
      <w:pPr>
        <w:pStyle w:val="21"/>
        <w:ind w:left="420" w:firstLine="420"/>
        <w:rPr>
          <w:color w:val="auto"/>
          <w:highlight w:val="none"/>
        </w:rPr>
      </w:pPr>
    </w:p>
    <w:p>
      <w:pPr>
        <w:pStyle w:val="32"/>
        <w:keepNext/>
        <w:keepLines/>
        <w:spacing w:after="20"/>
        <w:jc w:val="center"/>
        <w:outlineLvl w:val="9"/>
        <w:rPr>
          <w:b/>
          <w:bCs/>
          <w:color w:val="auto"/>
          <w:sz w:val="32"/>
          <w:szCs w:val="32"/>
          <w:highlight w:val="none"/>
          <w:u w:val="single"/>
          <w:lang w:val="en-US" w:eastAsia="zh-CN"/>
        </w:rPr>
      </w:pPr>
    </w:p>
    <w:p>
      <w:pPr>
        <w:pStyle w:val="32"/>
        <w:keepNext/>
        <w:keepLines/>
        <w:spacing w:after="20"/>
        <w:ind w:firstLine="1928" w:firstLineChars="600"/>
        <w:jc w:val="both"/>
        <w:outlineLvl w:val="9"/>
        <w:rPr>
          <w:b/>
          <w:bCs/>
          <w:color w:val="auto"/>
          <w:sz w:val="32"/>
          <w:szCs w:val="32"/>
          <w:highlight w:val="none"/>
          <w:u w:val="single"/>
          <w:lang w:val="en-US" w:eastAsia="zh-CN"/>
        </w:rPr>
      </w:pPr>
      <w:r>
        <w:rPr>
          <w:rFonts w:hint="eastAsia"/>
          <w:b/>
          <w:bCs/>
          <w:color w:val="auto"/>
          <w:sz w:val="32"/>
          <w:szCs w:val="32"/>
          <w:highlight w:val="none"/>
          <w:u w:val="single"/>
          <w:lang w:val="en-US" w:eastAsia="zh-CN"/>
        </w:rPr>
        <w:t xml:space="preserve">       </w:t>
      </w:r>
      <w:bookmarkStart w:id="467" w:name="_Toc21083"/>
      <w:bookmarkStart w:id="468" w:name="_Toc7573"/>
      <w:bookmarkStart w:id="469" w:name="_Toc1079"/>
      <w:bookmarkStart w:id="470" w:name="_Toc13805"/>
      <w:r>
        <w:rPr>
          <w:rFonts w:hint="eastAsia"/>
          <w:b/>
          <w:bCs/>
          <w:color w:val="auto"/>
          <w:sz w:val="32"/>
          <w:szCs w:val="32"/>
          <w:highlight w:val="none"/>
          <w:u w:val="single"/>
          <w:lang w:val="en-US" w:eastAsia="zh-CN"/>
        </w:rPr>
        <w:t xml:space="preserve">      </w:t>
      </w:r>
      <w:r>
        <w:rPr>
          <w:rFonts w:hint="eastAsia"/>
          <w:b/>
          <w:bCs/>
          <w:color w:val="auto"/>
          <w:sz w:val="32"/>
          <w:szCs w:val="32"/>
          <w:highlight w:val="none"/>
          <w:u w:val="single"/>
          <w:lang w:eastAsia="zh-CN"/>
        </w:rPr>
        <w:t>（</w:t>
      </w:r>
      <w:r>
        <w:rPr>
          <w:b/>
          <w:bCs/>
          <w:color w:val="auto"/>
          <w:sz w:val="32"/>
          <w:szCs w:val="32"/>
          <w:highlight w:val="none"/>
          <w:u w:val="single"/>
        </w:rPr>
        <w:t>项目名称）</w:t>
      </w:r>
      <w:bookmarkEnd w:id="467"/>
      <w:bookmarkEnd w:id="468"/>
      <w:bookmarkEnd w:id="469"/>
      <w:bookmarkEnd w:id="470"/>
      <w:r>
        <w:rPr>
          <w:rFonts w:hint="eastAsia"/>
          <w:b/>
          <w:bCs/>
          <w:color w:val="auto"/>
          <w:sz w:val="32"/>
          <w:szCs w:val="32"/>
          <w:highlight w:val="none"/>
          <w:u w:val="single"/>
          <w:lang w:val="en-US" w:eastAsia="zh-CN"/>
        </w:rPr>
        <w:t xml:space="preserve">             </w:t>
      </w:r>
    </w:p>
    <w:p>
      <w:pPr>
        <w:pStyle w:val="32"/>
        <w:keepNext/>
        <w:keepLines/>
        <w:spacing w:after="20"/>
        <w:jc w:val="center"/>
        <w:outlineLvl w:val="9"/>
        <w:rPr>
          <w:b/>
          <w:bCs/>
          <w:color w:val="auto"/>
          <w:sz w:val="52"/>
          <w:szCs w:val="52"/>
          <w:highlight w:val="none"/>
        </w:rPr>
      </w:pPr>
    </w:p>
    <w:p>
      <w:pPr>
        <w:pStyle w:val="32"/>
        <w:keepNext/>
        <w:keepLines/>
        <w:spacing w:after="20"/>
        <w:jc w:val="center"/>
        <w:outlineLvl w:val="9"/>
        <w:rPr>
          <w:b/>
          <w:bCs/>
          <w:color w:val="auto"/>
          <w:sz w:val="52"/>
          <w:szCs w:val="52"/>
          <w:highlight w:val="none"/>
        </w:rPr>
      </w:pPr>
    </w:p>
    <w:p>
      <w:pPr>
        <w:pStyle w:val="32"/>
        <w:keepNext/>
        <w:keepLines/>
        <w:spacing w:after="20"/>
        <w:jc w:val="center"/>
        <w:outlineLvl w:val="9"/>
        <w:rPr>
          <w:b/>
          <w:bCs/>
          <w:color w:val="auto"/>
          <w:sz w:val="52"/>
          <w:szCs w:val="52"/>
          <w:highlight w:val="none"/>
          <w:lang w:val="en-US" w:eastAsia="zh-CN"/>
        </w:rPr>
      </w:pPr>
      <w:bookmarkStart w:id="471" w:name="_Toc30388"/>
      <w:bookmarkStart w:id="472" w:name="_Toc19797"/>
      <w:bookmarkStart w:id="473" w:name="_Toc21053"/>
      <w:bookmarkStart w:id="474" w:name="_Toc24777"/>
      <w:r>
        <w:rPr>
          <w:b/>
          <w:bCs/>
          <w:color w:val="auto"/>
          <w:sz w:val="52"/>
          <w:szCs w:val="52"/>
          <w:highlight w:val="none"/>
        </w:rPr>
        <w:t>工</w:t>
      </w:r>
      <w:r>
        <w:rPr>
          <w:rFonts w:hint="eastAsia"/>
          <w:b/>
          <w:bCs/>
          <w:color w:val="auto"/>
          <w:sz w:val="52"/>
          <w:szCs w:val="52"/>
          <w:highlight w:val="none"/>
          <w:lang w:val="en-US" w:eastAsia="zh-CN"/>
        </w:rPr>
        <w:t xml:space="preserve"> </w:t>
      </w:r>
      <w:r>
        <w:rPr>
          <w:b/>
          <w:bCs/>
          <w:color w:val="auto"/>
          <w:sz w:val="52"/>
          <w:szCs w:val="52"/>
          <w:highlight w:val="none"/>
        </w:rPr>
        <w:t>程</w:t>
      </w:r>
      <w:r>
        <w:rPr>
          <w:rFonts w:hint="eastAsia"/>
          <w:b/>
          <w:bCs/>
          <w:color w:val="auto"/>
          <w:sz w:val="52"/>
          <w:szCs w:val="52"/>
          <w:highlight w:val="none"/>
          <w:lang w:val="en-US" w:eastAsia="zh-CN"/>
        </w:rPr>
        <w:t xml:space="preserve"> </w:t>
      </w:r>
      <w:r>
        <w:rPr>
          <w:b/>
          <w:bCs/>
          <w:color w:val="auto"/>
          <w:sz w:val="52"/>
          <w:szCs w:val="52"/>
          <w:highlight w:val="none"/>
        </w:rPr>
        <w:t>量</w:t>
      </w:r>
      <w:r>
        <w:rPr>
          <w:rFonts w:hint="eastAsia"/>
          <w:b/>
          <w:bCs/>
          <w:color w:val="auto"/>
          <w:sz w:val="52"/>
          <w:szCs w:val="52"/>
          <w:highlight w:val="none"/>
          <w:lang w:val="en-US" w:eastAsia="zh-CN"/>
        </w:rPr>
        <w:t xml:space="preserve"> </w:t>
      </w:r>
      <w:r>
        <w:rPr>
          <w:b/>
          <w:bCs/>
          <w:color w:val="auto"/>
          <w:sz w:val="52"/>
          <w:szCs w:val="52"/>
          <w:highlight w:val="none"/>
        </w:rPr>
        <w:t>清</w:t>
      </w:r>
      <w:r>
        <w:rPr>
          <w:rFonts w:hint="eastAsia"/>
          <w:b/>
          <w:bCs/>
          <w:color w:val="auto"/>
          <w:sz w:val="52"/>
          <w:szCs w:val="52"/>
          <w:highlight w:val="none"/>
          <w:lang w:val="en-US" w:eastAsia="zh-CN"/>
        </w:rPr>
        <w:t xml:space="preserve"> </w:t>
      </w:r>
      <w:r>
        <w:rPr>
          <w:b/>
          <w:bCs/>
          <w:color w:val="auto"/>
          <w:sz w:val="52"/>
          <w:szCs w:val="52"/>
          <w:highlight w:val="none"/>
        </w:rPr>
        <w:t>单</w:t>
      </w:r>
      <w:r>
        <w:rPr>
          <w:rFonts w:hint="eastAsia"/>
          <w:b/>
          <w:bCs/>
          <w:color w:val="auto"/>
          <w:sz w:val="52"/>
          <w:szCs w:val="52"/>
          <w:highlight w:val="none"/>
          <w:lang w:val="en-US" w:eastAsia="zh-CN"/>
        </w:rPr>
        <w:t xml:space="preserve"> 报 价 表</w:t>
      </w:r>
      <w:bookmarkEnd w:id="471"/>
      <w:bookmarkEnd w:id="472"/>
      <w:bookmarkEnd w:id="473"/>
      <w:bookmarkEnd w:id="474"/>
    </w:p>
    <w:p>
      <w:pPr>
        <w:pStyle w:val="32"/>
        <w:keepNext/>
        <w:keepLines/>
        <w:spacing w:after="20" w:line="480" w:lineRule="auto"/>
        <w:jc w:val="both"/>
        <w:outlineLvl w:val="9"/>
        <w:rPr>
          <w:color w:val="auto"/>
          <w:sz w:val="40"/>
          <w:szCs w:val="40"/>
          <w:highlight w:val="none"/>
        </w:rPr>
      </w:pPr>
    </w:p>
    <w:p>
      <w:pPr>
        <w:pStyle w:val="32"/>
        <w:keepNext/>
        <w:keepLines/>
        <w:spacing w:after="20" w:line="480" w:lineRule="auto"/>
        <w:jc w:val="both"/>
        <w:outlineLvl w:val="9"/>
        <w:rPr>
          <w:color w:val="auto"/>
          <w:sz w:val="40"/>
          <w:szCs w:val="40"/>
          <w:highlight w:val="none"/>
        </w:rPr>
      </w:pPr>
    </w:p>
    <w:p>
      <w:pPr>
        <w:pStyle w:val="32"/>
        <w:keepNext/>
        <w:keepLines/>
        <w:spacing w:after="20" w:line="480" w:lineRule="auto"/>
        <w:jc w:val="both"/>
        <w:outlineLvl w:val="9"/>
        <w:rPr>
          <w:color w:val="auto"/>
          <w:sz w:val="40"/>
          <w:szCs w:val="40"/>
          <w:highlight w:val="none"/>
        </w:rPr>
      </w:pPr>
    </w:p>
    <w:p>
      <w:pPr>
        <w:pStyle w:val="32"/>
        <w:keepNext/>
        <w:keepLines/>
        <w:spacing w:after="20" w:line="480" w:lineRule="auto"/>
        <w:jc w:val="both"/>
        <w:outlineLvl w:val="9"/>
        <w:rPr>
          <w:color w:val="auto"/>
          <w:sz w:val="40"/>
          <w:szCs w:val="40"/>
          <w:highlight w:val="none"/>
        </w:rPr>
      </w:pPr>
    </w:p>
    <w:p>
      <w:pPr>
        <w:pStyle w:val="32"/>
        <w:keepNext/>
        <w:keepLines/>
        <w:spacing w:after="20" w:line="480" w:lineRule="auto"/>
        <w:ind w:firstLine="640" w:firstLineChars="200"/>
        <w:jc w:val="both"/>
        <w:outlineLvl w:val="9"/>
        <w:rPr>
          <w:color w:val="auto"/>
          <w:sz w:val="32"/>
          <w:szCs w:val="32"/>
          <w:highlight w:val="none"/>
        </w:rPr>
      </w:pPr>
      <w:bookmarkStart w:id="475" w:name="_Toc20551"/>
      <w:bookmarkStart w:id="476" w:name="_Toc3689"/>
      <w:bookmarkStart w:id="477" w:name="_Toc8821"/>
      <w:bookmarkStart w:id="478" w:name="_Toc10916"/>
      <w:r>
        <w:rPr>
          <w:rFonts w:hint="eastAsia"/>
          <w:color w:val="auto"/>
          <w:sz w:val="32"/>
          <w:szCs w:val="32"/>
          <w:highlight w:val="none"/>
          <w:lang w:val="en-US" w:eastAsia="zh-CN"/>
        </w:rPr>
        <w:t>投标人</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lang w:val="en-US" w:eastAsia="zh-CN"/>
        </w:rPr>
        <w:t>盖</w:t>
      </w:r>
      <w:r>
        <w:rPr>
          <w:rFonts w:hint="eastAsia"/>
          <w:color w:val="auto"/>
          <w:sz w:val="32"/>
          <w:szCs w:val="32"/>
          <w:highlight w:val="none"/>
        </w:rPr>
        <w:t>单位</w:t>
      </w:r>
      <w:r>
        <w:rPr>
          <w:rFonts w:hint="eastAsia"/>
          <w:color w:val="auto"/>
          <w:sz w:val="32"/>
          <w:szCs w:val="32"/>
          <w:highlight w:val="none"/>
          <w:lang w:val="en-US" w:eastAsia="zh-CN"/>
        </w:rPr>
        <w:t>公</w:t>
      </w:r>
      <w:r>
        <w:rPr>
          <w:rFonts w:hint="eastAsia"/>
          <w:color w:val="auto"/>
          <w:sz w:val="32"/>
          <w:szCs w:val="32"/>
          <w:highlight w:val="none"/>
        </w:rPr>
        <w:t>章）</w:t>
      </w:r>
      <w:bookmarkEnd w:id="475"/>
      <w:bookmarkEnd w:id="476"/>
      <w:bookmarkEnd w:id="477"/>
      <w:bookmarkEnd w:id="478"/>
    </w:p>
    <w:p>
      <w:pPr>
        <w:pStyle w:val="32"/>
        <w:keepNext/>
        <w:keepLines/>
        <w:spacing w:after="0"/>
        <w:ind w:firstLine="640" w:firstLineChars="200"/>
        <w:jc w:val="both"/>
        <w:outlineLvl w:val="9"/>
        <w:rPr>
          <w:color w:val="auto"/>
          <w:sz w:val="32"/>
          <w:szCs w:val="32"/>
          <w:highlight w:val="none"/>
        </w:rPr>
      </w:pPr>
      <w:bookmarkStart w:id="479" w:name="_Toc12332"/>
      <w:bookmarkStart w:id="480" w:name="_Toc16269"/>
      <w:bookmarkStart w:id="481" w:name="_Toc2205"/>
      <w:bookmarkStart w:id="482" w:name="_Toc22589"/>
      <w:r>
        <w:rPr>
          <w:rFonts w:hint="eastAsia"/>
          <w:color w:val="auto"/>
          <w:sz w:val="32"/>
          <w:szCs w:val="32"/>
          <w:highlight w:val="none"/>
          <w:lang w:val="en-US" w:eastAsia="zh-CN"/>
        </w:rPr>
        <w:t>法定代表人或</w:t>
      </w:r>
      <w:r>
        <w:rPr>
          <w:rFonts w:hint="eastAsia"/>
          <w:color w:val="auto"/>
          <w:sz w:val="32"/>
          <w:szCs w:val="32"/>
          <w:highlight w:val="none"/>
        </w:rPr>
        <w:t>：</w:t>
      </w:r>
      <w:bookmarkEnd w:id="479"/>
      <w:bookmarkEnd w:id="480"/>
      <w:bookmarkEnd w:id="481"/>
      <w:bookmarkEnd w:id="482"/>
    </w:p>
    <w:p>
      <w:pPr>
        <w:pStyle w:val="32"/>
        <w:keepNext/>
        <w:keepLines/>
        <w:spacing w:after="20" w:line="480" w:lineRule="auto"/>
        <w:ind w:firstLine="640" w:firstLineChars="200"/>
        <w:jc w:val="both"/>
        <w:outlineLvl w:val="9"/>
        <w:rPr>
          <w:color w:val="auto"/>
          <w:sz w:val="32"/>
          <w:szCs w:val="32"/>
          <w:highlight w:val="none"/>
        </w:rPr>
      </w:pPr>
      <w:bookmarkStart w:id="483" w:name="_Toc9409"/>
      <w:bookmarkStart w:id="484" w:name="_Toc10057"/>
      <w:bookmarkStart w:id="485" w:name="_Toc14413"/>
      <w:bookmarkStart w:id="486" w:name="_Toc13783"/>
      <w:r>
        <w:rPr>
          <w:rFonts w:hint="eastAsia"/>
          <w:color w:val="auto"/>
          <w:sz w:val="32"/>
          <w:szCs w:val="32"/>
          <w:highlight w:val="none"/>
          <w:lang w:val="en-US" w:eastAsia="zh-CN"/>
        </w:rPr>
        <w:t>委托代理人：</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bookmarkEnd w:id="483"/>
      <w:bookmarkEnd w:id="484"/>
      <w:bookmarkEnd w:id="485"/>
      <w:r>
        <w:rPr>
          <w:rFonts w:hint="eastAsia"/>
          <w:color w:val="auto"/>
          <w:sz w:val="32"/>
          <w:szCs w:val="32"/>
          <w:highlight w:val="none"/>
          <w:lang w:eastAsia="zh-CN"/>
        </w:rPr>
        <w:t>（签字或盖章）</w:t>
      </w:r>
      <w:bookmarkEnd w:id="486"/>
    </w:p>
    <w:p>
      <w:pPr>
        <w:pStyle w:val="32"/>
        <w:keepNext/>
        <w:keepLines/>
        <w:spacing w:after="20" w:line="480" w:lineRule="auto"/>
        <w:ind w:firstLine="640" w:firstLineChars="200"/>
        <w:jc w:val="both"/>
        <w:outlineLvl w:val="9"/>
        <w:rPr>
          <w:color w:val="auto"/>
          <w:sz w:val="32"/>
          <w:szCs w:val="32"/>
          <w:highlight w:val="none"/>
        </w:rPr>
      </w:pPr>
      <w:bookmarkStart w:id="487" w:name="_Toc20118"/>
      <w:bookmarkStart w:id="488" w:name="_Toc6837"/>
      <w:bookmarkStart w:id="489" w:name="_Toc5915"/>
      <w:bookmarkStart w:id="490" w:name="_Toc8040"/>
      <w:r>
        <w:rPr>
          <w:rFonts w:hint="eastAsia"/>
          <w:color w:val="auto"/>
          <w:sz w:val="32"/>
          <w:szCs w:val="32"/>
          <w:highlight w:val="none"/>
          <w:lang w:val="en-US" w:eastAsia="zh-CN"/>
        </w:rPr>
        <w:t>造价工程师</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rPr>
        <w:t>签字并盖执业专业章）</w:t>
      </w:r>
      <w:bookmarkEnd w:id="487"/>
      <w:bookmarkEnd w:id="488"/>
      <w:bookmarkEnd w:id="489"/>
      <w:bookmarkEnd w:id="490"/>
    </w:p>
    <w:p>
      <w:pPr>
        <w:pStyle w:val="32"/>
        <w:keepNext/>
        <w:keepLines/>
        <w:spacing w:after="20" w:line="480" w:lineRule="auto"/>
        <w:ind w:firstLine="640" w:firstLineChars="200"/>
        <w:jc w:val="both"/>
        <w:outlineLvl w:val="9"/>
        <w:rPr>
          <w:color w:val="auto"/>
          <w:highlight w:val="none"/>
        </w:rPr>
      </w:pPr>
      <w:bookmarkStart w:id="491" w:name="_Toc9013"/>
      <w:bookmarkStart w:id="492" w:name="_Toc18712"/>
      <w:bookmarkStart w:id="493" w:name="_Toc375"/>
      <w:bookmarkStart w:id="494" w:name="_Toc18129"/>
      <w:r>
        <w:rPr>
          <w:color w:val="auto"/>
          <w:sz w:val="32"/>
          <w:szCs w:val="32"/>
          <w:highlight w:val="none"/>
        </w:rPr>
        <w:t>编制时间</w:t>
      </w:r>
      <w:r>
        <w:rPr>
          <w:rFonts w:hint="eastAsia"/>
          <w:color w:val="auto"/>
          <w:sz w:val="32"/>
          <w:szCs w:val="32"/>
          <w:highlight w:val="none"/>
          <w:lang w:eastAsia="zh-CN"/>
        </w:rPr>
        <w:t>：</w:t>
      </w:r>
      <w:bookmarkEnd w:id="491"/>
      <w:bookmarkEnd w:id="492"/>
      <w:bookmarkEnd w:id="493"/>
      <w:bookmarkEnd w:id="494"/>
      <w:r>
        <w:rPr>
          <w:rFonts w:hint="eastAsia"/>
          <w:color w:val="auto"/>
          <w:sz w:val="32"/>
          <w:szCs w:val="32"/>
          <w:highlight w:val="none"/>
          <w:u w:val="single"/>
          <w:lang w:val="en-US" w:eastAsia="zh-CN"/>
        </w:rPr>
        <w:t xml:space="preserve">                 </w:t>
      </w:r>
    </w:p>
    <w:p>
      <w:pPr>
        <w:rPr>
          <w:b/>
          <w:bCs/>
          <w:color w:val="auto"/>
          <w:sz w:val="48"/>
          <w:szCs w:val="48"/>
          <w:highlight w:val="none"/>
        </w:rPr>
      </w:pPr>
      <w:bookmarkStart w:id="495" w:name="_Toc26844"/>
      <w:bookmarkStart w:id="496" w:name="_Toc14352"/>
      <w:r>
        <w:rPr>
          <w:b/>
          <w:bCs/>
          <w:color w:val="auto"/>
          <w:sz w:val="48"/>
          <w:szCs w:val="48"/>
          <w:highlight w:val="none"/>
        </w:rPr>
        <w:br w:type="page"/>
      </w:r>
    </w:p>
    <w:p>
      <w:pPr>
        <w:pStyle w:val="32"/>
        <w:keepNext/>
        <w:keepLines/>
        <w:spacing w:after="0" w:line="480" w:lineRule="auto"/>
        <w:jc w:val="center"/>
        <w:outlineLvl w:val="1"/>
        <w:rPr>
          <w:b/>
          <w:bCs/>
          <w:color w:val="auto"/>
          <w:sz w:val="48"/>
          <w:szCs w:val="48"/>
          <w:highlight w:val="none"/>
        </w:rPr>
      </w:pPr>
      <w:bookmarkStart w:id="497" w:name="_Toc25002"/>
      <w:bookmarkStart w:id="498" w:name="_Toc16376"/>
    </w:p>
    <w:p>
      <w:pPr>
        <w:pStyle w:val="32"/>
        <w:keepNext/>
        <w:keepLines/>
        <w:spacing w:after="0" w:line="480" w:lineRule="auto"/>
        <w:jc w:val="center"/>
        <w:outlineLvl w:val="1"/>
        <w:rPr>
          <w:b/>
          <w:bCs/>
          <w:color w:val="auto"/>
          <w:sz w:val="48"/>
          <w:szCs w:val="48"/>
          <w:highlight w:val="none"/>
        </w:rPr>
      </w:pPr>
      <w:r>
        <w:rPr>
          <w:b/>
          <w:bCs/>
          <w:color w:val="auto"/>
          <w:sz w:val="48"/>
          <w:szCs w:val="48"/>
          <w:highlight w:val="none"/>
        </w:rPr>
        <w:t>投</w:t>
      </w:r>
      <w:r>
        <w:rPr>
          <w:rFonts w:hint="eastAsia"/>
          <w:b/>
          <w:bCs/>
          <w:color w:val="auto"/>
          <w:sz w:val="48"/>
          <w:szCs w:val="48"/>
          <w:highlight w:val="none"/>
          <w:lang w:val="en-US" w:eastAsia="zh-CN"/>
        </w:rPr>
        <w:t xml:space="preserve"> </w:t>
      </w:r>
      <w:r>
        <w:rPr>
          <w:b/>
          <w:bCs/>
          <w:color w:val="auto"/>
          <w:sz w:val="48"/>
          <w:szCs w:val="48"/>
          <w:highlight w:val="none"/>
        </w:rPr>
        <w:t>标</w:t>
      </w:r>
      <w:r>
        <w:rPr>
          <w:rFonts w:hint="eastAsia"/>
          <w:b/>
          <w:bCs/>
          <w:color w:val="auto"/>
          <w:sz w:val="48"/>
          <w:szCs w:val="48"/>
          <w:highlight w:val="none"/>
          <w:lang w:val="en-US" w:eastAsia="zh-CN"/>
        </w:rPr>
        <w:t xml:space="preserve"> </w:t>
      </w:r>
      <w:r>
        <w:rPr>
          <w:b/>
          <w:bCs/>
          <w:color w:val="auto"/>
          <w:sz w:val="48"/>
          <w:szCs w:val="48"/>
          <w:highlight w:val="none"/>
        </w:rPr>
        <w:t>总</w:t>
      </w:r>
      <w:r>
        <w:rPr>
          <w:rFonts w:hint="eastAsia"/>
          <w:b/>
          <w:bCs/>
          <w:color w:val="auto"/>
          <w:sz w:val="48"/>
          <w:szCs w:val="48"/>
          <w:highlight w:val="none"/>
          <w:lang w:val="en-US" w:eastAsia="zh-CN"/>
        </w:rPr>
        <w:t xml:space="preserve"> </w:t>
      </w:r>
      <w:r>
        <w:rPr>
          <w:b/>
          <w:bCs/>
          <w:color w:val="auto"/>
          <w:sz w:val="48"/>
          <w:szCs w:val="48"/>
          <w:highlight w:val="none"/>
        </w:rPr>
        <w:t>价</w:t>
      </w:r>
      <w:bookmarkEnd w:id="495"/>
      <w:bookmarkEnd w:id="496"/>
      <w:bookmarkEnd w:id="497"/>
      <w:bookmarkEnd w:id="498"/>
    </w:p>
    <w:p>
      <w:pPr>
        <w:pStyle w:val="30"/>
        <w:tabs>
          <w:tab w:val="left" w:pos="3828"/>
        </w:tabs>
        <w:spacing w:afterLines="100" w:line="480" w:lineRule="auto"/>
        <w:ind w:firstLine="0"/>
        <w:rPr>
          <w:color w:val="auto"/>
          <w:sz w:val="32"/>
          <w:szCs w:val="32"/>
          <w:highlight w:val="none"/>
        </w:rPr>
      </w:pPr>
    </w:p>
    <w:p>
      <w:pPr>
        <w:pStyle w:val="30"/>
        <w:tabs>
          <w:tab w:val="left" w:pos="3828"/>
        </w:tabs>
        <w:spacing w:afterLines="100" w:line="480" w:lineRule="auto"/>
        <w:ind w:firstLine="0"/>
        <w:rPr>
          <w:color w:val="auto"/>
          <w:sz w:val="32"/>
          <w:szCs w:val="32"/>
          <w:highlight w:val="none"/>
          <w:lang w:val="en-US" w:eastAsia="zh-CN"/>
        </w:rPr>
      </w:pPr>
      <w:r>
        <w:rPr>
          <w:color w:val="auto"/>
          <w:sz w:val="32"/>
          <w:szCs w:val="32"/>
          <w:highlight w:val="none"/>
        </w:rPr>
        <w:t>工</w:t>
      </w:r>
      <w:r>
        <w:rPr>
          <w:rFonts w:hint="eastAsia"/>
          <w:color w:val="auto"/>
          <w:sz w:val="32"/>
          <w:szCs w:val="32"/>
          <w:highlight w:val="none"/>
          <w:lang w:val="en-US" w:eastAsia="zh-CN"/>
        </w:rPr>
        <w:t xml:space="preserve"> </w:t>
      </w:r>
      <w:r>
        <w:rPr>
          <w:color w:val="auto"/>
          <w:sz w:val="32"/>
          <w:szCs w:val="32"/>
          <w:highlight w:val="none"/>
        </w:rPr>
        <w:t>程</w:t>
      </w:r>
      <w:r>
        <w:rPr>
          <w:rFonts w:hint="eastAsia"/>
          <w:color w:val="auto"/>
          <w:sz w:val="32"/>
          <w:szCs w:val="32"/>
          <w:highlight w:val="none"/>
          <w:lang w:val="en-US" w:eastAsia="zh-CN"/>
        </w:rPr>
        <w:t xml:space="preserve"> </w:t>
      </w:r>
      <w:r>
        <w:rPr>
          <w:color w:val="auto"/>
          <w:sz w:val="32"/>
          <w:szCs w:val="32"/>
          <w:highlight w:val="none"/>
        </w:rPr>
        <w:t>名</w:t>
      </w:r>
      <w:r>
        <w:rPr>
          <w:rFonts w:hint="eastAsia"/>
          <w:color w:val="auto"/>
          <w:sz w:val="32"/>
          <w:szCs w:val="32"/>
          <w:highlight w:val="none"/>
          <w:lang w:val="en-US" w:eastAsia="zh-CN"/>
        </w:rPr>
        <w:t xml:space="preserve"> </w:t>
      </w:r>
      <w:r>
        <w:rPr>
          <w:color w:val="auto"/>
          <w:sz w:val="32"/>
          <w:szCs w:val="32"/>
          <w:highlight w:val="none"/>
        </w:rPr>
        <w:t>称</w:t>
      </w:r>
      <w:r>
        <w:rPr>
          <w:rFonts w:hint="eastAsia"/>
          <w:color w:val="auto"/>
          <w:sz w:val="32"/>
          <w:szCs w:val="32"/>
          <w:highlight w:val="none"/>
          <w:lang w:eastAsia="zh-CN"/>
        </w:rPr>
        <w:t>：</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项</w:t>
      </w:r>
      <w:r>
        <w:rPr>
          <w:rFonts w:hint="eastAsia"/>
          <w:color w:val="auto"/>
          <w:sz w:val="32"/>
          <w:szCs w:val="32"/>
          <w:highlight w:val="none"/>
          <w:u w:val="single"/>
          <w:lang w:val="en-US" w:eastAsia="zh-CN"/>
        </w:rPr>
        <w:t>目</w:t>
      </w:r>
      <w:r>
        <w:rPr>
          <w:color w:val="auto"/>
          <w:sz w:val="32"/>
          <w:szCs w:val="32"/>
          <w:highlight w:val="none"/>
          <w:u w:val="single"/>
        </w:rPr>
        <w:t>名称）</w:t>
      </w:r>
      <w:r>
        <w:rPr>
          <w:rFonts w:hint="eastAsia"/>
          <w:color w:val="auto"/>
          <w:sz w:val="32"/>
          <w:szCs w:val="32"/>
          <w:highlight w:val="none"/>
          <w:u w:val="single"/>
          <w:lang w:val="en-US" w:eastAsia="zh-CN"/>
        </w:rPr>
        <w:t xml:space="preserve">               </w:t>
      </w:r>
    </w:p>
    <w:p>
      <w:pPr>
        <w:pStyle w:val="30"/>
        <w:tabs>
          <w:tab w:val="left" w:pos="8364"/>
        </w:tabs>
        <w:spacing w:after="0" w:line="700" w:lineRule="exact"/>
        <w:ind w:firstLine="0"/>
        <w:rPr>
          <w:color w:val="auto"/>
          <w:sz w:val="32"/>
          <w:szCs w:val="32"/>
          <w:highlight w:val="none"/>
          <w:u w:val="single"/>
          <w:lang w:val="en-US" w:eastAsia="zh-CN"/>
        </w:rPr>
      </w:pPr>
      <w:r>
        <w:rPr>
          <w:color w:val="auto"/>
          <w:sz w:val="32"/>
          <w:szCs w:val="32"/>
          <w:highlight w:val="none"/>
        </w:rPr>
        <w:t>投标总价</w:t>
      </w:r>
      <w:r>
        <w:rPr>
          <w:rFonts w:hint="eastAsia"/>
          <w:color w:val="auto"/>
          <w:sz w:val="32"/>
          <w:szCs w:val="32"/>
          <w:highlight w:val="none"/>
          <w:lang w:eastAsia="zh-CN"/>
        </w:rPr>
        <w:t>（</w:t>
      </w:r>
      <w:r>
        <w:rPr>
          <w:color w:val="auto"/>
          <w:sz w:val="32"/>
          <w:szCs w:val="32"/>
          <w:highlight w:val="none"/>
        </w:rPr>
        <w:t>小写）：</w:t>
      </w:r>
      <w:r>
        <w:rPr>
          <w:rFonts w:hint="eastAsia"/>
          <w:color w:val="auto"/>
          <w:sz w:val="32"/>
          <w:szCs w:val="32"/>
          <w:highlight w:val="none"/>
          <w:u w:val="single"/>
          <w:lang w:val="en-US" w:eastAsia="zh-CN"/>
        </w:rPr>
        <w:t xml:space="preserve">                           </w:t>
      </w:r>
    </w:p>
    <w:p>
      <w:pPr>
        <w:pStyle w:val="30"/>
        <w:tabs>
          <w:tab w:val="left" w:pos="8356"/>
        </w:tabs>
        <w:spacing w:after="0" w:line="700" w:lineRule="exact"/>
        <w:ind w:firstLine="1280" w:firstLineChars="400"/>
        <w:rPr>
          <w:color w:val="auto"/>
          <w:sz w:val="32"/>
          <w:szCs w:val="32"/>
          <w:highlight w:val="none"/>
        </w:rPr>
      </w:pPr>
      <w:r>
        <w:rPr>
          <w:rFonts w:hint="eastAsia"/>
          <w:color w:val="auto"/>
          <w:sz w:val="32"/>
          <w:szCs w:val="32"/>
          <w:highlight w:val="none"/>
          <w:lang w:eastAsia="zh-CN"/>
        </w:rPr>
        <w:t>（</w:t>
      </w:r>
      <w:r>
        <w:rPr>
          <w:color w:val="auto"/>
          <w:sz w:val="32"/>
          <w:szCs w:val="32"/>
          <w:highlight w:val="none"/>
        </w:rPr>
        <w:t>大写）：</w:t>
      </w:r>
      <w:r>
        <w:rPr>
          <w:rFonts w:hint="eastAsia"/>
          <w:color w:val="auto"/>
          <w:sz w:val="32"/>
          <w:szCs w:val="32"/>
          <w:highlight w:val="none"/>
          <w:u w:val="single"/>
          <w:lang w:val="en-US" w:eastAsia="zh-CN"/>
        </w:rPr>
        <w:t xml:space="preserve">                           </w:t>
      </w:r>
    </w:p>
    <w:p>
      <w:pPr>
        <w:pStyle w:val="30"/>
        <w:tabs>
          <w:tab w:val="left" w:pos="5064"/>
          <w:tab w:val="left" w:leader="underscore" w:pos="8352"/>
        </w:tabs>
        <w:spacing w:beforeLines="200" w:afterLines="100" w:line="480" w:lineRule="auto"/>
        <w:ind w:firstLine="0"/>
        <w:rPr>
          <w:color w:val="auto"/>
          <w:sz w:val="32"/>
          <w:szCs w:val="32"/>
          <w:highlight w:val="none"/>
        </w:rPr>
      </w:pPr>
      <w:r>
        <w:rPr>
          <w:color w:val="auto"/>
          <w:sz w:val="32"/>
          <w:szCs w:val="32"/>
          <w:highlight w:val="none"/>
        </w:rPr>
        <w:t>投标人：</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全称）</w:t>
      </w:r>
      <w:r>
        <w:rPr>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盖单位公章）</w:t>
      </w:r>
    </w:p>
    <w:p>
      <w:pPr>
        <w:pStyle w:val="30"/>
        <w:spacing w:after="0" w:line="700" w:lineRule="exact"/>
        <w:ind w:firstLine="0"/>
        <w:rPr>
          <w:color w:val="auto"/>
          <w:sz w:val="32"/>
          <w:szCs w:val="32"/>
          <w:highlight w:val="none"/>
          <w:lang w:val="en-US" w:eastAsia="zh-CN"/>
        </w:rPr>
      </w:pPr>
      <w:r>
        <w:rPr>
          <w:color w:val="auto"/>
          <w:sz w:val="32"/>
          <w:szCs w:val="32"/>
          <w:highlight w:val="none"/>
        </w:rPr>
        <w:t>法定代表人</w:t>
      </w:r>
      <w:r>
        <w:rPr>
          <w:rFonts w:hint="eastAsia"/>
          <w:color w:val="auto"/>
          <w:sz w:val="32"/>
          <w:szCs w:val="32"/>
          <w:highlight w:val="none"/>
          <w:lang w:val="en-US" w:eastAsia="zh-CN"/>
        </w:rPr>
        <w:t>或</w:t>
      </w:r>
    </w:p>
    <w:p>
      <w:pPr>
        <w:pStyle w:val="30"/>
        <w:tabs>
          <w:tab w:val="left" w:pos="8364"/>
        </w:tabs>
        <w:spacing w:afterLines="100" w:line="480" w:lineRule="auto"/>
        <w:ind w:firstLine="0"/>
        <w:rPr>
          <w:color w:val="auto"/>
          <w:sz w:val="32"/>
          <w:szCs w:val="32"/>
          <w:highlight w:val="none"/>
        </w:rPr>
      </w:pPr>
      <w:r>
        <w:rPr>
          <w:color w:val="auto"/>
          <w:sz w:val="32"/>
          <w:szCs w:val="32"/>
          <w:highlight w:val="none"/>
        </w:rPr>
        <w:t>委托代理人：</w:t>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签字或盖章）</w:t>
      </w:r>
    </w:p>
    <w:p>
      <w:pPr>
        <w:pStyle w:val="30"/>
        <w:tabs>
          <w:tab w:val="left" w:pos="8364"/>
        </w:tabs>
        <w:spacing w:afterLines="100" w:line="480" w:lineRule="auto"/>
        <w:ind w:firstLine="0"/>
        <w:rPr>
          <w:color w:val="auto"/>
          <w:sz w:val="32"/>
          <w:szCs w:val="32"/>
          <w:highlight w:val="none"/>
          <w:u w:val="single"/>
          <w:lang w:val="en-US" w:eastAsia="zh-CN"/>
        </w:rPr>
        <w:sectPr>
          <w:footerReference r:id="rId26" w:type="default"/>
          <w:pgSz w:w="11905" w:h="16838"/>
          <w:pgMar w:top="1247" w:right="1417" w:bottom="1247" w:left="1417" w:header="0" w:footer="850" w:gutter="0"/>
          <w:cols w:space="0" w:num="1"/>
          <w:docGrid w:linePitch="360" w:charSpace="0"/>
        </w:sectPr>
      </w:pPr>
      <w:r>
        <w:rPr>
          <w:color w:val="auto"/>
          <w:sz w:val="32"/>
          <w:szCs w:val="32"/>
          <w:highlight w:val="none"/>
        </w:rPr>
        <w:t>编制时间：</w:t>
      </w:r>
      <w:r>
        <w:rPr>
          <w:rFonts w:hint="eastAsia"/>
          <w:color w:val="auto"/>
          <w:sz w:val="32"/>
          <w:szCs w:val="32"/>
          <w:highlight w:val="none"/>
          <w:lang w:val="en-US" w:eastAsia="zh-CN"/>
        </w:rPr>
        <w:t xml:space="preserve"> </w:t>
      </w:r>
      <w:r>
        <w:rPr>
          <w:rFonts w:hint="eastAsia"/>
          <w:color w:val="auto"/>
          <w:sz w:val="32"/>
          <w:szCs w:val="32"/>
          <w:highlight w:val="none"/>
          <w:u w:val="single"/>
          <w:lang w:val="en-US" w:eastAsia="zh-CN"/>
        </w:rPr>
        <w:t xml:space="preserve">                                </w:t>
      </w:r>
    </w:p>
    <w:p>
      <w:pPr>
        <w:pStyle w:val="30"/>
        <w:spacing w:before="240" w:after="420" w:line="240" w:lineRule="auto"/>
        <w:ind w:firstLine="0"/>
        <w:jc w:val="center"/>
        <w:rPr>
          <w:b/>
          <w:bCs/>
          <w:color w:val="auto"/>
          <w:sz w:val="32"/>
          <w:szCs w:val="32"/>
          <w:highlight w:val="none"/>
        </w:rPr>
      </w:pPr>
      <w:r>
        <w:rPr>
          <w:b/>
          <w:bCs/>
          <w:color w:val="auto"/>
          <w:sz w:val="32"/>
          <w:szCs w:val="32"/>
          <w:highlight w:val="none"/>
        </w:rPr>
        <w:t>工程量清单</w:t>
      </w:r>
      <w:r>
        <w:rPr>
          <w:rFonts w:hint="eastAsia"/>
          <w:b/>
          <w:bCs/>
          <w:color w:val="auto"/>
          <w:sz w:val="32"/>
          <w:szCs w:val="32"/>
          <w:highlight w:val="none"/>
          <w:lang w:val="en-US" w:eastAsia="zh-CN"/>
        </w:rPr>
        <w:t>计价</w:t>
      </w:r>
      <w:r>
        <w:rPr>
          <w:b/>
          <w:bCs/>
          <w:color w:val="auto"/>
          <w:sz w:val="32"/>
          <w:szCs w:val="32"/>
          <w:highlight w:val="none"/>
        </w:rPr>
        <w:t>汇总表</w:t>
      </w:r>
    </w:p>
    <w:p>
      <w:pPr>
        <w:pStyle w:val="35"/>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2"/>
        <w:tblW w:w="9438" w:type="dxa"/>
        <w:jc w:val="center"/>
        <w:tblLayout w:type="fixed"/>
        <w:tblCellMar>
          <w:top w:w="0" w:type="dxa"/>
          <w:left w:w="108" w:type="dxa"/>
          <w:bottom w:w="0" w:type="dxa"/>
          <w:right w:w="108" w:type="dxa"/>
        </w:tblCellMar>
      </w:tblPr>
      <w:tblGrid>
        <w:gridCol w:w="983"/>
        <w:gridCol w:w="6769"/>
        <w:gridCol w:w="1686"/>
      </w:tblGrid>
      <w:tr>
        <w:tblPrEx>
          <w:tblCellMar>
            <w:top w:w="0" w:type="dxa"/>
            <w:left w:w="108" w:type="dxa"/>
            <w:bottom w:w="0" w:type="dxa"/>
            <w:right w:w="108" w:type="dxa"/>
          </w:tblCellMar>
        </w:tblPrEx>
        <w:trPr>
          <w:trHeight w:val="647" w:hRule="exact"/>
          <w:jc w:val="center"/>
        </w:trPr>
        <w:tc>
          <w:tcPr>
            <w:tcW w:w="983"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6769"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工程项目名称</w:t>
            </w:r>
          </w:p>
        </w:tc>
        <w:tc>
          <w:tcPr>
            <w:tcW w:w="1686"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left="60" w:firstLine="0"/>
              <w:jc w:val="center"/>
              <w:rPr>
                <w:color w:val="auto"/>
                <w:sz w:val="21"/>
                <w:szCs w:val="21"/>
                <w:highlight w:val="none"/>
              </w:rPr>
            </w:pPr>
            <w:r>
              <w:rPr>
                <w:rFonts w:hint="eastAsia"/>
                <w:color w:val="auto"/>
                <w:sz w:val="21"/>
                <w:szCs w:val="21"/>
                <w:highlight w:val="none"/>
              </w:rPr>
              <w:t>金额</w:t>
            </w:r>
            <w:r>
              <w:rPr>
                <w:rFonts w:hint="eastAsia"/>
                <w:color w:val="auto"/>
                <w:sz w:val="21"/>
                <w:szCs w:val="21"/>
                <w:highlight w:val="none"/>
                <w:lang w:eastAsia="zh-CN"/>
              </w:rPr>
              <w:t>（</w:t>
            </w:r>
            <w:r>
              <w:rPr>
                <w:rFonts w:hint="eastAsia"/>
                <w:color w:val="auto"/>
                <w:sz w:val="21"/>
                <w:szCs w:val="21"/>
                <w:highlight w:val="none"/>
              </w:rPr>
              <w:t>元）</w:t>
            </w: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3" w:hRule="exact"/>
          <w:jc w:val="center"/>
        </w:trPr>
        <w:tc>
          <w:tcPr>
            <w:tcW w:w="7752" w:type="dxa"/>
            <w:gridSpan w:val="2"/>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合计</w:t>
            </w:r>
          </w:p>
        </w:tc>
        <w:tc>
          <w:tcPr>
            <w:tcW w:w="168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eastAsia="宋体"/>
          <w:color w:val="auto"/>
          <w:highlight w:val="none"/>
        </w:rPr>
      </w:pPr>
      <w:r>
        <w:rPr>
          <w:rFonts w:hint="eastAsia" w:eastAsia="宋体"/>
          <w:color w:val="auto"/>
          <w:highlight w:val="none"/>
        </w:rPr>
        <w:t>注：不允许在工程量清单计价汇总表中增加优惠一栏，应在单价中优惠。</w:t>
      </w:r>
    </w:p>
    <w:p>
      <w:pPr>
        <w:rPr>
          <w:color w:val="auto"/>
          <w:highlight w:val="none"/>
        </w:rPr>
      </w:pPr>
    </w:p>
    <w:p>
      <w:pPr>
        <w:rPr>
          <w:color w:val="auto"/>
          <w:highlight w:val="none"/>
        </w:rPr>
      </w:pPr>
    </w:p>
    <w:p>
      <w:pPr>
        <w:rPr>
          <w:color w:val="auto"/>
          <w:highlight w:val="none"/>
        </w:rPr>
      </w:pPr>
    </w:p>
    <w:p>
      <w:pPr>
        <w:spacing w:line="460" w:lineRule="exact"/>
        <w:jc w:val="right"/>
        <w:rPr>
          <w:color w:val="auto"/>
          <w:sz w:val="24"/>
          <w:szCs w:val="24"/>
          <w:highlight w:val="none"/>
        </w:rPr>
        <w:sectPr>
          <w:footerReference r:id="rId29" w:type="first"/>
          <w:footerReference r:id="rId27" w:type="default"/>
          <w:footerReference r:id="rId28" w:type="even"/>
          <w:pgSz w:w="11905" w:h="16838"/>
          <w:pgMar w:top="1247" w:right="1417" w:bottom="1247" w:left="1417" w:header="0" w:footer="850" w:gutter="0"/>
          <w:cols w:space="0" w:num="1"/>
          <w:docGrid w:linePitch="360" w:charSpace="0"/>
        </w:sectPr>
      </w:pPr>
      <w:r>
        <w:rPr>
          <w:color w:val="auto"/>
          <w:sz w:val="24"/>
          <w:szCs w:val="24"/>
          <w:highlight w:val="none"/>
        </w:rPr>
        <w:t>法定代表人或委托代理人：</w:t>
      </w:r>
      <w:r>
        <w:rPr>
          <w:rFonts w:hint="eastAsia" w:eastAsia="宋体"/>
          <w:color w:val="auto"/>
          <w:sz w:val="24"/>
          <w:szCs w:val="24"/>
          <w:highlight w:val="none"/>
          <w:u w:val="single"/>
        </w:rPr>
        <w:t xml:space="preserve">              </w:t>
      </w:r>
      <w:r>
        <w:rPr>
          <w:rFonts w:hint="eastAsia" w:eastAsia="宋体"/>
          <w:color w:val="auto"/>
          <w:sz w:val="24"/>
          <w:szCs w:val="24"/>
          <w:highlight w:val="none"/>
        </w:rPr>
        <w:t>（</w:t>
      </w:r>
      <w:r>
        <w:rPr>
          <w:color w:val="auto"/>
          <w:sz w:val="24"/>
          <w:szCs w:val="24"/>
          <w:highlight w:val="none"/>
        </w:rPr>
        <w:t>签字或盖章）</w:t>
      </w:r>
    </w:p>
    <w:p>
      <w:pPr>
        <w:widowControl w:val="0"/>
        <w:spacing w:after="79" w:line="1" w:lineRule="exact"/>
        <w:rPr>
          <w:color w:val="auto"/>
          <w:highlight w:val="none"/>
        </w:rPr>
      </w:pPr>
    </w:p>
    <w:p>
      <w:pPr>
        <w:pStyle w:val="30"/>
        <w:spacing w:before="240" w:after="420" w:line="240" w:lineRule="auto"/>
        <w:ind w:firstLine="0"/>
        <w:jc w:val="center"/>
        <w:rPr>
          <w:b/>
          <w:bCs/>
          <w:color w:val="auto"/>
          <w:sz w:val="32"/>
          <w:szCs w:val="32"/>
          <w:highlight w:val="none"/>
          <w:lang w:val="en-US" w:eastAsia="zh-CN"/>
        </w:rPr>
      </w:pPr>
      <w:r>
        <w:rPr>
          <w:b/>
          <w:bCs/>
          <w:color w:val="auto"/>
          <w:sz w:val="32"/>
          <w:szCs w:val="32"/>
          <w:highlight w:val="none"/>
        </w:rPr>
        <w:t>建筑工程分类分项工程量清单</w:t>
      </w:r>
      <w:r>
        <w:rPr>
          <w:rFonts w:hint="eastAsia"/>
          <w:b/>
          <w:bCs/>
          <w:color w:val="auto"/>
          <w:sz w:val="32"/>
          <w:szCs w:val="32"/>
          <w:highlight w:val="none"/>
          <w:lang w:val="en-US" w:eastAsia="zh-CN"/>
        </w:rPr>
        <w:t>计价表</w:t>
      </w:r>
    </w:p>
    <w:p>
      <w:pPr>
        <w:pStyle w:val="35"/>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3"/>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bl>
    <w:p>
      <w:pPr>
        <w:pStyle w:val="35"/>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0"/>
        <w:spacing w:before="240" w:after="420" w:line="240" w:lineRule="auto"/>
        <w:ind w:firstLine="0"/>
        <w:jc w:val="center"/>
        <w:rPr>
          <w:b/>
          <w:bCs/>
          <w:color w:val="auto"/>
          <w:sz w:val="32"/>
          <w:szCs w:val="32"/>
          <w:highlight w:val="none"/>
        </w:rPr>
      </w:pPr>
      <w:r>
        <w:rPr>
          <w:b/>
          <w:bCs/>
          <w:color w:val="auto"/>
          <w:sz w:val="32"/>
          <w:szCs w:val="32"/>
          <w:highlight w:val="none"/>
        </w:rPr>
        <w:t>机电设备及安装工程分类分项工程量清单</w:t>
      </w:r>
      <w:r>
        <w:rPr>
          <w:rFonts w:hint="eastAsia"/>
          <w:b/>
          <w:bCs/>
          <w:color w:val="auto"/>
          <w:sz w:val="32"/>
          <w:szCs w:val="32"/>
          <w:highlight w:val="none"/>
          <w:lang w:val="en-US" w:eastAsia="zh-CN"/>
        </w:rPr>
        <w:t>计价表</w:t>
      </w:r>
    </w:p>
    <w:p>
      <w:pPr>
        <w:pStyle w:val="35"/>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3"/>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5"/>
              <w:tabs>
                <w:tab w:val="left" w:pos="6432"/>
                <w:tab w:val="left" w:pos="10080"/>
              </w:tabs>
              <w:spacing w:line="360" w:lineRule="exact"/>
              <w:jc w:val="center"/>
              <w:rPr>
                <w:color w:val="auto"/>
                <w:highlight w:val="none"/>
              </w:rPr>
            </w:pPr>
          </w:p>
        </w:tc>
        <w:tc>
          <w:tcPr>
            <w:tcW w:w="1640" w:type="dxa"/>
            <w:vMerge w:val="continue"/>
            <w:vAlign w:val="center"/>
          </w:tcPr>
          <w:p>
            <w:pPr>
              <w:pStyle w:val="35"/>
              <w:tabs>
                <w:tab w:val="left" w:pos="6432"/>
                <w:tab w:val="left" w:pos="10080"/>
              </w:tabs>
              <w:spacing w:line="360" w:lineRule="exact"/>
              <w:jc w:val="center"/>
              <w:rPr>
                <w:color w:val="auto"/>
                <w:highlight w:val="none"/>
              </w:rPr>
            </w:pPr>
          </w:p>
        </w:tc>
        <w:tc>
          <w:tcPr>
            <w:tcW w:w="1875" w:type="dxa"/>
            <w:vMerge w:val="continue"/>
            <w:vAlign w:val="center"/>
          </w:tcPr>
          <w:p>
            <w:pPr>
              <w:pStyle w:val="35"/>
              <w:tabs>
                <w:tab w:val="left" w:pos="6432"/>
                <w:tab w:val="left" w:pos="10080"/>
              </w:tabs>
              <w:spacing w:line="360" w:lineRule="exact"/>
              <w:jc w:val="center"/>
              <w:rPr>
                <w:color w:val="auto"/>
                <w:highlight w:val="none"/>
              </w:rPr>
            </w:pPr>
          </w:p>
        </w:tc>
        <w:tc>
          <w:tcPr>
            <w:tcW w:w="1830" w:type="dxa"/>
            <w:vMerge w:val="continue"/>
            <w:vAlign w:val="center"/>
          </w:tcPr>
          <w:p>
            <w:pPr>
              <w:pStyle w:val="35"/>
              <w:tabs>
                <w:tab w:val="left" w:pos="6432"/>
                <w:tab w:val="left" w:pos="10080"/>
              </w:tabs>
              <w:spacing w:line="360" w:lineRule="exact"/>
              <w:jc w:val="center"/>
              <w:rPr>
                <w:color w:val="auto"/>
                <w:highlight w:val="none"/>
              </w:rPr>
            </w:pPr>
          </w:p>
        </w:tc>
        <w:tc>
          <w:tcPr>
            <w:tcW w:w="780" w:type="dxa"/>
            <w:vMerge w:val="continue"/>
            <w:vAlign w:val="center"/>
          </w:tcPr>
          <w:p>
            <w:pPr>
              <w:pStyle w:val="35"/>
              <w:tabs>
                <w:tab w:val="left" w:pos="6432"/>
                <w:tab w:val="left" w:pos="10080"/>
              </w:tabs>
              <w:spacing w:line="360" w:lineRule="exact"/>
              <w:jc w:val="center"/>
              <w:rPr>
                <w:color w:val="auto"/>
                <w:highlight w:val="none"/>
              </w:rPr>
            </w:pPr>
          </w:p>
        </w:tc>
        <w:tc>
          <w:tcPr>
            <w:tcW w:w="840" w:type="dxa"/>
            <w:vMerge w:val="continue"/>
            <w:vAlign w:val="center"/>
          </w:tcPr>
          <w:p>
            <w:pPr>
              <w:pStyle w:val="35"/>
              <w:tabs>
                <w:tab w:val="left" w:pos="6432"/>
                <w:tab w:val="left" w:pos="10080"/>
              </w:tabs>
              <w:spacing w:line="360" w:lineRule="exact"/>
              <w:jc w:val="center"/>
              <w:rPr>
                <w:color w:val="auto"/>
                <w:highlight w:val="none"/>
              </w:rPr>
            </w:pPr>
          </w:p>
        </w:tc>
        <w:tc>
          <w:tcPr>
            <w:tcW w:w="105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5"/>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5"/>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bl>
    <w:p>
      <w:pPr>
        <w:pStyle w:val="35"/>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5"/>
        <w:tabs>
          <w:tab w:val="left" w:pos="6432"/>
          <w:tab w:val="left" w:pos="10080"/>
        </w:tabs>
        <w:spacing w:line="460" w:lineRule="exact"/>
        <w:ind w:left="11"/>
        <w:rPr>
          <w:color w:val="auto"/>
          <w:sz w:val="21"/>
          <w:szCs w:val="21"/>
          <w:highlight w:val="none"/>
          <w:lang w:val="en-US" w:eastAsia="zh-CN"/>
        </w:rPr>
      </w:pPr>
    </w:p>
    <w:p>
      <w:pPr>
        <w:pStyle w:val="30"/>
        <w:spacing w:before="240" w:after="420" w:line="240" w:lineRule="auto"/>
        <w:ind w:firstLine="0"/>
        <w:jc w:val="center"/>
        <w:rPr>
          <w:b/>
          <w:bCs/>
          <w:color w:val="auto"/>
          <w:sz w:val="32"/>
          <w:szCs w:val="32"/>
          <w:highlight w:val="none"/>
        </w:rPr>
      </w:pPr>
      <w:r>
        <w:rPr>
          <w:b/>
          <w:bCs/>
          <w:color w:val="auto"/>
          <w:sz w:val="32"/>
          <w:szCs w:val="32"/>
          <w:highlight w:val="none"/>
        </w:rPr>
        <w:t>金属结构设备及安装工程分类分项工程量清单</w:t>
      </w:r>
      <w:r>
        <w:rPr>
          <w:rFonts w:hint="eastAsia"/>
          <w:b/>
          <w:bCs/>
          <w:color w:val="auto"/>
          <w:sz w:val="32"/>
          <w:szCs w:val="32"/>
          <w:highlight w:val="none"/>
          <w:lang w:val="en-US" w:eastAsia="zh-CN"/>
        </w:rPr>
        <w:t>计价表</w:t>
      </w:r>
    </w:p>
    <w:p>
      <w:pPr>
        <w:pStyle w:val="35"/>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3"/>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5"/>
              <w:tabs>
                <w:tab w:val="left" w:pos="6432"/>
                <w:tab w:val="left" w:pos="10080"/>
              </w:tabs>
              <w:spacing w:line="360" w:lineRule="exact"/>
              <w:jc w:val="center"/>
              <w:rPr>
                <w:color w:val="auto"/>
                <w:highlight w:val="none"/>
              </w:rPr>
            </w:pPr>
          </w:p>
        </w:tc>
        <w:tc>
          <w:tcPr>
            <w:tcW w:w="1640" w:type="dxa"/>
            <w:vMerge w:val="continue"/>
            <w:vAlign w:val="center"/>
          </w:tcPr>
          <w:p>
            <w:pPr>
              <w:pStyle w:val="35"/>
              <w:tabs>
                <w:tab w:val="left" w:pos="6432"/>
                <w:tab w:val="left" w:pos="10080"/>
              </w:tabs>
              <w:spacing w:line="360" w:lineRule="exact"/>
              <w:jc w:val="center"/>
              <w:rPr>
                <w:color w:val="auto"/>
                <w:highlight w:val="none"/>
              </w:rPr>
            </w:pPr>
          </w:p>
        </w:tc>
        <w:tc>
          <w:tcPr>
            <w:tcW w:w="1875" w:type="dxa"/>
            <w:vMerge w:val="continue"/>
            <w:vAlign w:val="center"/>
          </w:tcPr>
          <w:p>
            <w:pPr>
              <w:pStyle w:val="35"/>
              <w:tabs>
                <w:tab w:val="left" w:pos="6432"/>
                <w:tab w:val="left" w:pos="10080"/>
              </w:tabs>
              <w:spacing w:line="360" w:lineRule="exact"/>
              <w:jc w:val="center"/>
              <w:rPr>
                <w:color w:val="auto"/>
                <w:highlight w:val="none"/>
              </w:rPr>
            </w:pPr>
          </w:p>
        </w:tc>
        <w:tc>
          <w:tcPr>
            <w:tcW w:w="1830" w:type="dxa"/>
            <w:vMerge w:val="continue"/>
            <w:vAlign w:val="center"/>
          </w:tcPr>
          <w:p>
            <w:pPr>
              <w:pStyle w:val="35"/>
              <w:tabs>
                <w:tab w:val="left" w:pos="6432"/>
                <w:tab w:val="left" w:pos="10080"/>
              </w:tabs>
              <w:spacing w:line="360" w:lineRule="exact"/>
              <w:jc w:val="center"/>
              <w:rPr>
                <w:color w:val="auto"/>
                <w:highlight w:val="none"/>
              </w:rPr>
            </w:pPr>
          </w:p>
        </w:tc>
        <w:tc>
          <w:tcPr>
            <w:tcW w:w="780" w:type="dxa"/>
            <w:vMerge w:val="continue"/>
            <w:vAlign w:val="center"/>
          </w:tcPr>
          <w:p>
            <w:pPr>
              <w:pStyle w:val="35"/>
              <w:tabs>
                <w:tab w:val="left" w:pos="6432"/>
                <w:tab w:val="left" w:pos="10080"/>
              </w:tabs>
              <w:spacing w:line="360" w:lineRule="exact"/>
              <w:jc w:val="center"/>
              <w:rPr>
                <w:color w:val="auto"/>
                <w:highlight w:val="none"/>
              </w:rPr>
            </w:pPr>
          </w:p>
        </w:tc>
        <w:tc>
          <w:tcPr>
            <w:tcW w:w="840" w:type="dxa"/>
            <w:vMerge w:val="continue"/>
            <w:vAlign w:val="center"/>
          </w:tcPr>
          <w:p>
            <w:pPr>
              <w:pStyle w:val="35"/>
              <w:tabs>
                <w:tab w:val="left" w:pos="6432"/>
                <w:tab w:val="left" w:pos="10080"/>
              </w:tabs>
              <w:spacing w:line="360" w:lineRule="exact"/>
              <w:jc w:val="center"/>
              <w:rPr>
                <w:color w:val="auto"/>
                <w:highlight w:val="none"/>
              </w:rPr>
            </w:pPr>
          </w:p>
        </w:tc>
        <w:tc>
          <w:tcPr>
            <w:tcW w:w="105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5"/>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5"/>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bl>
    <w:p>
      <w:pPr>
        <w:pStyle w:val="35"/>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5"/>
        <w:tabs>
          <w:tab w:val="left" w:pos="6432"/>
          <w:tab w:val="left" w:pos="10080"/>
        </w:tabs>
        <w:spacing w:line="460" w:lineRule="exact"/>
        <w:ind w:left="11"/>
        <w:rPr>
          <w:color w:val="auto"/>
          <w:sz w:val="21"/>
          <w:szCs w:val="21"/>
          <w:highlight w:val="none"/>
          <w:lang w:val="en-US" w:eastAsia="zh-CN"/>
        </w:rPr>
      </w:pPr>
    </w:p>
    <w:p>
      <w:pPr>
        <w:pStyle w:val="30"/>
        <w:spacing w:before="240" w:after="420" w:line="240" w:lineRule="auto"/>
        <w:ind w:firstLine="0"/>
        <w:jc w:val="center"/>
        <w:rPr>
          <w:b/>
          <w:bCs/>
          <w:color w:val="auto"/>
          <w:sz w:val="32"/>
          <w:szCs w:val="32"/>
          <w:highlight w:val="none"/>
        </w:rPr>
      </w:pPr>
      <w:r>
        <w:rPr>
          <w:b/>
          <w:bCs/>
          <w:color w:val="auto"/>
          <w:sz w:val="32"/>
          <w:szCs w:val="32"/>
          <w:highlight w:val="none"/>
        </w:rPr>
        <w:t>施工临时工程分类分项工程量清单</w:t>
      </w:r>
      <w:r>
        <w:rPr>
          <w:rFonts w:hint="eastAsia"/>
          <w:b/>
          <w:bCs/>
          <w:color w:val="auto"/>
          <w:sz w:val="32"/>
          <w:szCs w:val="32"/>
          <w:highlight w:val="none"/>
          <w:lang w:val="en-US" w:eastAsia="zh-CN"/>
        </w:rPr>
        <w:t>计价表</w:t>
      </w:r>
    </w:p>
    <w:p>
      <w:pPr>
        <w:pStyle w:val="35"/>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3"/>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5"/>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bl>
    <w:p>
      <w:pPr>
        <w:pStyle w:val="35"/>
        <w:tabs>
          <w:tab w:val="left" w:pos="6432"/>
          <w:tab w:val="left" w:pos="10080"/>
        </w:tabs>
        <w:spacing w:line="460" w:lineRule="exact"/>
        <w:ind w:left="11"/>
        <w:jc w:val="right"/>
        <w:rPr>
          <w:b/>
          <w:bCs/>
          <w:color w:val="auto"/>
          <w:sz w:val="32"/>
          <w:szCs w:val="32"/>
          <w:highlight w:val="none"/>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color w:val="auto"/>
          <w:highlight w:val="none"/>
        </w:rPr>
        <w:sectPr>
          <w:footerReference r:id="rId30" w:type="default"/>
          <w:footerReference r:id="rId31" w:type="even"/>
          <w:pgSz w:w="16838" w:h="11905" w:orient="landscape"/>
          <w:pgMar w:top="1417" w:right="1247" w:bottom="1417" w:left="1247" w:header="0" w:footer="850" w:gutter="0"/>
          <w:cols w:space="0" w:num="1"/>
          <w:docGrid w:linePitch="360" w:charSpace="0"/>
        </w:sectPr>
      </w:pPr>
    </w:p>
    <w:p>
      <w:pPr>
        <w:pStyle w:val="30"/>
        <w:spacing w:before="240" w:after="420" w:line="240" w:lineRule="auto"/>
        <w:ind w:firstLine="0"/>
        <w:jc w:val="center"/>
        <w:rPr>
          <w:b/>
          <w:bCs/>
          <w:color w:val="auto"/>
          <w:sz w:val="32"/>
          <w:szCs w:val="32"/>
          <w:highlight w:val="none"/>
        </w:rPr>
      </w:pPr>
      <w:r>
        <w:rPr>
          <w:b/>
          <w:bCs/>
          <w:color w:val="auto"/>
          <w:sz w:val="32"/>
          <w:szCs w:val="32"/>
          <w:highlight w:val="none"/>
        </w:rPr>
        <w:t>其他项目清单</w:t>
      </w:r>
      <w:r>
        <w:rPr>
          <w:rFonts w:hint="eastAsia"/>
          <w:b/>
          <w:bCs/>
          <w:color w:val="auto"/>
          <w:sz w:val="32"/>
          <w:szCs w:val="32"/>
          <w:highlight w:val="none"/>
          <w:lang w:val="en-US" w:eastAsia="zh-CN"/>
        </w:rPr>
        <w:t>计价表</w:t>
      </w:r>
    </w:p>
    <w:p>
      <w:pPr>
        <w:pStyle w:val="35"/>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3"/>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2839"/>
        <w:gridCol w:w="1665"/>
        <w:gridCol w:w="172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金额（元）</w:t>
            </w: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6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bl>
    <w:p>
      <w:pPr>
        <w:pStyle w:val="30"/>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30"/>
        <w:spacing w:before="240" w:after="420" w:line="240" w:lineRule="auto"/>
        <w:ind w:firstLine="0"/>
        <w:jc w:val="center"/>
        <w:rPr>
          <w:b/>
          <w:bCs/>
          <w:color w:val="auto"/>
          <w:sz w:val="32"/>
          <w:szCs w:val="32"/>
          <w:highlight w:val="none"/>
        </w:rPr>
      </w:pPr>
      <w:r>
        <w:rPr>
          <w:b/>
          <w:bCs/>
          <w:color w:val="auto"/>
          <w:sz w:val="32"/>
          <w:szCs w:val="32"/>
          <w:highlight w:val="none"/>
        </w:rPr>
        <w:t>零星工作项目清单</w:t>
      </w:r>
      <w:r>
        <w:rPr>
          <w:rFonts w:hint="eastAsia"/>
          <w:b/>
          <w:bCs/>
          <w:color w:val="auto"/>
          <w:sz w:val="32"/>
          <w:szCs w:val="32"/>
          <w:highlight w:val="none"/>
          <w:lang w:val="en-US" w:eastAsia="zh-CN"/>
        </w:rPr>
        <w:t>计价表</w:t>
      </w:r>
    </w:p>
    <w:p>
      <w:pPr>
        <w:pStyle w:val="35"/>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3"/>
        <w:tblW w:w="8607"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935"/>
        <w:gridCol w:w="1677"/>
        <w:gridCol w:w="1335"/>
        <w:gridCol w:w="159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1</w:t>
            </w: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人工</w:t>
            </w: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2</w:t>
            </w: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w:t>
            </w: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3</w:t>
            </w: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机械</w:t>
            </w: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0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bl>
    <w:p>
      <w:pPr>
        <w:pStyle w:val="30"/>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30"/>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工程量清单单价组合表</w:t>
      </w:r>
    </w:p>
    <w:p>
      <w:pPr>
        <w:pStyle w:val="35"/>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3"/>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250"/>
        <w:gridCol w:w="2295"/>
        <w:gridCol w:w="855"/>
        <w:gridCol w:w="1372"/>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250"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清单编码</w:t>
            </w:r>
          </w:p>
        </w:tc>
        <w:tc>
          <w:tcPr>
            <w:tcW w:w="2295"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855"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372"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908"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bl>
    <w:p>
      <w:pPr>
        <w:pStyle w:val="42"/>
        <w:spacing w:after="0" w:line="240" w:lineRule="auto"/>
        <w:jc w:val="center"/>
        <w:rPr>
          <w:color w:val="auto"/>
          <w:highlight w:val="none"/>
        </w:rPr>
      </w:pPr>
    </w:p>
    <w:p>
      <w:pPr>
        <w:pStyle w:val="42"/>
        <w:spacing w:after="0" w:line="240" w:lineRule="auto"/>
        <w:jc w:val="center"/>
        <w:rPr>
          <w:color w:val="auto"/>
          <w:highlight w:val="none"/>
        </w:rPr>
      </w:pPr>
    </w:p>
    <w:p>
      <w:pPr>
        <w:pStyle w:val="42"/>
        <w:spacing w:after="0" w:line="240" w:lineRule="auto"/>
        <w:jc w:val="center"/>
        <w:rPr>
          <w:color w:val="auto"/>
          <w:highlight w:val="none"/>
        </w:rPr>
      </w:pPr>
    </w:p>
    <w:p>
      <w:pPr>
        <w:rPr>
          <w:color w:val="auto"/>
          <w:highlight w:val="none"/>
        </w:rPr>
      </w:pPr>
      <w:r>
        <w:rPr>
          <w:color w:val="auto"/>
          <w:highlight w:val="none"/>
        </w:rPr>
        <w:br w:type="page"/>
      </w:r>
    </w:p>
    <w:p>
      <w:pPr>
        <w:pStyle w:val="30"/>
        <w:spacing w:before="240" w:after="420" w:line="240" w:lineRule="auto"/>
        <w:ind w:firstLine="0"/>
        <w:jc w:val="center"/>
        <w:rPr>
          <w:b/>
          <w:bCs/>
          <w:color w:val="auto"/>
          <w:sz w:val="32"/>
          <w:szCs w:val="32"/>
          <w:highlight w:val="none"/>
          <w:lang w:val="en-US" w:eastAsia="zh-CN"/>
        </w:rPr>
      </w:pPr>
      <w:r>
        <w:rPr>
          <w:rFonts w:hint="eastAsia"/>
          <w:b/>
          <w:bCs/>
          <w:color w:val="auto"/>
          <w:sz w:val="32"/>
          <w:szCs w:val="32"/>
          <w:highlight w:val="none"/>
          <w:lang w:val="en-US" w:eastAsia="zh-CN"/>
        </w:rPr>
        <w:t>电、风、水、砂石基础单价汇总表</w:t>
      </w:r>
    </w:p>
    <w:p>
      <w:pPr>
        <w:pStyle w:val="35"/>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3"/>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090"/>
        <w:gridCol w:w="1595"/>
        <w:gridCol w:w="1908"/>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bl>
    <w:p>
      <w:pPr>
        <w:pStyle w:val="42"/>
        <w:spacing w:after="0" w:line="240" w:lineRule="auto"/>
        <w:jc w:val="center"/>
        <w:rPr>
          <w:color w:val="auto"/>
          <w:highlight w:val="none"/>
        </w:rPr>
      </w:pPr>
    </w:p>
    <w:p>
      <w:pPr>
        <w:pStyle w:val="42"/>
        <w:spacing w:after="0" w:line="240" w:lineRule="auto"/>
        <w:jc w:val="center"/>
        <w:rPr>
          <w:color w:val="auto"/>
          <w:highlight w:val="none"/>
        </w:rPr>
      </w:pPr>
    </w:p>
    <w:p>
      <w:pPr>
        <w:pStyle w:val="42"/>
        <w:spacing w:after="0" w:line="240" w:lineRule="auto"/>
        <w:jc w:val="center"/>
        <w:rPr>
          <w:color w:val="auto"/>
          <w:highlight w:val="none"/>
        </w:rPr>
      </w:pPr>
    </w:p>
    <w:p>
      <w:pPr>
        <w:pStyle w:val="42"/>
        <w:spacing w:after="0" w:line="240" w:lineRule="auto"/>
        <w:jc w:val="center"/>
        <w:rPr>
          <w:color w:val="auto"/>
          <w:highlight w:val="none"/>
        </w:rPr>
      </w:pPr>
    </w:p>
    <w:p>
      <w:pPr>
        <w:pStyle w:val="42"/>
        <w:spacing w:after="0" w:line="240" w:lineRule="auto"/>
        <w:jc w:val="center"/>
        <w:rPr>
          <w:color w:val="auto"/>
          <w:highlight w:val="none"/>
        </w:rPr>
      </w:pPr>
    </w:p>
    <w:p>
      <w:pPr>
        <w:rPr>
          <w:color w:val="auto"/>
          <w:highlight w:val="none"/>
        </w:rPr>
      </w:pPr>
      <w:r>
        <w:rPr>
          <w:color w:val="auto"/>
          <w:highlight w:val="none"/>
        </w:rPr>
        <w:br w:type="page"/>
      </w:r>
    </w:p>
    <w:p>
      <w:pPr>
        <w:pStyle w:val="42"/>
        <w:spacing w:after="0" w:line="240" w:lineRule="auto"/>
        <w:jc w:val="center"/>
        <w:rPr>
          <w:color w:val="auto"/>
          <w:highlight w:val="none"/>
        </w:rPr>
        <w:sectPr>
          <w:footerReference r:id="rId32" w:type="default"/>
          <w:pgSz w:w="11905" w:h="16838"/>
          <w:pgMar w:top="1247" w:right="1417" w:bottom="1247" w:left="1417" w:header="0" w:footer="850" w:gutter="0"/>
          <w:cols w:space="0" w:num="1"/>
          <w:docGrid w:linePitch="360" w:charSpace="0"/>
        </w:sectPr>
      </w:pPr>
    </w:p>
    <w:p>
      <w:pPr>
        <w:pStyle w:val="42"/>
        <w:spacing w:after="0" w:line="240" w:lineRule="auto"/>
        <w:jc w:val="center"/>
        <w:rPr>
          <w:rFonts w:eastAsia="宋体"/>
          <w:color w:val="auto"/>
          <w:highlight w:val="none"/>
          <w:lang w:val="en-US" w:eastAsia="zh-CN"/>
        </w:rPr>
      </w:pPr>
      <w:r>
        <w:rPr>
          <w:rFonts w:hint="eastAsia" w:eastAsia="宋体"/>
          <w:color w:val="auto"/>
          <w:highlight w:val="none"/>
          <w:lang w:val="en-US" w:eastAsia="zh-CN"/>
        </w:rPr>
        <w:t>混凝土（砂浆）配合比材料费表</w:t>
      </w:r>
    </w:p>
    <w:p>
      <w:pPr>
        <w:pStyle w:val="42"/>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23"/>
        <w:tblW w:w="14935"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136"/>
        <w:gridCol w:w="1046"/>
        <w:gridCol w:w="971"/>
        <w:gridCol w:w="1121"/>
        <w:gridCol w:w="1435"/>
        <w:gridCol w:w="1345"/>
        <w:gridCol w:w="1211"/>
        <w:gridCol w:w="1121"/>
        <w:gridCol w:w="1063"/>
        <w:gridCol w:w="1196"/>
        <w:gridCol w:w="1256"/>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136"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混凝土（砂浆）强度等级</w:t>
            </w:r>
          </w:p>
        </w:tc>
        <w:tc>
          <w:tcPr>
            <w:tcW w:w="1046"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强度</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等级</w:t>
            </w:r>
          </w:p>
        </w:tc>
        <w:tc>
          <w:tcPr>
            <w:tcW w:w="971"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级配</w:t>
            </w:r>
          </w:p>
        </w:tc>
        <w:tc>
          <w:tcPr>
            <w:tcW w:w="1121"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水灰比</w:t>
            </w:r>
          </w:p>
        </w:tc>
        <w:tc>
          <w:tcPr>
            <w:tcW w:w="6175" w:type="dxa"/>
            <w:gridSpan w:val="5"/>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每m³混凝土材料预算量</w:t>
            </w:r>
          </w:p>
        </w:tc>
        <w:tc>
          <w:tcPr>
            <w:tcW w:w="1196"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56"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补差</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72"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水泥（kg）</w:t>
            </w:r>
          </w:p>
        </w:tc>
        <w:tc>
          <w:tcPr>
            <w:tcW w:w="1345"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砂（m³）</w:t>
            </w:r>
          </w:p>
        </w:tc>
        <w:tc>
          <w:tcPr>
            <w:tcW w:w="1211"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石（m³）</w:t>
            </w:r>
          </w:p>
        </w:tc>
        <w:tc>
          <w:tcPr>
            <w:tcW w:w="1121"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水（m³）</w:t>
            </w:r>
          </w:p>
        </w:tc>
        <w:tc>
          <w:tcPr>
            <w:tcW w:w="1063"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p>
        </w:tc>
        <w:tc>
          <w:tcPr>
            <w:tcW w:w="119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345" w:type="dxa"/>
            <w:vAlign w:val="center"/>
          </w:tcPr>
          <w:p>
            <w:pPr>
              <w:pStyle w:val="42"/>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11"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21"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63" w:type="dxa"/>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42"/>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345" w:type="dxa"/>
            <w:vAlign w:val="center"/>
          </w:tcPr>
          <w:p>
            <w:pPr>
              <w:pStyle w:val="42"/>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211" w:type="dxa"/>
            <w:vAlign w:val="center"/>
          </w:tcPr>
          <w:p>
            <w:pPr>
              <w:pStyle w:val="42"/>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121" w:type="dxa"/>
            <w:vAlign w:val="center"/>
          </w:tcPr>
          <w:p>
            <w:pPr>
              <w:pStyle w:val="42"/>
              <w:spacing w:after="0" w:line="300" w:lineRule="exact"/>
              <w:jc w:val="center"/>
              <w:rPr>
                <w:rFonts w:ascii="宋体" w:hAnsi="宋体" w:eastAsia="宋体" w:cs="宋体"/>
                <w:b w:val="0"/>
                <w:bCs w:val="0"/>
                <w:color w:val="auto"/>
                <w:sz w:val="21"/>
                <w:szCs w:val="21"/>
                <w:highlight w:val="none"/>
                <w:lang w:eastAsia="zh-CN"/>
              </w:rPr>
            </w:pPr>
          </w:p>
        </w:tc>
        <w:tc>
          <w:tcPr>
            <w:tcW w:w="1063" w:type="dxa"/>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highlight w:val="none"/>
              </w:rPr>
            </w:pPr>
          </w:p>
        </w:tc>
        <w:tc>
          <w:tcPr>
            <w:tcW w:w="1136" w:type="dxa"/>
          </w:tcPr>
          <w:p>
            <w:pPr>
              <w:pStyle w:val="42"/>
              <w:spacing w:after="0" w:line="600" w:lineRule="exact"/>
              <w:jc w:val="both"/>
              <w:rPr>
                <w:rFonts w:ascii="宋体" w:hAnsi="宋体" w:eastAsia="宋体" w:cs="宋体"/>
                <w:b w:val="0"/>
                <w:bCs w:val="0"/>
                <w:color w:val="auto"/>
                <w:sz w:val="21"/>
                <w:szCs w:val="21"/>
                <w:highlight w:val="none"/>
              </w:rPr>
            </w:pPr>
          </w:p>
        </w:tc>
        <w:tc>
          <w:tcPr>
            <w:tcW w:w="1046" w:type="dxa"/>
          </w:tcPr>
          <w:p>
            <w:pPr>
              <w:pStyle w:val="42"/>
              <w:spacing w:after="0" w:line="600" w:lineRule="exact"/>
              <w:jc w:val="both"/>
              <w:rPr>
                <w:rFonts w:ascii="宋体" w:hAnsi="宋体" w:eastAsia="宋体" w:cs="宋体"/>
                <w:b w:val="0"/>
                <w:bCs w:val="0"/>
                <w:color w:val="auto"/>
                <w:sz w:val="21"/>
                <w:szCs w:val="21"/>
                <w:highlight w:val="none"/>
              </w:rPr>
            </w:pPr>
          </w:p>
        </w:tc>
        <w:tc>
          <w:tcPr>
            <w:tcW w:w="97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435" w:type="dxa"/>
          </w:tcPr>
          <w:p>
            <w:pPr>
              <w:pStyle w:val="42"/>
              <w:spacing w:after="0" w:line="600" w:lineRule="exact"/>
              <w:jc w:val="both"/>
              <w:rPr>
                <w:rFonts w:ascii="宋体" w:hAnsi="宋体" w:eastAsia="宋体" w:cs="宋体"/>
                <w:b w:val="0"/>
                <w:bCs w:val="0"/>
                <w:color w:val="auto"/>
                <w:sz w:val="21"/>
                <w:szCs w:val="21"/>
                <w:highlight w:val="none"/>
              </w:rPr>
            </w:pPr>
          </w:p>
        </w:tc>
        <w:tc>
          <w:tcPr>
            <w:tcW w:w="1345" w:type="dxa"/>
          </w:tcPr>
          <w:p>
            <w:pPr>
              <w:pStyle w:val="42"/>
              <w:spacing w:after="0" w:line="600" w:lineRule="exact"/>
              <w:jc w:val="both"/>
              <w:rPr>
                <w:rFonts w:ascii="宋体" w:hAnsi="宋体" w:eastAsia="宋体" w:cs="宋体"/>
                <w:b w:val="0"/>
                <w:bCs w:val="0"/>
                <w:color w:val="auto"/>
                <w:sz w:val="21"/>
                <w:szCs w:val="21"/>
                <w:highlight w:val="none"/>
              </w:rPr>
            </w:pPr>
          </w:p>
        </w:tc>
        <w:tc>
          <w:tcPr>
            <w:tcW w:w="121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063" w:type="dxa"/>
          </w:tcPr>
          <w:p>
            <w:pPr>
              <w:pStyle w:val="42"/>
              <w:spacing w:after="0" w:line="600" w:lineRule="exact"/>
              <w:jc w:val="both"/>
              <w:rPr>
                <w:rFonts w:ascii="宋体" w:hAnsi="宋体" w:eastAsia="宋体" w:cs="宋体"/>
                <w:b w:val="0"/>
                <w:bCs w:val="0"/>
                <w:color w:val="auto"/>
                <w:sz w:val="21"/>
                <w:szCs w:val="21"/>
                <w:highlight w:val="none"/>
              </w:rPr>
            </w:pPr>
          </w:p>
        </w:tc>
        <w:tc>
          <w:tcPr>
            <w:tcW w:w="1196" w:type="dxa"/>
          </w:tcPr>
          <w:p>
            <w:pPr>
              <w:pStyle w:val="42"/>
              <w:spacing w:after="0" w:line="600" w:lineRule="exact"/>
              <w:jc w:val="both"/>
              <w:rPr>
                <w:rFonts w:ascii="宋体" w:hAnsi="宋体" w:eastAsia="宋体" w:cs="宋体"/>
                <w:b w:val="0"/>
                <w:bCs w:val="0"/>
                <w:color w:val="auto"/>
                <w:sz w:val="21"/>
                <w:szCs w:val="21"/>
                <w:highlight w:val="none"/>
              </w:rPr>
            </w:pPr>
          </w:p>
        </w:tc>
        <w:tc>
          <w:tcPr>
            <w:tcW w:w="1256" w:type="dxa"/>
          </w:tcPr>
          <w:p>
            <w:pPr>
              <w:pStyle w:val="42"/>
              <w:spacing w:after="0" w:line="600" w:lineRule="exact"/>
              <w:jc w:val="both"/>
              <w:rPr>
                <w:rFonts w:ascii="宋体" w:hAnsi="宋体" w:eastAsia="宋体" w:cs="宋体"/>
                <w:b w:val="0"/>
                <w:bCs w:val="0"/>
                <w:color w:val="auto"/>
                <w:sz w:val="21"/>
                <w:szCs w:val="21"/>
                <w:highlight w:val="none"/>
              </w:rPr>
            </w:pPr>
          </w:p>
        </w:tc>
        <w:tc>
          <w:tcPr>
            <w:tcW w:w="1272"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highlight w:val="none"/>
              </w:rPr>
            </w:pPr>
          </w:p>
        </w:tc>
        <w:tc>
          <w:tcPr>
            <w:tcW w:w="1136" w:type="dxa"/>
          </w:tcPr>
          <w:p>
            <w:pPr>
              <w:pStyle w:val="42"/>
              <w:spacing w:after="0" w:line="600" w:lineRule="exact"/>
              <w:jc w:val="both"/>
              <w:rPr>
                <w:rFonts w:ascii="宋体" w:hAnsi="宋体" w:eastAsia="宋体" w:cs="宋体"/>
                <w:b w:val="0"/>
                <w:bCs w:val="0"/>
                <w:color w:val="auto"/>
                <w:sz w:val="21"/>
                <w:szCs w:val="21"/>
                <w:highlight w:val="none"/>
              </w:rPr>
            </w:pPr>
          </w:p>
        </w:tc>
        <w:tc>
          <w:tcPr>
            <w:tcW w:w="1046" w:type="dxa"/>
          </w:tcPr>
          <w:p>
            <w:pPr>
              <w:pStyle w:val="42"/>
              <w:spacing w:after="0" w:line="600" w:lineRule="exact"/>
              <w:jc w:val="both"/>
              <w:rPr>
                <w:rFonts w:ascii="宋体" w:hAnsi="宋体" w:eastAsia="宋体" w:cs="宋体"/>
                <w:b w:val="0"/>
                <w:bCs w:val="0"/>
                <w:color w:val="auto"/>
                <w:sz w:val="21"/>
                <w:szCs w:val="21"/>
                <w:highlight w:val="none"/>
              </w:rPr>
            </w:pPr>
          </w:p>
        </w:tc>
        <w:tc>
          <w:tcPr>
            <w:tcW w:w="97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435" w:type="dxa"/>
          </w:tcPr>
          <w:p>
            <w:pPr>
              <w:pStyle w:val="42"/>
              <w:spacing w:after="0" w:line="600" w:lineRule="exact"/>
              <w:jc w:val="both"/>
              <w:rPr>
                <w:rFonts w:ascii="宋体" w:hAnsi="宋体" w:eastAsia="宋体" w:cs="宋体"/>
                <w:b w:val="0"/>
                <w:bCs w:val="0"/>
                <w:color w:val="auto"/>
                <w:sz w:val="21"/>
                <w:szCs w:val="21"/>
                <w:highlight w:val="none"/>
              </w:rPr>
            </w:pPr>
          </w:p>
        </w:tc>
        <w:tc>
          <w:tcPr>
            <w:tcW w:w="1345" w:type="dxa"/>
          </w:tcPr>
          <w:p>
            <w:pPr>
              <w:pStyle w:val="42"/>
              <w:spacing w:after="0" w:line="600" w:lineRule="exact"/>
              <w:jc w:val="both"/>
              <w:rPr>
                <w:rFonts w:ascii="宋体" w:hAnsi="宋体" w:eastAsia="宋体" w:cs="宋体"/>
                <w:b w:val="0"/>
                <w:bCs w:val="0"/>
                <w:color w:val="auto"/>
                <w:sz w:val="21"/>
                <w:szCs w:val="21"/>
                <w:highlight w:val="none"/>
              </w:rPr>
            </w:pPr>
          </w:p>
        </w:tc>
        <w:tc>
          <w:tcPr>
            <w:tcW w:w="121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063" w:type="dxa"/>
          </w:tcPr>
          <w:p>
            <w:pPr>
              <w:pStyle w:val="42"/>
              <w:spacing w:after="0" w:line="600" w:lineRule="exact"/>
              <w:jc w:val="both"/>
              <w:rPr>
                <w:rFonts w:ascii="宋体" w:hAnsi="宋体" w:eastAsia="宋体" w:cs="宋体"/>
                <w:b w:val="0"/>
                <w:bCs w:val="0"/>
                <w:color w:val="auto"/>
                <w:sz w:val="21"/>
                <w:szCs w:val="21"/>
                <w:highlight w:val="none"/>
              </w:rPr>
            </w:pPr>
          </w:p>
        </w:tc>
        <w:tc>
          <w:tcPr>
            <w:tcW w:w="1196" w:type="dxa"/>
          </w:tcPr>
          <w:p>
            <w:pPr>
              <w:pStyle w:val="42"/>
              <w:spacing w:after="0" w:line="600" w:lineRule="exact"/>
              <w:jc w:val="both"/>
              <w:rPr>
                <w:rFonts w:ascii="宋体" w:hAnsi="宋体" w:eastAsia="宋体" w:cs="宋体"/>
                <w:b w:val="0"/>
                <w:bCs w:val="0"/>
                <w:color w:val="auto"/>
                <w:sz w:val="21"/>
                <w:szCs w:val="21"/>
                <w:highlight w:val="none"/>
              </w:rPr>
            </w:pPr>
          </w:p>
        </w:tc>
        <w:tc>
          <w:tcPr>
            <w:tcW w:w="1256" w:type="dxa"/>
          </w:tcPr>
          <w:p>
            <w:pPr>
              <w:pStyle w:val="42"/>
              <w:spacing w:after="0" w:line="600" w:lineRule="exact"/>
              <w:jc w:val="both"/>
              <w:rPr>
                <w:rFonts w:ascii="宋体" w:hAnsi="宋体" w:eastAsia="宋体" w:cs="宋体"/>
                <w:b w:val="0"/>
                <w:bCs w:val="0"/>
                <w:color w:val="auto"/>
                <w:sz w:val="21"/>
                <w:szCs w:val="21"/>
                <w:highlight w:val="none"/>
              </w:rPr>
            </w:pPr>
          </w:p>
        </w:tc>
        <w:tc>
          <w:tcPr>
            <w:tcW w:w="1272"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highlight w:val="none"/>
              </w:rPr>
            </w:pPr>
          </w:p>
        </w:tc>
        <w:tc>
          <w:tcPr>
            <w:tcW w:w="1136" w:type="dxa"/>
          </w:tcPr>
          <w:p>
            <w:pPr>
              <w:pStyle w:val="42"/>
              <w:spacing w:after="0" w:line="600" w:lineRule="exact"/>
              <w:jc w:val="both"/>
              <w:rPr>
                <w:rFonts w:ascii="宋体" w:hAnsi="宋体" w:eastAsia="宋体" w:cs="宋体"/>
                <w:b w:val="0"/>
                <w:bCs w:val="0"/>
                <w:color w:val="auto"/>
                <w:sz w:val="21"/>
                <w:szCs w:val="21"/>
                <w:highlight w:val="none"/>
              </w:rPr>
            </w:pPr>
          </w:p>
        </w:tc>
        <w:tc>
          <w:tcPr>
            <w:tcW w:w="1046" w:type="dxa"/>
          </w:tcPr>
          <w:p>
            <w:pPr>
              <w:pStyle w:val="42"/>
              <w:spacing w:after="0" w:line="600" w:lineRule="exact"/>
              <w:jc w:val="both"/>
              <w:rPr>
                <w:rFonts w:ascii="宋体" w:hAnsi="宋体" w:eastAsia="宋体" w:cs="宋体"/>
                <w:b w:val="0"/>
                <w:bCs w:val="0"/>
                <w:color w:val="auto"/>
                <w:sz w:val="21"/>
                <w:szCs w:val="21"/>
                <w:highlight w:val="none"/>
              </w:rPr>
            </w:pPr>
          </w:p>
        </w:tc>
        <w:tc>
          <w:tcPr>
            <w:tcW w:w="97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435" w:type="dxa"/>
          </w:tcPr>
          <w:p>
            <w:pPr>
              <w:pStyle w:val="42"/>
              <w:spacing w:after="0" w:line="600" w:lineRule="exact"/>
              <w:jc w:val="both"/>
              <w:rPr>
                <w:rFonts w:ascii="宋体" w:hAnsi="宋体" w:eastAsia="宋体" w:cs="宋体"/>
                <w:b w:val="0"/>
                <w:bCs w:val="0"/>
                <w:color w:val="auto"/>
                <w:sz w:val="21"/>
                <w:szCs w:val="21"/>
                <w:highlight w:val="none"/>
              </w:rPr>
            </w:pPr>
          </w:p>
        </w:tc>
        <w:tc>
          <w:tcPr>
            <w:tcW w:w="1345" w:type="dxa"/>
          </w:tcPr>
          <w:p>
            <w:pPr>
              <w:pStyle w:val="42"/>
              <w:spacing w:after="0" w:line="600" w:lineRule="exact"/>
              <w:jc w:val="both"/>
              <w:rPr>
                <w:rFonts w:ascii="宋体" w:hAnsi="宋体" w:eastAsia="宋体" w:cs="宋体"/>
                <w:b w:val="0"/>
                <w:bCs w:val="0"/>
                <w:color w:val="auto"/>
                <w:sz w:val="21"/>
                <w:szCs w:val="21"/>
                <w:highlight w:val="none"/>
              </w:rPr>
            </w:pPr>
          </w:p>
        </w:tc>
        <w:tc>
          <w:tcPr>
            <w:tcW w:w="121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063" w:type="dxa"/>
          </w:tcPr>
          <w:p>
            <w:pPr>
              <w:pStyle w:val="42"/>
              <w:spacing w:after="0" w:line="600" w:lineRule="exact"/>
              <w:jc w:val="both"/>
              <w:rPr>
                <w:rFonts w:ascii="宋体" w:hAnsi="宋体" w:eastAsia="宋体" w:cs="宋体"/>
                <w:b w:val="0"/>
                <w:bCs w:val="0"/>
                <w:color w:val="auto"/>
                <w:sz w:val="21"/>
                <w:szCs w:val="21"/>
                <w:highlight w:val="none"/>
              </w:rPr>
            </w:pPr>
          </w:p>
        </w:tc>
        <w:tc>
          <w:tcPr>
            <w:tcW w:w="1196" w:type="dxa"/>
          </w:tcPr>
          <w:p>
            <w:pPr>
              <w:pStyle w:val="42"/>
              <w:spacing w:after="0" w:line="600" w:lineRule="exact"/>
              <w:jc w:val="both"/>
              <w:rPr>
                <w:rFonts w:ascii="宋体" w:hAnsi="宋体" w:eastAsia="宋体" w:cs="宋体"/>
                <w:b w:val="0"/>
                <w:bCs w:val="0"/>
                <w:color w:val="auto"/>
                <w:sz w:val="21"/>
                <w:szCs w:val="21"/>
                <w:highlight w:val="none"/>
              </w:rPr>
            </w:pPr>
          </w:p>
        </w:tc>
        <w:tc>
          <w:tcPr>
            <w:tcW w:w="1256" w:type="dxa"/>
          </w:tcPr>
          <w:p>
            <w:pPr>
              <w:pStyle w:val="42"/>
              <w:spacing w:after="0" w:line="600" w:lineRule="exact"/>
              <w:jc w:val="both"/>
              <w:rPr>
                <w:rFonts w:ascii="宋体" w:hAnsi="宋体" w:eastAsia="宋体" w:cs="宋体"/>
                <w:b w:val="0"/>
                <w:bCs w:val="0"/>
                <w:color w:val="auto"/>
                <w:sz w:val="21"/>
                <w:szCs w:val="21"/>
                <w:highlight w:val="none"/>
              </w:rPr>
            </w:pPr>
          </w:p>
        </w:tc>
        <w:tc>
          <w:tcPr>
            <w:tcW w:w="1272"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highlight w:val="none"/>
              </w:rPr>
            </w:pPr>
          </w:p>
        </w:tc>
        <w:tc>
          <w:tcPr>
            <w:tcW w:w="1136" w:type="dxa"/>
          </w:tcPr>
          <w:p>
            <w:pPr>
              <w:pStyle w:val="42"/>
              <w:spacing w:after="0" w:line="600" w:lineRule="exact"/>
              <w:jc w:val="both"/>
              <w:rPr>
                <w:rFonts w:ascii="宋体" w:hAnsi="宋体" w:eastAsia="宋体" w:cs="宋体"/>
                <w:b w:val="0"/>
                <w:bCs w:val="0"/>
                <w:color w:val="auto"/>
                <w:sz w:val="21"/>
                <w:szCs w:val="21"/>
                <w:highlight w:val="none"/>
              </w:rPr>
            </w:pPr>
          </w:p>
        </w:tc>
        <w:tc>
          <w:tcPr>
            <w:tcW w:w="1046" w:type="dxa"/>
          </w:tcPr>
          <w:p>
            <w:pPr>
              <w:pStyle w:val="42"/>
              <w:spacing w:after="0" w:line="600" w:lineRule="exact"/>
              <w:jc w:val="both"/>
              <w:rPr>
                <w:rFonts w:ascii="宋体" w:hAnsi="宋体" w:eastAsia="宋体" w:cs="宋体"/>
                <w:b w:val="0"/>
                <w:bCs w:val="0"/>
                <w:color w:val="auto"/>
                <w:sz w:val="21"/>
                <w:szCs w:val="21"/>
                <w:highlight w:val="none"/>
              </w:rPr>
            </w:pPr>
          </w:p>
        </w:tc>
        <w:tc>
          <w:tcPr>
            <w:tcW w:w="97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435" w:type="dxa"/>
          </w:tcPr>
          <w:p>
            <w:pPr>
              <w:pStyle w:val="42"/>
              <w:spacing w:after="0" w:line="600" w:lineRule="exact"/>
              <w:jc w:val="both"/>
              <w:rPr>
                <w:rFonts w:ascii="宋体" w:hAnsi="宋体" w:eastAsia="宋体" w:cs="宋体"/>
                <w:b w:val="0"/>
                <w:bCs w:val="0"/>
                <w:color w:val="auto"/>
                <w:sz w:val="21"/>
                <w:szCs w:val="21"/>
                <w:highlight w:val="none"/>
              </w:rPr>
            </w:pPr>
          </w:p>
        </w:tc>
        <w:tc>
          <w:tcPr>
            <w:tcW w:w="1345" w:type="dxa"/>
          </w:tcPr>
          <w:p>
            <w:pPr>
              <w:pStyle w:val="42"/>
              <w:spacing w:after="0" w:line="600" w:lineRule="exact"/>
              <w:jc w:val="both"/>
              <w:rPr>
                <w:rFonts w:ascii="宋体" w:hAnsi="宋体" w:eastAsia="宋体" w:cs="宋体"/>
                <w:b w:val="0"/>
                <w:bCs w:val="0"/>
                <w:color w:val="auto"/>
                <w:sz w:val="21"/>
                <w:szCs w:val="21"/>
                <w:highlight w:val="none"/>
              </w:rPr>
            </w:pPr>
          </w:p>
        </w:tc>
        <w:tc>
          <w:tcPr>
            <w:tcW w:w="121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063" w:type="dxa"/>
          </w:tcPr>
          <w:p>
            <w:pPr>
              <w:pStyle w:val="42"/>
              <w:spacing w:after="0" w:line="600" w:lineRule="exact"/>
              <w:jc w:val="both"/>
              <w:rPr>
                <w:rFonts w:ascii="宋体" w:hAnsi="宋体" w:eastAsia="宋体" w:cs="宋体"/>
                <w:b w:val="0"/>
                <w:bCs w:val="0"/>
                <w:color w:val="auto"/>
                <w:sz w:val="21"/>
                <w:szCs w:val="21"/>
                <w:highlight w:val="none"/>
              </w:rPr>
            </w:pPr>
          </w:p>
        </w:tc>
        <w:tc>
          <w:tcPr>
            <w:tcW w:w="1196" w:type="dxa"/>
          </w:tcPr>
          <w:p>
            <w:pPr>
              <w:pStyle w:val="42"/>
              <w:spacing w:after="0" w:line="600" w:lineRule="exact"/>
              <w:jc w:val="both"/>
              <w:rPr>
                <w:rFonts w:ascii="宋体" w:hAnsi="宋体" w:eastAsia="宋体" w:cs="宋体"/>
                <w:b w:val="0"/>
                <w:bCs w:val="0"/>
                <w:color w:val="auto"/>
                <w:sz w:val="21"/>
                <w:szCs w:val="21"/>
                <w:highlight w:val="none"/>
              </w:rPr>
            </w:pPr>
          </w:p>
        </w:tc>
        <w:tc>
          <w:tcPr>
            <w:tcW w:w="1256" w:type="dxa"/>
          </w:tcPr>
          <w:p>
            <w:pPr>
              <w:pStyle w:val="42"/>
              <w:spacing w:after="0" w:line="600" w:lineRule="exact"/>
              <w:jc w:val="both"/>
              <w:rPr>
                <w:rFonts w:ascii="宋体" w:hAnsi="宋体" w:eastAsia="宋体" w:cs="宋体"/>
                <w:b w:val="0"/>
                <w:bCs w:val="0"/>
                <w:color w:val="auto"/>
                <w:sz w:val="21"/>
                <w:szCs w:val="21"/>
                <w:highlight w:val="none"/>
              </w:rPr>
            </w:pPr>
          </w:p>
        </w:tc>
        <w:tc>
          <w:tcPr>
            <w:tcW w:w="1272"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highlight w:val="none"/>
              </w:rPr>
            </w:pPr>
          </w:p>
        </w:tc>
        <w:tc>
          <w:tcPr>
            <w:tcW w:w="1136" w:type="dxa"/>
          </w:tcPr>
          <w:p>
            <w:pPr>
              <w:pStyle w:val="42"/>
              <w:spacing w:after="0" w:line="600" w:lineRule="exact"/>
              <w:jc w:val="both"/>
              <w:rPr>
                <w:rFonts w:ascii="宋体" w:hAnsi="宋体" w:eastAsia="宋体" w:cs="宋体"/>
                <w:b w:val="0"/>
                <w:bCs w:val="0"/>
                <w:color w:val="auto"/>
                <w:sz w:val="21"/>
                <w:szCs w:val="21"/>
                <w:highlight w:val="none"/>
              </w:rPr>
            </w:pPr>
          </w:p>
        </w:tc>
        <w:tc>
          <w:tcPr>
            <w:tcW w:w="1046" w:type="dxa"/>
          </w:tcPr>
          <w:p>
            <w:pPr>
              <w:pStyle w:val="42"/>
              <w:spacing w:after="0" w:line="600" w:lineRule="exact"/>
              <w:jc w:val="both"/>
              <w:rPr>
                <w:rFonts w:ascii="宋体" w:hAnsi="宋体" w:eastAsia="宋体" w:cs="宋体"/>
                <w:b w:val="0"/>
                <w:bCs w:val="0"/>
                <w:color w:val="auto"/>
                <w:sz w:val="21"/>
                <w:szCs w:val="21"/>
                <w:highlight w:val="none"/>
              </w:rPr>
            </w:pPr>
          </w:p>
        </w:tc>
        <w:tc>
          <w:tcPr>
            <w:tcW w:w="97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435" w:type="dxa"/>
          </w:tcPr>
          <w:p>
            <w:pPr>
              <w:pStyle w:val="42"/>
              <w:spacing w:after="0" w:line="600" w:lineRule="exact"/>
              <w:jc w:val="both"/>
              <w:rPr>
                <w:rFonts w:ascii="宋体" w:hAnsi="宋体" w:eastAsia="宋体" w:cs="宋体"/>
                <w:b w:val="0"/>
                <w:bCs w:val="0"/>
                <w:color w:val="auto"/>
                <w:sz w:val="21"/>
                <w:szCs w:val="21"/>
                <w:highlight w:val="none"/>
              </w:rPr>
            </w:pPr>
          </w:p>
        </w:tc>
        <w:tc>
          <w:tcPr>
            <w:tcW w:w="1345" w:type="dxa"/>
          </w:tcPr>
          <w:p>
            <w:pPr>
              <w:pStyle w:val="42"/>
              <w:spacing w:after="0" w:line="600" w:lineRule="exact"/>
              <w:jc w:val="both"/>
              <w:rPr>
                <w:rFonts w:ascii="宋体" w:hAnsi="宋体" w:eastAsia="宋体" w:cs="宋体"/>
                <w:b w:val="0"/>
                <w:bCs w:val="0"/>
                <w:color w:val="auto"/>
                <w:sz w:val="21"/>
                <w:szCs w:val="21"/>
                <w:highlight w:val="none"/>
              </w:rPr>
            </w:pPr>
          </w:p>
        </w:tc>
        <w:tc>
          <w:tcPr>
            <w:tcW w:w="121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063" w:type="dxa"/>
          </w:tcPr>
          <w:p>
            <w:pPr>
              <w:pStyle w:val="42"/>
              <w:spacing w:after="0" w:line="600" w:lineRule="exact"/>
              <w:jc w:val="both"/>
              <w:rPr>
                <w:rFonts w:ascii="宋体" w:hAnsi="宋体" w:eastAsia="宋体" w:cs="宋体"/>
                <w:b w:val="0"/>
                <w:bCs w:val="0"/>
                <w:color w:val="auto"/>
                <w:sz w:val="21"/>
                <w:szCs w:val="21"/>
                <w:highlight w:val="none"/>
              </w:rPr>
            </w:pPr>
          </w:p>
        </w:tc>
        <w:tc>
          <w:tcPr>
            <w:tcW w:w="1196" w:type="dxa"/>
          </w:tcPr>
          <w:p>
            <w:pPr>
              <w:pStyle w:val="42"/>
              <w:spacing w:after="0" w:line="600" w:lineRule="exact"/>
              <w:jc w:val="both"/>
              <w:rPr>
                <w:rFonts w:ascii="宋体" w:hAnsi="宋体" w:eastAsia="宋体" w:cs="宋体"/>
                <w:b w:val="0"/>
                <w:bCs w:val="0"/>
                <w:color w:val="auto"/>
                <w:sz w:val="21"/>
                <w:szCs w:val="21"/>
                <w:highlight w:val="none"/>
              </w:rPr>
            </w:pPr>
          </w:p>
        </w:tc>
        <w:tc>
          <w:tcPr>
            <w:tcW w:w="1256" w:type="dxa"/>
          </w:tcPr>
          <w:p>
            <w:pPr>
              <w:pStyle w:val="42"/>
              <w:spacing w:after="0" w:line="600" w:lineRule="exact"/>
              <w:jc w:val="both"/>
              <w:rPr>
                <w:rFonts w:ascii="宋体" w:hAnsi="宋体" w:eastAsia="宋体" w:cs="宋体"/>
                <w:b w:val="0"/>
                <w:bCs w:val="0"/>
                <w:color w:val="auto"/>
                <w:sz w:val="21"/>
                <w:szCs w:val="21"/>
                <w:highlight w:val="none"/>
              </w:rPr>
            </w:pPr>
          </w:p>
        </w:tc>
        <w:tc>
          <w:tcPr>
            <w:tcW w:w="1272"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highlight w:val="none"/>
              </w:rPr>
            </w:pPr>
          </w:p>
        </w:tc>
        <w:tc>
          <w:tcPr>
            <w:tcW w:w="1136" w:type="dxa"/>
          </w:tcPr>
          <w:p>
            <w:pPr>
              <w:pStyle w:val="42"/>
              <w:spacing w:after="0" w:line="600" w:lineRule="exact"/>
              <w:jc w:val="both"/>
              <w:rPr>
                <w:rFonts w:ascii="宋体" w:hAnsi="宋体" w:eastAsia="宋体" w:cs="宋体"/>
                <w:b w:val="0"/>
                <w:bCs w:val="0"/>
                <w:color w:val="auto"/>
                <w:sz w:val="21"/>
                <w:szCs w:val="21"/>
                <w:highlight w:val="none"/>
              </w:rPr>
            </w:pPr>
          </w:p>
        </w:tc>
        <w:tc>
          <w:tcPr>
            <w:tcW w:w="1046" w:type="dxa"/>
          </w:tcPr>
          <w:p>
            <w:pPr>
              <w:pStyle w:val="42"/>
              <w:spacing w:after="0" w:line="600" w:lineRule="exact"/>
              <w:jc w:val="both"/>
              <w:rPr>
                <w:rFonts w:ascii="宋体" w:hAnsi="宋体" w:eastAsia="宋体" w:cs="宋体"/>
                <w:b w:val="0"/>
                <w:bCs w:val="0"/>
                <w:color w:val="auto"/>
                <w:sz w:val="21"/>
                <w:szCs w:val="21"/>
                <w:highlight w:val="none"/>
              </w:rPr>
            </w:pPr>
          </w:p>
        </w:tc>
        <w:tc>
          <w:tcPr>
            <w:tcW w:w="97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435" w:type="dxa"/>
          </w:tcPr>
          <w:p>
            <w:pPr>
              <w:pStyle w:val="42"/>
              <w:spacing w:after="0" w:line="600" w:lineRule="exact"/>
              <w:jc w:val="both"/>
              <w:rPr>
                <w:rFonts w:ascii="宋体" w:hAnsi="宋体" w:eastAsia="宋体" w:cs="宋体"/>
                <w:b w:val="0"/>
                <w:bCs w:val="0"/>
                <w:color w:val="auto"/>
                <w:sz w:val="21"/>
                <w:szCs w:val="21"/>
                <w:highlight w:val="none"/>
              </w:rPr>
            </w:pPr>
          </w:p>
        </w:tc>
        <w:tc>
          <w:tcPr>
            <w:tcW w:w="1345" w:type="dxa"/>
          </w:tcPr>
          <w:p>
            <w:pPr>
              <w:pStyle w:val="42"/>
              <w:spacing w:after="0" w:line="600" w:lineRule="exact"/>
              <w:jc w:val="both"/>
              <w:rPr>
                <w:rFonts w:ascii="宋体" w:hAnsi="宋体" w:eastAsia="宋体" w:cs="宋体"/>
                <w:b w:val="0"/>
                <w:bCs w:val="0"/>
                <w:color w:val="auto"/>
                <w:sz w:val="21"/>
                <w:szCs w:val="21"/>
                <w:highlight w:val="none"/>
              </w:rPr>
            </w:pPr>
          </w:p>
        </w:tc>
        <w:tc>
          <w:tcPr>
            <w:tcW w:w="121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063" w:type="dxa"/>
          </w:tcPr>
          <w:p>
            <w:pPr>
              <w:pStyle w:val="42"/>
              <w:spacing w:after="0" w:line="600" w:lineRule="exact"/>
              <w:jc w:val="both"/>
              <w:rPr>
                <w:rFonts w:ascii="宋体" w:hAnsi="宋体" w:eastAsia="宋体" w:cs="宋体"/>
                <w:b w:val="0"/>
                <w:bCs w:val="0"/>
                <w:color w:val="auto"/>
                <w:sz w:val="21"/>
                <w:szCs w:val="21"/>
                <w:highlight w:val="none"/>
              </w:rPr>
            </w:pPr>
          </w:p>
        </w:tc>
        <w:tc>
          <w:tcPr>
            <w:tcW w:w="1196" w:type="dxa"/>
          </w:tcPr>
          <w:p>
            <w:pPr>
              <w:pStyle w:val="42"/>
              <w:spacing w:after="0" w:line="600" w:lineRule="exact"/>
              <w:jc w:val="both"/>
              <w:rPr>
                <w:rFonts w:ascii="宋体" w:hAnsi="宋体" w:eastAsia="宋体" w:cs="宋体"/>
                <w:b w:val="0"/>
                <w:bCs w:val="0"/>
                <w:color w:val="auto"/>
                <w:sz w:val="21"/>
                <w:szCs w:val="21"/>
                <w:highlight w:val="none"/>
              </w:rPr>
            </w:pPr>
          </w:p>
        </w:tc>
        <w:tc>
          <w:tcPr>
            <w:tcW w:w="1256" w:type="dxa"/>
          </w:tcPr>
          <w:p>
            <w:pPr>
              <w:pStyle w:val="42"/>
              <w:spacing w:after="0" w:line="600" w:lineRule="exact"/>
              <w:jc w:val="both"/>
              <w:rPr>
                <w:rFonts w:ascii="宋体" w:hAnsi="宋体" w:eastAsia="宋体" w:cs="宋体"/>
                <w:b w:val="0"/>
                <w:bCs w:val="0"/>
                <w:color w:val="auto"/>
                <w:sz w:val="21"/>
                <w:szCs w:val="21"/>
                <w:highlight w:val="none"/>
              </w:rPr>
            </w:pPr>
          </w:p>
        </w:tc>
        <w:tc>
          <w:tcPr>
            <w:tcW w:w="1272"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42"/>
              <w:spacing w:after="0" w:line="600" w:lineRule="exact"/>
              <w:jc w:val="both"/>
              <w:rPr>
                <w:rFonts w:ascii="宋体" w:hAnsi="宋体" w:eastAsia="宋体" w:cs="宋体"/>
                <w:b w:val="0"/>
                <w:bCs w:val="0"/>
                <w:color w:val="auto"/>
                <w:sz w:val="21"/>
                <w:szCs w:val="21"/>
                <w:highlight w:val="none"/>
              </w:rPr>
            </w:pPr>
          </w:p>
        </w:tc>
        <w:tc>
          <w:tcPr>
            <w:tcW w:w="1136" w:type="dxa"/>
          </w:tcPr>
          <w:p>
            <w:pPr>
              <w:pStyle w:val="42"/>
              <w:spacing w:after="0" w:line="600" w:lineRule="exact"/>
              <w:jc w:val="both"/>
              <w:rPr>
                <w:rFonts w:ascii="宋体" w:hAnsi="宋体" w:eastAsia="宋体" w:cs="宋体"/>
                <w:b w:val="0"/>
                <w:bCs w:val="0"/>
                <w:color w:val="auto"/>
                <w:sz w:val="21"/>
                <w:szCs w:val="21"/>
                <w:highlight w:val="none"/>
              </w:rPr>
            </w:pPr>
          </w:p>
        </w:tc>
        <w:tc>
          <w:tcPr>
            <w:tcW w:w="1046" w:type="dxa"/>
          </w:tcPr>
          <w:p>
            <w:pPr>
              <w:pStyle w:val="42"/>
              <w:spacing w:after="0" w:line="600" w:lineRule="exact"/>
              <w:jc w:val="both"/>
              <w:rPr>
                <w:rFonts w:ascii="宋体" w:hAnsi="宋体" w:eastAsia="宋体" w:cs="宋体"/>
                <w:b w:val="0"/>
                <w:bCs w:val="0"/>
                <w:color w:val="auto"/>
                <w:sz w:val="21"/>
                <w:szCs w:val="21"/>
                <w:highlight w:val="none"/>
              </w:rPr>
            </w:pPr>
          </w:p>
        </w:tc>
        <w:tc>
          <w:tcPr>
            <w:tcW w:w="97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435" w:type="dxa"/>
          </w:tcPr>
          <w:p>
            <w:pPr>
              <w:pStyle w:val="42"/>
              <w:spacing w:after="0" w:line="600" w:lineRule="exact"/>
              <w:jc w:val="both"/>
              <w:rPr>
                <w:rFonts w:ascii="宋体" w:hAnsi="宋体" w:eastAsia="宋体" w:cs="宋体"/>
                <w:b w:val="0"/>
                <w:bCs w:val="0"/>
                <w:color w:val="auto"/>
                <w:sz w:val="21"/>
                <w:szCs w:val="21"/>
                <w:highlight w:val="none"/>
              </w:rPr>
            </w:pPr>
          </w:p>
        </w:tc>
        <w:tc>
          <w:tcPr>
            <w:tcW w:w="1345" w:type="dxa"/>
          </w:tcPr>
          <w:p>
            <w:pPr>
              <w:pStyle w:val="42"/>
              <w:spacing w:after="0" w:line="600" w:lineRule="exact"/>
              <w:jc w:val="both"/>
              <w:rPr>
                <w:rFonts w:ascii="宋体" w:hAnsi="宋体" w:eastAsia="宋体" w:cs="宋体"/>
                <w:b w:val="0"/>
                <w:bCs w:val="0"/>
                <w:color w:val="auto"/>
                <w:sz w:val="21"/>
                <w:szCs w:val="21"/>
                <w:highlight w:val="none"/>
              </w:rPr>
            </w:pPr>
          </w:p>
        </w:tc>
        <w:tc>
          <w:tcPr>
            <w:tcW w:w="121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063" w:type="dxa"/>
          </w:tcPr>
          <w:p>
            <w:pPr>
              <w:pStyle w:val="42"/>
              <w:spacing w:after="0" w:line="600" w:lineRule="exact"/>
              <w:jc w:val="both"/>
              <w:rPr>
                <w:rFonts w:ascii="宋体" w:hAnsi="宋体" w:eastAsia="宋体" w:cs="宋体"/>
                <w:b w:val="0"/>
                <w:bCs w:val="0"/>
                <w:color w:val="auto"/>
                <w:sz w:val="21"/>
                <w:szCs w:val="21"/>
                <w:highlight w:val="none"/>
              </w:rPr>
            </w:pPr>
          </w:p>
        </w:tc>
        <w:tc>
          <w:tcPr>
            <w:tcW w:w="1196" w:type="dxa"/>
          </w:tcPr>
          <w:p>
            <w:pPr>
              <w:pStyle w:val="42"/>
              <w:spacing w:after="0" w:line="600" w:lineRule="exact"/>
              <w:jc w:val="both"/>
              <w:rPr>
                <w:rFonts w:ascii="宋体" w:hAnsi="宋体" w:eastAsia="宋体" w:cs="宋体"/>
                <w:b w:val="0"/>
                <w:bCs w:val="0"/>
                <w:color w:val="auto"/>
                <w:sz w:val="21"/>
                <w:szCs w:val="21"/>
                <w:highlight w:val="none"/>
              </w:rPr>
            </w:pPr>
          </w:p>
        </w:tc>
        <w:tc>
          <w:tcPr>
            <w:tcW w:w="1256" w:type="dxa"/>
          </w:tcPr>
          <w:p>
            <w:pPr>
              <w:pStyle w:val="42"/>
              <w:spacing w:after="0" w:line="600" w:lineRule="exact"/>
              <w:jc w:val="both"/>
              <w:rPr>
                <w:rFonts w:ascii="宋体" w:hAnsi="宋体" w:eastAsia="宋体" w:cs="宋体"/>
                <w:b w:val="0"/>
                <w:bCs w:val="0"/>
                <w:color w:val="auto"/>
                <w:sz w:val="21"/>
                <w:szCs w:val="21"/>
                <w:highlight w:val="none"/>
              </w:rPr>
            </w:pPr>
          </w:p>
        </w:tc>
        <w:tc>
          <w:tcPr>
            <w:tcW w:w="1272"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762" w:type="dxa"/>
          </w:tcPr>
          <w:p>
            <w:pPr>
              <w:pStyle w:val="42"/>
              <w:spacing w:after="0" w:line="600" w:lineRule="exact"/>
              <w:jc w:val="both"/>
              <w:rPr>
                <w:rFonts w:ascii="宋体" w:hAnsi="宋体" w:eastAsia="宋体" w:cs="宋体"/>
                <w:b w:val="0"/>
                <w:bCs w:val="0"/>
                <w:color w:val="auto"/>
                <w:sz w:val="21"/>
                <w:szCs w:val="21"/>
                <w:highlight w:val="none"/>
              </w:rPr>
            </w:pPr>
          </w:p>
        </w:tc>
        <w:tc>
          <w:tcPr>
            <w:tcW w:w="1136" w:type="dxa"/>
          </w:tcPr>
          <w:p>
            <w:pPr>
              <w:pStyle w:val="42"/>
              <w:spacing w:after="0" w:line="600" w:lineRule="exact"/>
              <w:jc w:val="both"/>
              <w:rPr>
                <w:rFonts w:ascii="宋体" w:hAnsi="宋体" w:eastAsia="宋体" w:cs="宋体"/>
                <w:b w:val="0"/>
                <w:bCs w:val="0"/>
                <w:color w:val="auto"/>
                <w:sz w:val="21"/>
                <w:szCs w:val="21"/>
                <w:highlight w:val="none"/>
              </w:rPr>
            </w:pPr>
          </w:p>
        </w:tc>
        <w:tc>
          <w:tcPr>
            <w:tcW w:w="1046" w:type="dxa"/>
          </w:tcPr>
          <w:p>
            <w:pPr>
              <w:pStyle w:val="42"/>
              <w:spacing w:after="0" w:line="600" w:lineRule="exact"/>
              <w:jc w:val="both"/>
              <w:rPr>
                <w:rFonts w:ascii="宋体" w:hAnsi="宋体" w:eastAsia="宋体" w:cs="宋体"/>
                <w:b w:val="0"/>
                <w:bCs w:val="0"/>
                <w:color w:val="auto"/>
                <w:sz w:val="21"/>
                <w:szCs w:val="21"/>
                <w:highlight w:val="none"/>
              </w:rPr>
            </w:pPr>
          </w:p>
        </w:tc>
        <w:tc>
          <w:tcPr>
            <w:tcW w:w="97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435" w:type="dxa"/>
          </w:tcPr>
          <w:p>
            <w:pPr>
              <w:pStyle w:val="42"/>
              <w:spacing w:after="0" w:line="600" w:lineRule="exact"/>
              <w:jc w:val="both"/>
              <w:rPr>
                <w:rFonts w:ascii="宋体" w:hAnsi="宋体" w:eastAsia="宋体" w:cs="宋体"/>
                <w:b w:val="0"/>
                <w:bCs w:val="0"/>
                <w:color w:val="auto"/>
                <w:sz w:val="21"/>
                <w:szCs w:val="21"/>
                <w:highlight w:val="none"/>
              </w:rPr>
            </w:pPr>
          </w:p>
        </w:tc>
        <w:tc>
          <w:tcPr>
            <w:tcW w:w="1345" w:type="dxa"/>
          </w:tcPr>
          <w:p>
            <w:pPr>
              <w:pStyle w:val="42"/>
              <w:spacing w:after="0" w:line="600" w:lineRule="exact"/>
              <w:jc w:val="both"/>
              <w:rPr>
                <w:rFonts w:ascii="宋体" w:hAnsi="宋体" w:eastAsia="宋体" w:cs="宋体"/>
                <w:b w:val="0"/>
                <w:bCs w:val="0"/>
                <w:color w:val="auto"/>
                <w:sz w:val="21"/>
                <w:szCs w:val="21"/>
                <w:highlight w:val="none"/>
              </w:rPr>
            </w:pPr>
          </w:p>
        </w:tc>
        <w:tc>
          <w:tcPr>
            <w:tcW w:w="1211" w:type="dxa"/>
          </w:tcPr>
          <w:p>
            <w:pPr>
              <w:pStyle w:val="42"/>
              <w:spacing w:after="0" w:line="600" w:lineRule="exact"/>
              <w:jc w:val="both"/>
              <w:rPr>
                <w:rFonts w:ascii="宋体" w:hAnsi="宋体" w:eastAsia="宋体" w:cs="宋体"/>
                <w:b w:val="0"/>
                <w:bCs w:val="0"/>
                <w:color w:val="auto"/>
                <w:sz w:val="21"/>
                <w:szCs w:val="21"/>
                <w:highlight w:val="none"/>
              </w:rPr>
            </w:pPr>
          </w:p>
        </w:tc>
        <w:tc>
          <w:tcPr>
            <w:tcW w:w="1121" w:type="dxa"/>
          </w:tcPr>
          <w:p>
            <w:pPr>
              <w:pStyle w:val="42"/>
              <w:spacing w:after="0" w:line="600" w:lineRule="exact"/>
              <w:jc w:val="both"/>
              <w:rPr>
                <w:rFonts w:ascii="宋体" w:hAnsi="宋体" w:eastAsia="宋体" w:cs="宋体"/>
                <w:b w:val="0"/>
                <w:bCs w:val="0"/>
                <w:color w:val="auto"/>
                <w:sz w:val="21"/>
                <w:szCs w:val="21"/>
                <w:highlight w:val="none"/>
              </w:rPr>
            </w:pPr>
          </w:p>
        </w:tc>
        <w:tc>
          <w:tcPr>
            <w:tcW w:w="1063" w:type="dxa"/>
          </w:tcPr>
          <w:p>
            <w:pPr>
              <w:pStyle w:val="42"/>
              <w:spacing w:after="0" w:line="600" w:lineRule="exact"/>
              <w:jc w:val="both"/>
              <w:rPr>
                <w:rFonts w:ascii="宋体" w:hAnsi="宋体" w:eastAsia="宋体" w:cs="宋体"/>
                <w:b w:val="0"/>
                <w:bCs w:val="0"/>
                <w:color w:val="auto"/>
                <w:sz w:val="21"/>
                <w:szCs w:val="21"/>
                <w:highlight w:val="none"/>
              </w:rPr>
            </w:pPr>
          </w:p>
        </w:tc>
        <w:tc>
          <w:tcPr>
            <w:tcW w:w="1196" w:type="dxa"/>
          </w:tcPr>
          <w:p>
            <w:pPr>
              <w:pStyle w:val="42"/>
              <w:spacing w:after="0" w:line="600" w:lineRule="exact"/>
              <w:jc w:val="both"/>
              <w:rPr>
                <w:rFonts w:ascii="宋体" w:hAnsi="宋体" w:eastAsia="宋体" w:cs="宋体"/>
                <w:b w:val="0"/>
                <w:bCs w:val="0"/>
                <w:color w:val="auto"/>
                <w:sz w:val="21"/>
                <w:szCs w:val="21"/>
                <w:highlight w:val="none"/>
              </w:rPr>
            </w:pPr>
          </w:p>
        </w:tc>
        <w:tc>
          <w:tcPr>
            <w:tcW w:w="1256" w:type="dxa"/>
          </w:tcPr>
          <w:p>
            <w:pPr>
              <w:pStyle w:val="42"/>
              <w:spacing w:after="0" w:line="600" w:lineRule="exact"/>
              <w:jc w:val="both"/>
              <w:rPr>
                <w:rFonts w:ascii="宋体" w:hAnsi="宋体" w:eastAsia="宋体" w:cs="宋体"/>
                <w:b w:val="0"/>
                <w:bCs w:val="0"/>
                <w:color w:val="auto"/>
                <w:sz w:val="21"/>
                <w:szCs w:val="21"/>
                <w:highlight w:val="none"/>
              </w:rPr>
            </w:pPr>
          </w:p>
        </w:tc>
        <w:tc>
          <w:tcPr>
            <w:tcW w:w="1272" w:type="dxa"/>
          </w:tcPr>
          <w:p>
            <w:pPr>
              <w:pStyle w:val="42"/>
              <w:spacing w:after="0" w:line="600" w:lineRule="exact"/>
              <w:jc w:val="both"/>
              <w:rPr>
                <w:rFonts w:ascii="宋体" w:hAnsi="宋体" w:eastAsia="宋体" w:cs="宋体"/>
                <w:b w:val="0"/>
                <w:bCs w:val="0"/>
                <w:color w:val="auto"/>
                <w:sz w:val="21"/>
                <w:szCs w:val="21"/>
                <w:highlight w:val="none"/>
              </w:rPr>
            </w:pPr>
          </w:p>
        </w:tc>
      </w:tr>
    </w:tbl>
    <w:p>
      <w:pPr>
        <w:pStyle w:val="42"/>
        <w:spacing w:after="0" w:line="600" w:lineRule="exact"/>
        <w:rPr>
          <w:b w:val="0"/>
          <w:bCs w:val="0"/>
          <w:color w:val="auto"/>
          <w:highlight w:val="none"/>
        </w:rPr>
        <w:sectPr>
          <w:pgSz w:w="16838" w:h="11905" w:orient="landscape"/>
          <w:pgMar w:top="1417" w:right="1247" w:bottom="1417" w:left="1247" w:header="0" w:footer="850" w:gutter="0"/>
          <w:cols w:space="0" w:num="1"/>
          <w:docGrid w:linePitch="360" w:charSpace="0"/>
        </w:sectPr>
      </w:pPr>
      <w:r>
        <w:rPr>
          <w:b w:val="0"/>
          <w:bCs w:val="0"/>
          <w:color w:val="auto"/>
          <w:highlight w:val="none"/>
        </w:rPr>
        <w:br w:type="page"/>
      </w:r>
    </w:p>
    <w:p>
      <w:pPr>
        <w:pStyle w:val="30"/>
        <w:spacing w:before="240" w:after="420" w:line="240" w:lineRule="auto"/>
        <w:ind w:firstLine="0"/>
        <w:jc w:val="center"/>
        <w:rPr>
          <w:b/>
          <w:bCs/>
          <w:color w:val="auto"/>
          <w:sz w:val="32"/>
          <w:szCs w:val="32"/>
          <w:highlight w:val="none"/>
        </w:rPr>
      </w:pPr>
      <w:r>
        <w:rPr>
          <w:b/>
          <w:bCs/>
          <w:color w:val="auto"/>
          <w:sz w:val="32"/>
          <w:szCs w:val="32"/>
          <w:highlight w:val="none"/>
        </w:rPr>
        <w:t>招标人供应材料价格表</w:t>
      </w:r>
    </w:p>
    <w:p>
      <w:pPr>
        <w:pStyle w:val="35"/>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3"/>
        <w:tblW w:w="94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807"/>
        <w:gridCol w:w="1673"/>
        <w:gridCol w:w="1340"/>
        <w:gridCol w:w="1646"/>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规格型号</w:t>
            </w: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供应价（元）</w:t>
            </w: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bl>
    <w:p>
      <w:pPr>
        <w:rPr>
          <w:color w:val="auto"/>
          <w:highlight w:val="none"/>
        </w:rPr>
      </w:pPr>
    </w:p>
    <w:p>
      <w:pPr>
        <w:rPr>
          <w:color w:val="auto"/>
          <w:highlight w:val="none"/>
        </w:rPr>
      </w:pPr>
      <w:r>
        <w:rPr>
          <w:color w:val="auto"/>
          <w:highlight w:val="none"/>
        </w:rPr>
        <w:br w:type="page"/>
      </w:r>
    </w:p>
    <w:p>
      <w:pPr>
        <w:pStyle w:val="30"/>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主要材料用量及预算价格汇总表</w:t>
      </w:r>
    </w:p>
    <w:p>
      <w:pPr>
        <w:pStyle w:val="35"/>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23"/>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980"/>
        <w:gridCol w:w="1875"/>
        <w:gridCol w:w="765"/>
        <w:gridCol w:w="945"/>
        <w:gridCol w:w="1020"/>
        <w:gridCol w:w="1126"/>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80"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875"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765"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945"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20"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c>
          <w:tcPr>
            <w:tcW w:w="1126"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材料补差（元）</w:t>
            </w:r>
          </w:p>
        </w:tc>
        <w:tc>
          <w:tcPr>
            <w:tcW w:w="969" w:type="dxa"/>
            <w:vAlign w:val="center"/>
          </w:tcPr>
          <w:p>
            <w:pPr>
              <w:pStyle w:val="35"/>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5"/>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5"/>
              <w:tabs>
                <w:tab w:val="left" w:pos="6432"/>
                <w:tab w:val="left" w:pos="10080"/>
              </w:tabs>
              <w:spacing w:line="460" w:lineRule="exact"/>
              <w:jc w:val="center"/>
              <w:rPr>
                <w:color w:val="auto"/>
                <w:sz w:val="21"/>
                <w:szCs w:val="21"/>
                <w:highlight w:val="none"/>
                <w:lang w:val="en-US" w:eastAsia="zh-CN"/>
              </w:rPr>
            </w:pPr>
          </w:p>
        </w:tc>
      </w:tr>
    </w:tbl>
    <w:p>
      <w:pPr>
        <w:pStyle w:val="42"/>
        <w:spacing w:after="0" w:line="240" w:lineRule="auto"/>
        <w:jc w:val="center"/>
        <w:rPr>
          <w:color w:val="auto"/>
          <w:highlight w:val="none"/>
        </w:rPr>
      </w:pPr>
    </w:p>
    <w:p>
      <w:pPr>
        <w:rPr>
          <w:color w:val="auto"/>
          <w:highlight w:val="none"/>
        </w:rPr>
      </w:pPr>
    </w:p>
    <w:p>
      <w:pPr>
        <w:pStyle w:val="42"/>
        <w:spacing w:after="0" w:line="600" w:lineRule="exact"/>
        <w:rPr>
          <w:color w:val="auto"/>
          <w:sz w:val="21"/>
          <w:szCs w:val="21"/>
          <w:highlight w:val="none"/>
          <w:lang w:val="en-US" w:eastAsia="zh-CN"/>
        </w:rPr>
      </w:pPr>
    </w:p>
    <w:p>
      <w:pPr>
        <w:rPr>
          <w:color w:val="auto"/>
          <w:highlight w:val="none"/>
        </w:rPr>
      </w:pPr>
    </w:p>
    <w:p>
      <w:pPr>
        <w:pStyle w:val="42"/>
        <w:spacing w:after="0" w:line="240" w:lineRule="auto"/>
        <w:jc w:val="center"/>
        <w:rPr>
          <w:color w:val="auto"/>
          <w:highlight w:val="none"/>
        </w:rPr>
      </w:pPr>
    </w:p>
    <w:p>
      <w:pPr>
        <w:pStyle w:val="42"/>
        <w:spacing w:after="0" w:line="240" w:lineRule="auto"/>
        <w:jc w:val="center"/>
        <w:rPr>
          <w:color w:val="auto"/>
          <w:highlight w:val="none"/>
        </w:rPr>
        <w:sectPr>
          <w:pgSz w:w="11905" w:h="16838"/>
          <w:pgMar w:top="1247" w:right="1417" w:bottom="1247" w:left="1417" w:header="0" w:footer="850" w:gutter="0"/>
          <w:cols w:space="0" w:num="1"/>
          <w:docGrid w:linePitch="360" w:charSpace="0"/>
        </w:sectPr>
      </w:pPr>
    </w:p>
    <w:p>
      <w:pPr>
        <w:pStyle w:val="42"/>
        <w:spacing w:after="0" w:line="240" w:lineRule="auto"/>
        <w:jc w:val="center"/>
        <w:rPr>
          <w:color w:val="auto"/>
          <w:highlight w:val="none"/>
        </w:rPr>
      </w:pPr>
    </w:p>
    <w:p>
      <w:pPr>
        <w:pStyle w:val="42"/>
        <w:spacing w:after="0" w:line="240" w:lineRule="auto"/>
        <w:jc w:val="center"/>
        <w:rPr>
          <w:rFonts w:eastAsia="宋体"/>
          <w:color w:val="auto"/>
          <w:highlight w:val="none"/>
          <w:lang w:val="en-US" w:eastAsia="zh-CN"/>
        </w:rPr>
      </w:pPr>
      <w:r>
        <w:rPr>
          <w:rFonts w:hint="eastAsia" w:eastAsia="宋体"/>
          <w:color w:val="auto"/>
          <w:highlight w:val="none"/>
          <w:lang w:val="en-US" w:eastAsia="zh-CN"/>
        </w:rPr>
        <w:t>施工机械台班费汇总表</w:t>
      </w:r>
    </w:p>
    <w:p>
      <w:pPr>
        <w:pStyle w:val="42"/>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23"/>
        <w:tblW w:w="14987"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350"/>
        <w:gridCol w:w="1275"/>
        <w:gridCol w:w="1185"/>
        <w:gridCol w:w="1110"/>
        <w:gridCol w:w="1200"/>
        <w:gridCol w:w="1110"/>
        <w:gridCol w:w="1245"/>
        <w:gridCol w:w="1080"/>
        <w:gridCol w:w="1110"/>
        <w:gridCol w:w="1020"/>
        <w:gridCol w:w="1260"/>
        <w:gridCol w:w="1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350"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机械</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名称</w:t>
            </w:r>
          </w:p>
        </w:tc>
        <w:tc>
          <w:tcPr>
            <w:tcW w:w="1275"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型号</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规格</w:t>
            </w:r>
          </w:p>
        </w:tc>
        <w:tc>
          <w:tcPr>
            <w:tcW w:w="1185"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一类</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费用</w:t>
            </w:r>
          </w:p>
        </w:tc>
        <w:tc>
          <w:tcPr>
            <w:tcW w:w="7875" w:type="dxa"/>
            <w:gridSpan w:val="7"/>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二类费用</w:t>
            </w:r>
          </w:p>
        </w:tc>
        <w:tc>
          <w:tcPr>
            <w:tcW w:w="1260"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合计</w:t>
            </w:r>
          </w:p>
        </w:tc>
        <w:tc>
          <w:tcPr>
            <w:tcW w:w="1277"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65"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人工</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（工日）</w:t>
            </w:r>
          </w:p>
        </w:tc>
        <w:tc>
          <w:tcPr>
            <w:tcW w:w="1200"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汽油</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110"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柴油</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245"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（kW·h）</w:t>
            </w:r>
          </w:p>
        </w:tc>
        <w:tc>
          <w:tcPr>
            <w:tcW w:w="1080"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风</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（m³）</w:t>
            </w:r>
          </w:p>
        </w:tc>
        <w:tc>
          <w:tcPr>
            <w:tcW w:w="1110"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w:t>
            </w:r>
          </w:p>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（t）</w:t>
            </w:r>
          </w:p>
        </w:tc>
        <w:tc>
          <w:tcPr>
            <w:tcW w:w="1020" w:type="dxa"/>
            <w:vMerge w:val="restart"/>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小计</w:t>
            </w:r>
          </w:p>
        </w:tc>
        <w:tc>
          <w:tcPr>
            <w:tcW w:w="1260"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65"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42"/>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00"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42"/>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45"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80" w:type="dxa"/>
            <w:vAlign w:val="center"/>
          </w:tcPr>
          <w:p>
            <w:pPr>
              <w:pStyle w:val="42"/>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42"/>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020"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260"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42"/>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highlight w:val="none"/>
              </w:rPr>
            </w:pPr>
          </w:p>
        </w:tc>
        <w:tc>
          <w:tcPr>
            <w:tcW w:w="1350" w:type="dxa"/>
          </w:tcPr>
          <w:p>
            <w:pPr>
              <w:pStyle w:val="42"/>
              <w:spacing w:after="0" w:line="600" w:lineRule="exact"/>
              <w:jc w:val="both"/>
              <w:rPr>
                <w:rFonts w:ascii="宋体" w:hAnsi="宋体" w:eastAsia="宋体" w:cs="宋体"/>
                <w:b w:val="0"/>
                <w:bCs w:val="0"/>
                <w:color w:val="auto"/>
                <w:sz w:val="21"/>
                <w:szCs w:val="21"/>
                <w:highlight w:val="none"/>
              </w:rPr>
            </w:pPr>
          </w:p>
        </w:tc>
        <w:tc>
          <w:tcPr>
            <w:tcW w:w="1275" w:type="dxa"/>
          </w:tcPr>
          <w:p>
            <w:pPr>
              <w:pStyle w:val="42"/>
              <w:spacing w:after="0" w:line="600" w:lineRule="exact"/>
              <w:jc w:val="both"/>
              <w:rPr>
                <w:rFonts w:ascii="宋体" w:hAnsi="宋体" w:eastAsia="宋体" w:cs="宋体"/>
                <w:b w:val="0"/>
                <w:bCs w:val="0"/>
                <w:color w:val="auto"/>
                <w:sz w:val="21"/>
                <w:szCs w:val="21"/>
                <w:highlight w:val="none"/>
              </w:rPr>
            </w:pPr>
          </w:p>
        </w:tc>
        <w:tc>
          <w:tcPr>
            <w:tcW w:w="1185"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0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45" w:type="dxa"/>
          </w:tcPr>
          <w:p>
            <w:pPr>
              <w:pStyle w:val="42"/>
              <w:spacing w:after="0" w:line="600" w:lineRule="exact"/>
              <w:jc w:val="both"/>
              <w:rPr>
                <w:rFonts w:ascii="宋体" w:hAnsi="宋体" w:eastAsia="宋体" w:cs="宋体"/>
                <w:b w:val="0"/>
                <w:bCs w:val="0"/>
                <w:color w:val="auto"/>
                <w:sz w:val="21"/>
                <w:szCs w:val="21"/>
                <w:highlight w:val="none"/>
              </w:rPr>
            </w:pPr>
          </w:p>
        </w:tc>
        <w:tc>
          <w:tcPr>
            <w:tcW w:w="108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020" w:type="dxa"/>
          </w:tcPr>
          <w:p>
            <w:pPr>
              <w:pStyle w:val="42"/>
              <w:spacing w:after="0" w:line="600" w:lineRule="exact"/>
              <w:jc w:val="both"/>
              <w:rPr>
                <w:rFonts w:ascii="宋体" w:hAnsi="宋体" w:eastAsia="宋体" w:cs="宋体"/>
                <w:b w:val="0"/>
                <w:bCs w:val="0"/>
                <w:color w:val="auto"/>
                <w:sz w:val="21"/>
                <w:szCs w:val="21"/>
                <w:highlight w:val="none"/>
              </w:rPr>
            </w:pPr>
          </w:p>
        </w:tc>
        <w:tc>
          <w:tcPr>
            <w:tcW w:w="1260" w:type="dxa"/>
          </w:tcPr>
          <w:p>
            <w:pPr>
              <w:pStyle w:val="42"/>
              <w:spacing w:after="0" w:line="600" w:lineRule="exact"/>
              <w:jc w:val="both"/>
              <w:rPr>
                <w:rFonts w:ascii="宋体" w:hAnsi="宋体" w:eastAsia="宋体" w:cs="宋体"/>
                <w:b w:val="0"/>
                <w:bCs w:val="0"/>
                <w:color w:val="auto"/>
                <w:sz w:val="21"/>
                <w:szCs w:val="21"/>
                <w:highlight w:val="none"/>
              </w:rPr>
            </w:pPr>
          </w:p>
        </w:tc>
        <w:tc>
          <w:tcPr>
            <w:tcW w:w="1277"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highlight w:val="none"/>
              </w:rPr>
            </w:pPr>
          </w:p>
        </w:tc>
        <w:tc>
          <w:tcPr>
            <w:tcW w:w="1350" w:type="dxa"/>
          </w:tcPr>
          <w:p>
            <w:pPr>
              <w:pStyle w:val="42"/>
              <w:spacing w:after="0" w:line="600" w:lineRule="exact"/>
              <w:jc w:val="both"/>
              <w:rPr>
                <w:rFonts w:ascii="宋体" w:hAnsi="宋体" w:eastAsia="宋体" w:cs="宋体"/>
                <w:b w:val="0"/>
                <w:bCs w:val="0"/>
                <w:color w:val="auto"/>
                <w:sz w:val="21"/>
                <w:szCs w:val="21"/>
                <w:highlight w:val="none"/>
              </w:rPr>
            </w:pPr>
          </w:p>
        </w:tc>
        <w:tc>
          <w:tcPr>
            <w:tcW w:w="1275" w:type="dxa"/>
          </w:tcPr>
          <w:p>
            <w:pPr>
              <w:pStyle w:val="42"/>
              <w:spacing w:after="0" w:line="600" w:lineRule="exact"/>
              <w:jc w:val="both"/>
              <w:rPr>
                <w:rFonts w:ascii="宋体" w:hAnsi="宋体" w:eastAsia="宋体" w:cs="宋体"/>
                <w:b w:val="0"/>
                <w:bCs w:val="0"/>
                <w:color w:val="auto"/>
                <w:sz w:val="21"/>
                <w:szCs w:val="21"/>
                <w:highlight w:val="none"/>
              </w:rPr>
            </w:pPr>
          </w:p>
        </w:tc>
        <w:tc>
          <w:tcPr>
            <w:tcW w:w="1185"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0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45" w:type="dxa"/>
          </w:tcPr>
          <w:p>
            <w:pPr>
              <w:pStyle w:val="42"/>
              <w:spacing w:after="0" w:line="600" w:lineRule="exact"/>
              <w:jc w:val="both"/>
              <w:rPr>
                <w:rFonts w:ascii="宋体" w:hAnsi="宋体" w:eastAsia="宋体" w:cs="宋体"/>
                <w:b w:val="0"/>
                <w:bCs w:val="0"/>
                <w:color w:val="auto"/>
                <w:sz w:val="21"/>
                <w:szCs w:val="21"/>
                <w:highlight w:val="none"/>
              </w:rPr>
            </w:pPr>
          </w:p>
        </w:tc>
        <w:tc>
          <w:tcPr>
            <w:tcW w:w="108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020" w:type="dxa"/>
          </w:tcPr>
          <w:p>
            <w:pPr>
              <w:pStyle w:val="42"/>
              <w:spacing w:after="0" w:line="600" w:lineRule="exact"/>
              <w:jc w:val="both"/>
              <w:rPr>
                <w:rFonts w:ascii="宋体" w:hAnsi="宋体" w:eastAsia="宋体" w:cs="宋体"/>
                <w:b w:val="0"/>
                <w:bCs w:val="0"/>
                <w:color w:val="auto"/>
                <w:sz w:val="21"/>
                <w:szCs w:val="21"/>
                <w:highlight w:val="none"/>
              </w:rPr>
            </w:pPr>
          </w:p>
        </w:tc>
        <w:tc>
          <w:tcPr>
            <w:tcW w:w="1260" w:type="dxa"/>
          </w:tcPr>
          <w:p>
            <w:pPr>
              <w:pStyle w:val="42"/>
              <w:spacing w:after="0" w:line="600" w:lineRule="exact"/>
              <w:jc w:val="both"/>
              <w:rPr>
                <w:rFonts w:ascii="宋体" w:hAnsi="宋体" w:eastAsia="宋体" w:cs="宋体"/>
                <w:b w:val="0"/>
                <w:bCs w:val="0"/>
                <w:color w:val="auto"/>
                <w:sz w:val="21"/>
                <w:szCs w:val="21"/>
                <w:highlight w:val="none"/>
              </w:rPr>
            </w:pPr>
          </w:p>
        </w:tc>
        <w:tc>
          <w:tcPr>
            <w:tcW w:w="1277"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highlight w:val="none"/>
              </w:rPr>
            </w:pPr>
          </w:p>
        </w:tc>
        <w:tc>
          <w:tcPr>
            <w:tcW w:w="1350" w:type="dxa"/>
          </w:tcPr>
          <w:p>
            <w:pPr>
              <w:pStyle w:val="42"/>
              <w:spacing w:after="0" w:line="600" w:lineRule="exact"/>
              <w:jc w:val="both"/>
              <w:rPr>
                <w:rFonts w:ascii="宋体" w:hAnsi="宋体" w:eastAsia="宋体" w:cs="宋体"/>
                <w:b w:val="0"/>
                <w:bCs w:val="0"/>
                <w:color w:val="auto"/>
                <w:sz w:val="21"/>
                <w:szCs w:val="21"/>
                <w:highlight w:val="none"/>
              </w:rPr>
            </w:pPr>
          </w:p>
        </w:tc>
        <w:tc>
          <w:tcPr>
            <w:tcW w:w="1275" w:type="dxa"/>
          </w:tcPr>
          <w:p>
            <w:pPr>
              <w:pStyle w:val="42"/>
              <w:spacing w:after="0" w:line="600" w:lineRule="exact"/>
              <w:jc w:val="both"/>
              <w:rPr>
                <w:rFonts w:ascii="宋体" w:hAnsi="宋体" w:eastAsia="宋体" w:cs="宋体"/>
                <w:b w:val="0"/>
                <w:bCs w:val="0"/>
                <w:color w:val="auto"/>
                <w:sz w:val="21"/>
                <w:szCs w:val="21"/>
                <w:highlight w:val="none"/>
              </w:rPr>
            </w:pPr>
          </w:p>
        </w:tc>
        <w:tc>
          <w:tcPr>
            <w:tcW w:w="1185"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0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45" w:type="dxa"/>
          </w:tcPr>
          <w:p>
            <w:pPr>
              <w:pStyle w:val="42"/>
              <w:spacing w:after="0" w:line="600" w:lineRule="exact"/>
              <w:jc w:val="both"/>
              <w:rPr>
                <w:rFonts w:ascii="宋体" w:hAnsi="宋体" w:eastAsia="宋体" w:cs="宋体"/>
                <w:b w:val="0"/>
                <w:bCs w:val="0"/>
                <w:color w:val="auto"/>
                <w:sz w:val="21"/>
                <w:szCs w:val="21"/>
                <w:highlight w:val="none"/>
              </w:rPr>
            </w:pPr>
          </w:p>
        </w:tc>
        <w:tc>
          <w:tcPr>
            <w:tcW w:w="108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020" w:type="dxa"/>
          </w:tcPr>
          <w:p>
            <w:pPr>
              <w:pStyle w:val="42"/>
              <w:spacing w:after="0" w:line="600" w:lineRule="exact"/>
              <w:jc w:val="both"/>
              <w:rPr>
                <w:rFonts w:ascii="宋体" w:hAnsi="宋体" w:eastAsia="宋体" w:cs="宋体"/>
                <w:b w:val="0"/>
                <w:bCs w:val="0"/>
                <w:color w:val="auto"/>
                <w:sz w:val="21"/>
                <w:szCs w:val="21"/>
                <w:highlight w:val="none"/>
              </w:rPr>
            </w:pPr>
          </w:p>
        </w:tc>
        <w:tc>
          <w:tcPr>
            <w:tcW w:w="1260" w:type="dxa"/>
          </w:tcPr>
          <w:p>
            <w:pPr>
              <w:pStyle w:val="42"/>
              <w:spacing w:after="0" w:line="600" w:lineRule="exact"/>
              <w:jc w:val="both"/>
              <w:rPr>
                <w:rFonts w:ascii="宋体" w:hAnsi="宋体" w:eastAsia="宋体" w:cs="宋体"/>
                <w:b w:val="0"/>
                <w:bCs w:val="0"/>
                <w:color w:val="auto"/>
                <w:sz w:val="21"/>
                <w:szCs w:val="21"/>
                <w:highlight w:val="none"/>
              </w:rPr>
            </w:pPr>
          </w:p>
        </w:tc>
        <w:tc>
          <w:tcPr>
            <w:tcW w:w="1277"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highlight w:val="none"/>
              </w:rPr>
            </w:pPr>
          </w:p>
        </w:tc>
        <w:tc>
          <w:tcPr>
            <w:tcW w:w="1350" w:type="dxa"/>
          </w:tcPr>
          <w:p>
            <w:pPr>
              <w:pStyle w:val="42"/>
              <w:spacing w:after="0" w:line="600" w:lineRule="exact"/>
              <w:jc w:val="both"/>
              <w:rPr>
                <w:rFonts w:ascii="宋体" w:hAnsi="宋体" w:eastAsia="宋体" w:cs="宋体"/>
                <w:b w:val="0"/>
                <w:bCs w:val="0"/>
                <w:color w:val="auto"/>
                <w:sz w:val="21"/>
                <w:szCs w:val="21"/>
                <w:highlight w:val="none"/>
              </w:rPr>
            </w:pPr>
          </w:p>
        </w:tc>
        <w:tc>
          <w:tcPr>
            <w:tcW w:w="1275" w:type="dxa"/>
          </w:tcPr>
          <w:p>
            <w:pPr>
              <w:pStyle w:val="42"/>
              <w:spacing w:after="0" w:line="600" w:lineRule="exact"/>
              <w:jc w:val="both"/>
              <w:rPr>
                <w:rFonts w:ascii="宋体" w:hAnsi="宋体" w:eastAsia="宋体" w:cs="宋体"/>
                <w:b w:val="0"/>
                <w:bCs w:val="0"/>
                <w:color w:val="auto"/>
                <w:sz w:val="21"/>
                <w:szCs w:val="21"/>
                <w:highlight w:val="none"/>
              </w:rPr>
            </w:pPr>
          </w:p>
        </w:tc>
        <w:tc>
          <w:tcPr>
            <w:tcW w:w="1185"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0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45" w:type="dxa"/>
          </w:tcPr>
          <w:p>
            <w:pPr>
              <w:pStyle w:val="42"/>
              <w:spacing w:after="0" w:line="600" w:lineRule="exact"/>
              <w:jc w:val="both"/>
              <w:rPr>
                <w:rFonts w:ascii="宋体" w:hAnsi="宋体" w:eastAsia="宋体" w:cs="宋体"/>
                <w:b w:val="0"/>
                <w:bCs w:val="0"/>
                <w:color w:val="auto"/>
                <w:sz w:val="21"/>
                <w:szCs w:val="21"/>
                <w:highlight w:val="none"/>
              </w:rPr>
            </w:pPr>
          </w:p>
        </w:tc>
        <w:tc>
          <w:tcPr>
            <w:tcW w:w="108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020" w:type="dxa"/>
          </w:tcPr>
          <w:p>
            <w:pPr>
              <w:pStyle w:val="42"/>
              <w:spacing w:after="0" w:line="600" w:lineRule="exact"/>
              <w:jc w:val="both"/>
              <w:rPr>
                <w:rFonts w:ascii="宋体" w:hAnsi="宋体" w:eastAsia="宋体" w:cs="宋体"/>
                <w:b w:val="0"/>
                <w:bCs w:val="0"/>
                <w:color w:val="auto"/>
                <w:sz w:val="21"/>
                <w:szCs w:val="21"/>
                <w:highlight w:val="none"/>
              </w:rPr>
            </w:pPr>
          </w:p>
        </w:tc>
        <w:tc>
          <w:tcPr>
            <w:tcW w:w="1260" w:type="dxa"/>
          </w:tcPr>
          <w:p>
            <w:pPr>
              <w:pStyle w:val="42"/>
              <w:spacing w:after="0" w:line="600" w:lineRule="exact"/>
              <w:jc w:val="both"/>
              <w:rPr>
                <w:rFonts w:ascii="宋体" w:hAnsi="宋体" w:eastAsia="宋体" w:cs="宋体"/>
                <w:b w:val="0"/>
                <w:bCs w:val="0"/>
                <w:color w:val="auto"/>
                <w:sz w:val="21"/>
                <w:szCs w:val="21"/>
                <w:highlight w:val="none"/>
              </w:rPr>
            </w:pPr>
          </w:p>
        </w:tc>
        <w:tc>
          <w:tcPr>
            <w:tcW w:w="1277"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highlight w:val="none"/>
              </w:rPr>
            </w:pPr>
          </w:p>
        </w:tc>
        <w:tc>
          <w:tcPr>
            <w:tcW w:w="1350" w:type="dxa"/>
          </w:tcPr>
          <w:p>
            <w:pPr>
              <w:pStyle w:val="42"/>
              <w:spacing w:after="0" w:line="600" w:lineRule="exact"/>
              <w:jc w:val="both"/>
              <w:rPr>
                <w:rFonts w:ascii="宋体" w:hAnsi="宋体" w:eastAsia="宋体" w:cs="宋体"/>
                <w:b w:val="0"/>
                <w:bCs w:val="0"/>
                <w:color w:val="auto"/>
                <w:sz w:val="21"/>
                <w:szCs w:val="21"/>
                <w:highlight w:val="none"/>
              </w:rPr>
            </w:pPr>
          </w:p>
        </w:tc>
        <w:tc>
          <w:tcPr>
            <w:tcW w:w="1275" w:type="dxa"/>
          </w:tcPr>
          <w:p>
            <w:pPr>
              <w:pStyle w:val="42"/>
              <w:spacing w:after="0" w:line="600" w:lineRule="exact"/>
              <w:jc w:val="both"/>
              <w:rPr>
                <w:rFonts w:ascii="宋体" w:hAnsi="宋体" w:eastAsia="宋体" w:cs="宋体"/>
                <w:b w:val="0"/>
                <w:bCs w:val="0"/>
                <w:color w:val="auto"/>
                <w:sz w:val="21"/>
                <w:szCs w:val="21"/>
                <w:highlight w:val="none"/>
              </w:rPr>
            </w:pPr>
          </w:p>
        </w:tc>
        <w:tc>
          <w:tcPr>
            <w:tcW w:w="1185"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0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45" w:type="dxa"/>
          </w:tcPr>
          <w:p>
            <w:pPr>
              <w:pStyle w:val="42"/>
              <w:spacing w:after="0" w:line="600" w:lineRule="exact"/>
              <w:jc w:val="both"/>
              <w:rPr>
                <w:rFonts w:ascii="宋体" w:hAnsi="宋体" w:eastAsia="宋体" w:cs="宋体"/>
                <w:b w:val="0"/>
                <w:bCs w:val="0"/>
                <w:color w:val="auto"/>
                <w:sz w:val="21"/>
                <w:szCs w:val="21"/>
                <w:highlight w:val="none"/>
              </w:rPr>
            </w:pPr>
          </w:p>
        </w:tc>
        <w:tc>
          <w:tcPr>
            <w:tcW w:w="108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020" w:type="dxa"/>
          </w:tcPr>
          <w:p>
            <w:pPr>
              <w:pStyle w:val="42"/>
              <w:spacing w:after="0" w:line="600" w:lineRule="exact"/>
              <w:jc w:val="both"/>
              <w:rPr>
                <w:rFonts w:ascii="宋体" w:hAnsi="宋体" w:eastAsia="宋体" w:cs="宋体"/>
                <w:b w:val="0"/>
                <w:bCs w:val="0"/>
                <w:color w:val="auto"/>
                <w:sz w:val="21"/>
                <w:szCs w:val="21"/>
                <w:highlight w:val="none"/>
              </w:rPr>
            </w:pPr>
          </w:p>
        </w:tc>
        <w:tc>
          <w:tcPr>
            <w:tcW w:w="1260" w:type="dxa"/>
          </w:tcPr>
          <w:p>
            <w:pPr>
              <w:pStyle w:val="42"/>
              <w:spacing w:after="0" w:line="600" w:lineRule="exact"/>
              <w:jc w:val="both"/>
              <w:rPr>
                <w:rFonts w:ascii="宋体" w:hAnsi="宋体" w:eastAsia="宋体" w:cs="宋体"/>
                <w:b w:val="0"/>
                <w:bCs w:val="0"/>
                <w:color w:val="auto"/>
                <w:sz w:val="21"/>
                <w:szCs w:val="21"/>
                <w:highlight w:val="none"/>
              </w:rPr>
            </w:pPr>
          </w:p>
        </w:tc>
        <w:tc>
          <w:tcPr>
            <w:tcW w:w="1277"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highlight w:val="none"/>
              </w:rPr>
            </w:pPr>
          </w:p>
        </w:tc>
        <w:tc>
          <w:tcPr>
            <w:tcW w:w="1350" w:type="dxa"/>
          </w:tcPr>
          <w:p>
            <w:pPr>
              <w:pStyle w:val="42"/>
              <w:spacing w:after="0" w:line="600" w:lineRule="exact"/>
              <w:jc w:val="both"/>
              <w:rPr>
                <w:rFonts w:ascii="宋体" w:hAnsi="宋体" w:eastAsia="宋体" w:cs="宋体"/>
                <w:b w:val="0"/>
                <w:bCs w:val="0"/>
                <w:color w:val="auto"/>
                <w:sz w:val="21"/>
                <w:szCs w:val="21"/>
                <w:highlight w:val="none"/>
              </w:rPr>
            </w:pPr>
          </w:p>
        </w:tc>
        <w:tc>
          <w:tcPr>
            <w:tcW w:w="1275" w:type="dxa"/>
          </w:tcPr>
          <w:p>
            <w:pPr>
              <w:pStyle w:val="42"/>
              <w:spacing w:after="0" w:line="600" w:lineRule="exact"/>
              <w:jc w:val="both"/>
              <w:rPr>
                <w:rFonts w:ascii="宋体" w:hAnsi="宋体" w:eastAsia="宋体" w:cs="宋体"/>
                <w:b w:val="0"/>
                <w:bCs w:val="0"/>
                <w:color w:val="auto"/>
                <w:sz w:val="21"/>
                <w:szCs w:val="21"/>
                <w:highlight w:val="none"/>
              </w:rPr>
            </w:pPr>
          </w:p>
        </w:tc>
        <w:tc>
          <w:tcPr>
            <w:tcW w:w="1185"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0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45" w:type="dxa"/>
          </w:tcPr>
          <w:p>
            <w:pPr>
              <w:pStyle w:val="42"/>
              <w:spacing w:after="0" w:line="600" w:lineRule="exact"/>
              <w:jc w:val="both"/>
              <w:rPr>
                <w:rFonts w:ascii="宋体" w:hAnsi="宋体" w:eastAsia="宋体" w:cs="宋体"/>
                <w:b w:val="0"/>
                <w:bCs w:val="0"/>
                <w:color w:val="auto"/>
                <w:sz w:val="21"/>
                <w:szCs w:val="21"/>
                <w:highlight w:val="none"/>
              </w:rPr>
            </w:pPr>
          </w:p>
        </w:tc>
        <w:tc>
          <w:tcPr>
            <w:tcW w:w="108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020" w:type="dxa"/>
          </w:tcPr>
          <w:p>
            <w:pPr>
              <w:pStyle w:val="42"/>
              <w:spacing w:after="0" w:line="600" w:lineRule="exact"/>
              <w:jc w:val="both"/>
              <w:rPr>
                <w:rFonts w:ascii="宋体" w:hAnsi="宋体" w:eastAsia="宋体" w:cs="宋体"/>
                <w:b w:val="0"/>
                <w:bCs w:val="0"/>
                <w:color w:val="auto"/>
                <w:sz w:val="21"/>
                <w:szCs w:val="21"/>
                <w:highlight w:val="none"/>
              </w:rPr>
            </w:pPr>
          </w:p>
        </w:tc>
        <w:tc>
          <w:tcPr>
            <w:tcW w:w="1260" w:type="dxa"/>
          </w:tcPr>
          <w:p>
            <w:pPr>
              <w:pStyle w:val="42"/>
              <w:spacing w:after="0" w:line="600" w:lineRule="exact"/>
              <w:jc w:val="both"/>
              <w:rPr>
                <w:rFonts w:ascii="宋体" w:hAnsi="宋体" w:eastAsia="宋体" w:cs="宋体"/>
                <w:b w:val="0"/>
                <w:bCs w:val="0"/>
                <w:color w:val="auto"/>
                <w:sz w:val="21"/>
                <w:szCs w:val="21"/>
                <w:highlight w:val="none"/>
              </w:rPr>
            </w:pPr>
          </w:p>
        </w:tc>
        <w:tc>
          <w:tcPr>
            <w:tcW w:w="1277"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highlight w:val="none"/>
              </w:rPr>
            </w:pPr>
          </w:p>
        </w:tc>
        <w:tc>
          <w:tcPr>
            <w:tcW w:w="1350" w:type="dxa"/>
          </w:tcPr>
          <w:p>
            <w:pPr>
              <w:pStyle w:val="42"/>
              <w:spacing w:after="0" w:line="600" w:lineRule="exact"/>
              <w:jc w:val="both"/>
              <w:rPr>
                <w:rFonts w:ascii="宋体" w:hAnsi="宋体" w:eastAsia="宋体" w:cs="宋体"/>
                <w:b w:val="0"/>
                <w:bCs w:val="0"/>
                <w:color w:val="auto"/>
                <w:sz w:val="21"/>
                <w:szCs w:val="21"/>
                <w:highlight w:val="none"/>
              </w:rPr>
            </w:pPr>
          </w:p>
        </w:tc>
        <w:tc>
          <w:tcPr>
            <w:tcW w:w="1275" w:type="dxa"/>
          </w:tcPr>
          <w:p>
            <w:pPr>
              <w:pStyle w:val="42"/>
              <w:spacing w:after="0" w:line="600" w:lineRule="exact"/>
              <w:jc w:val="both"/>
              <w:rPr>
                <w:rFonts w:ascii="宋体" w:hAnsi="宋体" w:eastAsia="宋体" w:cs="宋体"/>
                <w:b w:val="0"/>
                <w:bCs w:val="0"/>
                <w:color w:val="auto"/>
                <w:sz w:val="21"/>
                <w:szCs w:val="21"/>
                <w:highlight w:val="none"/>
              </w:rPr>
            </w:pPr>
          </w:p>
        </w:tc>
        <w:tc>
          <w:tcPr>
            <w:tcW w:w="1185"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0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45" w:type="dxa"/>
          </w:tcPr>
          <w:p>
            <w:pPr>
              <w:pStyle w:val="42"/>
              <w:spacing w:after="0" w:line="600" w:lineRule="exact"/>
              <w:jc w:val="both"/>
              <w:rPr>
                <w:rFonts w:ascii="宋体" w:hAnsi="宋体" w:eastAsia="宋体" w:cs="宋体"/>
                <w:b w:val="0"/>
                <w:bCs w:val="0"/>
                <w:color w:val="auto"/>
                <w:sz w:val="21"/>
                <w:szCs w:val="21"/>
                <w:highlight w:val="none"/>
              </w:rPr>
            </w:pPr>
          </w:p>
        </w:tc>
        <w:tc>
          <w:tcPr>
            <w:tcW w:w="108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020" w:type="dxa"/>
          </w:tcPr>
          <w:p>
            <w:pPr>
              <w:pStyle w:val="42"/>
              <w:spacing w:after="0" w:line="600" w:lineRule="exact"/>
              <w:jc w:val="both"/>
              <w:rPr>
                <w:rFonts w:ascii="宋体" w:hAnsi="宋体" w:eastAsia="宋体" w:cs="宋体"/>
                <w:b w:val="0"/>
                <w:bCs w:val="0"/>
                <w:color w:val="auto"/>
                <w:sz w:val="21"/>
                <w:szCs w:val="21"/>
                <w:highlight w:val="none"/>
              </w:rPr>
            </w:pPr>
          </w:p>
        </w:tc>
        <w:tc>
          <w:tcPr>
            <w:tcW w:w="1260" w:type="dxa"/>
          </w:tcPr>
          <w:p>
            <w:pPr>
              <w:pStyle w:val="42"/>
              <w:spacing w:after="0" w:line="600" w:lineRule="exact"/>
              <w:jc w:val="both"/>
              <w:rPr>
                <w:rFonts w:ascii="宋体" w:hAnsi="宋体" w:eastAsia="宋体" w:cs="宋体"/>
                <w:b w:val="0"/>
                <w:bCs w:val="0"/>
                <w:color w:val="auto"/>
                <w:sz w:val="21"/>
                <w:szCs w:val="21"/>
                <w:highlight w:val="none"/>
              </w:rPr>
            </w:pPr>
          </w:p>
        </w:tc>
        <w:tc>
          <w:tcPr>
            <w:tcW w:w="1277" w:type="dxa"/>
          </w:tcPr>
          <w:p>
            <w:pPr>
              <w:pStyle w:val="42"/>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42"/>
              <w:spacing w:after="0" w:line="600" w:lineRule="exact"/>
              <w:jc w:val="both"/>
              <w:rPr>
                <w:rFonts w:ascii="宋体" w:hAnsi="宋体" w:eastAsia="宋体" w:cs="宋体"/>
                <w:b w:val="0"/>
                <w:bCs w:val="0"/>
                <w:color w:val="auto"/>
                <w:sz w:val="21"/>
                <w:szCs w:val="21"/>
                <w:highlight w:val="none"/>
              </w:rPr>
            </w:pPr>
          </w:p>
        </w:tc>
        <w:tc>
          <w:tcPr>
            <w:tcW w:w="1350" w:type="dxa"/>
          </w:tcPr>
          <w:p>
            <w:pPr>
              <w:pStyle w:val="42"/>
              <w:spacing w:after="0" w:line="600" w:lineRule="exact"/>
              <w:jc w:val="both"/>
              <w:rPr>
                <w:rFonts w:ascii="宋体" w:hAnsi="宋体" w:eastAsia="宋体" w:cs="宋体"/>
                <w:b w:val="0"/>
                <w:bCs w:val="0"/>
                <w:color w:val="auto"/>
                <w:sz w:val="21"/>
                <w:szCs w:val="21"/>
                <w:highlight w:val="none"/>
              </w:rPr>
            </w:pPr>
          </w:p>
        </w:tc>
        <w:tc>
          <w:tcPr>
            <w:tcW w:w="1275" w:type="dxa"/>
          </w:tcPr>
          <w:p>
            <w:pPr>
              <w:pStyle w:val="42"/>
              <w:spacing w:after="0" w:line="600" w:lineRule="exact"/>
              <w:jc w:val="both"/>
              <w:rPr>
                <w:rFonts w:ascii="宋体" w:hAnsi="宋体" w:eastAsia="宋体" w:cs="宋体"/>
                <w:b w:val="0"/>
                <w:bCs w:val="0"/>
                <w:color w:val="auto"/>
                <w:sz w:val="21"/>
                <w:szCs w:val="21"/>
                <w:highlight w:val="none"/>
              </w:rPr>
            </w:pPr>
          </w:p>
        </w:tc>
        <w:tc>
          <w:tcPr>
            <w:tcW w:w="1185"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0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245" w:type="dxa"/>
          </w:tcPr>
          <w:p>
            <w:pPr>
              <w:pStyle w:val="42"/>
              <w:spacing w:after="0" w:line="600" w:lineRule="exact"/>
              <w:jc w:val="both"/>
              <w:rPr>
                <w:rFonts w:ascii="宋体" w:hAnsi="宋体" w:eastAsia="宋体" w:cs="宋体"/>
                <w:b w:val="0"/>
                <w:bCs w:val="0"/>
                <w:color w:val="auto"/>
                <w:sz w:val="21"/>
                <w:szCs w:val="21"/>
                <w:highlight w:val="none"/>
              </w:rPr>
            </w:pPr>
          </w:p>
        </w:tc>
        <w:tc>
          <w:tcPr>
            <w:tcW w:w="1080" w:type="dxa"/>
          </w:tcPr>
          <w:p>
            <w:pPr>
              <w:pStyle w:val="42"/>
              <w:spacing w:after="0" w:line="600" w:lineRule="exact"/>
              <w:jc w:val="both"/>
              <w:rPr>
                <w:rFonts w:ascii="宋体" w:hAnsi="宋体" w:eastAsia="宋体" w:cs="宋体"/>
                <w:b w:val="0"/>
                <w:bCs w:val="0"/>
                <w:color w:val="auto"/>
                <w:sz w:val="21"/>
                <w:szCs w:val="21"/>
                <w:highlight w:val="none"/>
              </w:rPr>
            </w:pPr>
          </w:p>
        </w:tc>
        <w:tc>
          <w:tcPr>
            <w:tcW w:w="1110" w:type="dxa"/>
          </w:tcPr>
          <w:p>
            <w:pPr>
              <w:pStyle w:val="42"/>
              <w:spacing w:after="0" w:line="600" w:lineRule="exact"/>
              <w:jc w:val="both"/>
              <w:rPr>
                <w:rFonts w:ascii="宋体" w:hAnsi="宋体" w:eastAsia="宋体" w:cs="宋体"/>
                <w:b w:val="0"/>
                <w:bCs w:val="0"/>
                <w:color w:val="auto"/>
                <w:sz w:val="21"/>
                <w:szCs w:val="21"/>
                <w:highlight w:val="none"/>
              </w:rPr>
            </w:pPr>
          </w:p>
        </w:tc>
        <w:tc>
          <w:tcPr>
            <w:tcW w:w="1020" w:type="dxa"/>
          </w:tcPr>
          <w:p>
            <w:pPr>
              <w:pStyle w:val="42"/>
              <w:spacing w:after="0" w:line="600" w:lineRule="exact"/>
              <w:jc w:val="both"/>
              <w:rPr>
                <w:rFonts w:ascii="宋体" w:hAnsi="宋体" w:eastAsia="宋体" w:cs="宋体"/>
                <w:b w:val="0"/>
                <w:bCs w:val="0"/>
                <w:color w:val="auto"/>
                <w:sz w:val="21"/>
                <w:szCs w:val="21"/>
                <w:highlight w:val="none"/>
              </w:rPr>
            </w:pPr>
          </w:p>
        </w:tc>
        <w:tc>
          <w:tcPr>
            <w:tcW w:w="1260" w:type="dxa"/>
          </w:tcPr>
          <w:p>
            <w:pPr>
              <w:pStyle w:val="42"/>
              <w:spacing w:after="0" w:line="600" w:lineRule="exact"/>
              <w:jc w:val="both"/>
              <w:rPr>
                <w:rFonts w:ascii="宋体" w:hAnsi="宋体" w:eastAsia="宋体" w:cs="宋体"/>
                <w:b w:val="0"/>
                <w:bCs w:val="0"/>
                <w:color w:val="auto"/>
                <w:sz w:val="21"/>
                <w:szCs w:val="21"/>
                <w:highlight w:val="none"/>
              </w:rPr>
            </w:pPr>
          </w:p>
        </w:tc>
        <w:tc>
          <w:tcPr>
            <w:tcW w:w="1277" w:type="dxa"/>
          </w:tcPr>
          <w:p>
            <w:pPr>
              <w:pStyle w:val="42"/>
              <w:spacing w:after="0" w:line="600" w:lineRule="exact"/>
              <w:jc w:val="both"/>
              <w:rPr>
                <w:rFonts w:ascii="宋体" w:hAnsi="宋体" w:eastAsia="宋体" w:cs="宋体"/>
                <w:b w:val="0"/>
                <w:bCs w:val="0"/>
                <w:color w:val="auto"/>
                <w:sz w:val="21"/>
                <w:szCs w:val="21"/>
                <w:highlight w:val="none"/>
              </w:rPr>
            </w:pPr>
          </w:p>
        </w:tc>
      </w:tr>
    </w:tbl>
    <w:p>
      <w:pPr>
        <w:pStyle w:val="42"/>
        <w:spacing w:after="0" w:line="240" w:lineRule="auto"/>
        <w:jc w:val="center"/>
        <w:rPr>
          <w:color w:val="auto"/>
          <w:highlight w:val="none"/>
        </w:rPr>
        <w:sectPr>
          <w:pgSz w:w="16838" w:h="11905" w:orient="landscape"/>
          <w:pgMar w:top="1417" w:right="1247" w:bottom="1417" w:left="1247" w:header="0" w:footer="850" w:gutter="0"/>
          <w:cols w:space="0" w:num="1"/>
          <w:docGrid w:linePitch="360" w:charSpace="0"/>
        </w:sectPr>
      </w:pPr>
    </w:p>
    <w:p>
      <w:pPr>
        <w:pStyle w:val="42"/>
        <w:spacing w:after="0" w:line="240" w:lineRule="auto"/>
        <w:jc w:val="center"/>
        <w:rPr>
          <w:rFonts w:eastAsia="宋体"/>
          <w:color w:val="auto"/>
          <w:highlight w:val="none"/>
          <w:lang w:val="en-US" w:eastAsia="zh-CN"/>
        </w:rPr>
      </w:pPr>
      <w:r>
        <w:rPr>
          <w:rFonts w:hint="eastAsia" w:eastAsia="宋体"/>
          <w:color w:val="auto"/>
          <w:highlight w:val="none"/>
          <w:lang w:val="en-US" w:eastAsia="zh-CN"/>
        </w:rPr>
        <w:t>总价项目分类分项工程分解表</w:t>
      </w:r>
    </w:p>
    <w:p>
      <w:pPr>
        <w:pStyle w:val="30"/>
        <w:spacing w:after="0" w:line="460" w:lineRule="exact"/>
        <w:ind w:firstLine="680"/>
        <w:jc w:val="both"/>
        <w:rPr>
          <w:color w:val="auto"/>
          <w:sz w:val="21"/>
          <w:szCs w:val="21"/>
          <w:highlight w:val="none"/>
        </w:rPr>
      </w:pPr>
    </w:p>
    <w:p>
      <w:pPr>
        <w:pStyle w:val="30"/>
        <w:spacing w:after="0" w:line="460" w:lineRule="exact"/>
        <w:ind w:firstLine="680"/>
        <w:jc w:val="both"/>
        <w:rPr>
          <w:color w:val="auto"/>
          <w:sz w:val="21"/>
          <w:szCs w:val="21"/>
          <w:highlight w:val="none"/>
        </w:rPr>
        <w:sectPr>
          <w:footerReference r:id="rId33" w:type="default"/>
          <w:footerReference r:id="rId34" w:type="even"/>
          <w:pgSz w:w="11905" w:h="16838"/>
          <w:pgMar w:top="1247" w:right="1417" w:bottom="1247" w:left="1417" w:header="0" w:footer="850" w:gutter="0"/>
          <w:cols w:space="0" w:num="1"/>
          <w:docGrid w:linePitch="360" w:charSpace="0"/>
        </w:sectPr>
      </w:pPr>
      <w:r>
        <w:rPr>
          <w:color w:val="auto"/>
          <w:sz w:val="21"/>
          <w:szCs w:val="21"/>
          <w:highlight w:val="none"/>
        </w:rPr>
        <w:t>若招标人要求对总价项目进行分解的，可按分类分项工程量清单计价表的格式进行分解。</w:t>
      </w:r>
    </w:p>
    <w:p>
      <w:pPr>
        <w:pStyle w:val="42"/>
        <w:spacing w:after="0" w:line="240" w:lineRule="auto"/>
        <w:jc w:val="center"/>
        <w:rPr>
          <w:rFonts w:eastAsia="宋体"/>
          <w:color w:val="auto"/>
          <w:highlight w:val="none"/>
          <w:lang w:val="en-US" w:eastAsia="zh-CN"/>
        </w:rPr>
      </w:pPr>
      <w:r>
        <w:rPr>
          <w:rFonts w:hint="eastAsia" w:eastAsia="宋体"/>
          <w:color w:val="auto"/>
          <w:highlight w:val="none"/>
          <w:lang w:val="en-US" w:eastAsia="zh-CN"/>
        </w:rPr>
        <w:t>单价计算表</w:t>
      </w:r>
    </w:p>
    <w:tbl>
      <w:tblPr>
        <w:tblStyle w:val="22"/>
        <w:tblW w:w="9679" w:type="dxa"/>
        <w:jc w:val="center"/>
        <w:tblLayout w:type="fixed"/>
        <w:tblCellMar>
          <w:top w:w="0" w:type="dxa"/>
          <w:left w:w="108" w:type="dxa"/>
          <w:bottom w:w="0" w:type="dxa"/>
          <w:right w:w="108" w:type="dxa"/>
        </w:tblCellMar>
      </w:tblPr>
      <w:tblGrid>
        <w:gridCol w:w="1009"/>
        <w:gridCol w:w="2970"/>
        <w:gridCol w:w="991"/>
        <w:gridCol w:w="1711"/>
        <w:gridCol w:w="1518"/>
        <w:gridCol w:w="1480"/>
      </w:tblGrid>
      <w:tr>
        <w:tblPrEx>
          <w:tblCellMar>
            <w:top w:w="0" w:type="dxa"/>
            <w:left w:w="108" w:type="dxa"/>
            <w:bottom w:w="0" w:type="dxa"/>
            <w:right w:w="108" w:type="dxa"/>
          </w:tblCellMar>
        </w:tblPrEx>
        <w:trPr>
          <w:trHeight w:val="473" w:hRule="exact"/>
          <w:jc w:val="center"/>
        </w:trPr>
        <w:tc>
          <w:tcPr>
            <w:tcW w:w="4970" w:type="dxa"/>
            <w:gridSpan w:val="3"/>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单价序号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项目名称</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定额编号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施工措施</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定额单位</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编号</w:t>
            </w: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工料名称</w:t>
            </w:r>
          </w:p>
        </w:tc>
        <w:tc>
          <w:tcPr>
            <w:tcW w:w="991"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单位</w:t>
            </w:r>
          </w:p>
        </w:tc>
        <w:tc>
          <w:tcPr>
            <w:tcW w:w="1711"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单价</w:t>
            </w:r>
            <w:r>
              <w:rPr>
                <w:rFonts w:hint="eastAsia"/>
                <w:color w:val="auto"/>
                <w:sz w:val="21"/>
                <w:szCs w:val="21"/>
                <w:highlight w:val="none"/>
                <w:lang w:eastAsia="zh-CN"/>
              </w:rPr>
              <w:t>（</w:t>
            </w:r>
            <w:r>
              <w:rPr>
                <w:color w:val="auto"/>
                <w:sz w:val="21"/>
                <w:szCs w:val="21"/>
                <w:highlight w:val="none"/>
              </w:rPr>
              <w:t>元）</w:t>
            </w:r>
          </w:p>
        </w:tc>
        <w:tc>
          <w:tcPr>
            <w:tcW w:w="1518"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工料定额</w:t>
            </w:r>
          </w:p>
        </w:tc>
        <w:tc>
          <w:tcPr>
            <w:tcW w:w="1480" w:type="dxa"/>
            <w:tcBorders>
              <w:top w:val="single" w:color="auto" w:sz="4" w:space="0"/>
              <w:left w:val="single" w:color="auto" w:sz="4" w:space="0"/>
              <w:righ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合价</w:t>
            </w:r>
            <w:r>
              <w:rPr>
                <w:rFonts w:hint="eastAsia"/>
                <w:color w:val="auto"/>
                <w:sz w:val="21"/>
                <w:szCs w:val="21"/>
                <w:highlight w:val="none"/>
                <w:lang w:eastAsia="zh-CN"/>
              </w:rPr>
              <w:t>（</w:t>
            </w:r>
            <w:r>
              <w:rPr>
                <w:color w:val="auto"/>
                <w:sz w:val="21"/>
                <w:szCs w:val="21"/>
                <w:highlight w:val="none"/>
              </w:rPr>
              <w:t>元）</w:t>
            </w: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直接工程费小计</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措施费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间接费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利润</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材料补差</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73"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装置性材料</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税金</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rFonts w:hint="eastAsia"/>
                <w:color w:val="auto"/>
                <w:sz w:val="21"/>
                <w:szCs w:val="21"/>
                <w:highlight w:val="none"/>
                <w:lang w:val="en-US" w:eastAsia="zh-CN"/>
              </w:rPr>
              <w:t>合计</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95" w:hRule="exact"/>
          <w:jc w:val="center"/>
        </w:trPr>
        <w:tc>
          <w:tcPr>
            <w:tcW w:w="1009"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bottom w:val="single" w:color="auto" w:sz="4" w:space="0"/>
            </w:tcBorders>
            <w:shd w:val="clear" w:color="auto" w:fill="FFFFFF"/>
            <w:vAlign w:val="center"/>
          </w:tcPr>
          <w:p>
            <w:pPr>
              <w:pStyle w:val="36"/>
              <w:spacing w:after="0" w:line="400" w:lineRule="exact"/>
              <w:ind w:firstLine="0"/>
              <w:jc w:val="center"/>
              <w:rPr>
                <w:color w:val="auto"/>
                <w:sz w:val="21"/>
                <w:szCs w:val="21"/>
                <w:highlight w:val="none"/>
              </w:rPr>
            </w:pPr>
            <w:r>
              <w:rPr>
                <w:color w:val="auto"/>
                <w:sz w:val="21"/>
                <w:szCs w:val="21"/>
                <w:highlight w:val="none"/>
              </w:rPr>
              <w:t>单价</w:t>
            </w:r>
          </w:p>
        </w:tc>
        <w:tc>
          <w:tcPr>
            <w:tcW w:w="99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400" w:lineRule="exact"/>
              <w:rPr>
                <w:color w:val="auto"/>
                <w:highlight w:val="none"/>
              </w:rPr>
            </w:pPr>
          </w:p>
        </w:tc>
      </w:tr>
    </w:tbl>
    <w:p>
      <w:pPr>
        <w:pStyle w:val="30"/>
        <w:spacing w:after="0" w:line="240" w:lineRule="auto"/>
        <w:ind w:firstLine="0"/>
        <w:rPr>
          <w:color w:val="auto"/>
          <w:sz w:val="24"/>
          <w:szCs w:val="24"/>
          <w:highlight w:val="none"/>
          <w:lang w:eastAsia="zh-CN"/>
        </w:rPr>
      </w:pPr>
      <w:r>
        <w:rPr>
          <w:color w:val="auto"/>
          <w:sz w:val="24"/>
          <w:szCs w:val="24"/>
          <w:highlight w:val="none"/>
        </w:rPr>
        <w:t>注</w:t>
      </w:r>
      <w:r>
        <w:rPr>
          <w:rFonts w:hint="eastAsia"/>
          <w:color w:val="auto"/>
          <w:sz w:val="24"/>
          <w:szCs w:val="24"/>
          <w:highlight w:val="none"/>
          <w:lang w:eastAsia="zh-CN"/>
        </w:rPr>
        <w:t>：</w:t>
      </w:r>
      <w:r>
        <w:rPr>
          <w:color w:val="auto"/>
          <w:sz w:val="24"/>
          <w:szCs w:val="24"/>
          <w:highlight w:val="none"/>
        </w:rPr>
        <w:t>材料补差按不同材料分别计算补差费用</w:t>
      </w:r>
      <w:r>
        <w:rPr>
          <w:rFonts w:hint="eastAsia"/>
          <w:color w:val="auto"/>
          <w:sz w:val="24"/>
          <w:szCs w:val="24"/>
          <w:highlight w:val="none"/>
          <w:lang w:eastAsia="zh-CN"/>
        </w:rPr>
        <w:t>。</w:t>
      </w:r>
    </w:p>
    <w:p>
      <w:pPr>
        <w:rPr>
          <w:color w:val="auto"/>
          <w:sz w:val="36"/>
          <w:szCs w:val="36"/>
          <w:highlight w:val="none"/>
        </w:rPr>
      </w:pPr>
      <w:r>
        <w:rPr>
          <w:color w:val="auto"/>
          <w:sz w:val="36"/>
          <w:szCs w:val="36"/>
          <w:highlight w:val="none"/>
        </w:rPr>
        <w:br w:type="page"/>
      </w:r>
    </w:p>
    <w:p>
      <w:pPr>
        <w:pStyle w:val="42"/>
        <w:spacing w:after="0" w:line="240" w:lineRule="auto"/>
        <w:jc w:val="center"/>
        <w:rPr>
          <w:rFonts w:eastAsia="宋体"/>
          <w:color w:val="auto"/>
          <w:highlight w:val="none"/>
          <w:lang w:val="en-US" w:eastAsia="zh-CN"/>
        </w:rPr>
      </w:pPr>
      <w:r>
        <w:rPr>
          <w:rFonts w:hint="eastAsia" w:eastAsia="宋体"/>
          <w:color w:val="auto"/>
          <w:highlight w:val="none"/>
          <w:lang w:val="en-US" w:eastAsia="zh-CN"/>
        </w:rPr>
        <w:t>电、风、水、砂石单价计算表</w:t>
      </w:r>
    </w:p>
    <w:p>
      <w:pPr>
        <w:pStyle w:val="30"/>
        <w:spacing w:after="160" w:line="460" w:lineRule="exact"/>
        <w:ind w:firstLine="420" w:firstLineChars="200"/>
        <w:rPr>
          <w:color w:val="auto"/>
          <w:sz w:val="21"/>
          <w:szCs w:val="21"/>
          <w:highlight w:val="none"/>
        </w:rPr>
      </w:pPr>
    </w:p>
    <w:p>
      <w:pPr>
        <w:pStyle w:val="30"/>
        <w:spacing w:after="160" w:line="460" w:lineRule="exact"/>
        <w:ind w:firstLine="420" w:firstLineChars="200"/>
        <w:rPr>
          <w:color w:val="auto"/>
          <w:sz w:val="21"/>
          <w:szCs w:val="21"/>
          <w:highlight w:val="none"/>
        </w:rPr>
      </w:pPr>
      <w:r>
        <w:rPr>
          <w:color w:val="auto"/>
          <w:sz w:val="21"/>
          <w:szCs w:val="21"/>
          <w:highlight w:val="none"/>
        </w:rPr>
        <w:t>电、风、水、砂石单价计算按照施工组织设计确定的施工方案、供应方式、相应价格，采用计算书的形式表述。如采用外购的，本表可不提供。</w:t>
      </w:r>
    </w:p>
    <w:p>
      <w:pPr>
        <w:pStyle w:val="30"/>
        <w:spacing w:after="160" w:line="460" w:lineRule="exact"/>
        <w:ind w:firstLine="420" w:firstLineChars="200"/>
        <w:rPr>
          <w:color w:val="auto"/>
          <w:sz w:val="21"/>
          <w:szCs w:val="21"/>
          <w:highlight w:val="none"/>
        </w:rPr>
      </w:pPr>
    </w:p>
    <w:p>
      <w:pPr>
        <w:pStyle w:val="30"/>
        <w:spacing w:after="160" w:line="460" w:lineRule="exact"/>
        <w:ind w:firstLine="420" w:firstLineChars="200"/>
        <w:rPr>
          <w:color w:val="auto"/>
          <w:sz w:val="21"/>
          <w:szCs w:val="21"/>
          <w:highlight w:val="none"/>
        </w:rPr>
      </w:pPr>
    </w:p>
    <w:p>
      <w:pPr>
        <w:pStyle w:val="30"/>
        <w:spacing w:after="160" w:line="460" w:lineRule="exact"/>
        <w:ind w:firstLine="420" w:firstLineChars="200"/>
        <w:rPr>
          <w:color w:val="auto"/>
          <w:sz w:val="21"/>
          <w:szCs w:val="21"/>
          <w:highlight w:val="none"/>
        </w:rPr>
      </w:pPr>
    </w:p>
    <w:p>
      <w:pPr>
        <w:pStyle w:val="30"/>
        <w:spacing w:after="160" w:line="460" w:lineRule="exact"/>
        <w:ind w:firstLine="420" w:firstLineChars="200"/>
        <w:rPr>
          <w:color w:val="auto"/>
          <w:sz w:val="21"/>
          <w:szCs w:val="21"/>
          <w:highlight w:val="none"/>
        </w:rPr>
      </w:pPr>
    </w:p>
    <w:p>
      <w:pPr>
        <w:pStyle w:val="30"/>
        <w:spacing w:after="160" w:line="460" w:lineRule="exact"/>
        <w:ind w:firstLine="420" w:firstLineChars="200"/>
        <w:rPr>
          <w:color w:val="auto"/>
          <w:sz w:val="21"/>
          <w:szCs w:val="21"/>
          <w:highlight w:val="none"/>
        </w:rPr>
      </w:pPr>
    </w:p>
    <w:p>
      <w:pPr>
        <w:spacing w:line="400" w:lineRule="exact"/>
        <w:jc w:val="center"/>
        <w:outlineLvl w:val="2"/>
        <w:rPr>
          <w:color w:val="auto"/>
          <w:highlight w:val="none"/>
        </w:rPr>
      </w:pPr>
      <w:r>
        <w:rPr>
          <w:rStyle w:val="46"/>
          <w:rFonts w:hint="eastAsia"/>
          <w:color w:val="auto"/>
          <w:sz w:val="32"/>
          <w:highlight w:val="none"/>
        </w:rPr>
        <w:t>三、</w:t>
      </w:r>
      <w:r>
        <w:rPr>
          <w:rStyle w:val="45"/>
          <w:rFonts w:hint="eastAsia"/>
          <w:b/>
          <w:color w:val="auto"/>
          <w:sz w:val="28"/>
          <w:szCs w:val="28"/>
          <w:highlight w:val="none"/>
        </w:rPr>
        <w:t>其他材料</w:t>
      </w:r>
    </w:p>
    <w:p>
      <w:pPr>
        <w:spacing w:line="400" w:lineRule="exact"/>
        <w:jc w:val="center"/>
        <w:outlineLvl w:val="2"/>
        <w:rPr>
          <w:rStyle w:val="45"/>
          <w:color w:val="auto"/>
          <w:sz w:val="28"/>
          <w:szCs w:val="28"/>
          <w:highlight w:val="none"/>
        </w:rPr>
      </w:pPr>
    </w:p>
    <w:p>
      <w:pPr>
        <w:spacing w:line="400" w:lineRule="exact"/>
        <w:jc w:val="center"/>
        <w:outlineLvl w:val="2"/>
        <w:rPr>
          <w:rStyle w:val="45"/>
          <w:color w:val="auto"/>
          <w:sz w:val="28"/>
          <w:szCs w:val="28"/>
          <w:highlight w:val="none"/>
        </w:rPr>
      </w:pPr>
    </w:p>
    <w:p>
      <w:pPr>
        <w:spacing w:line="400" w:lineRule="exact"/>
        <w:jc w:val="center"/>
        <w:outlineLvl w:val="2"/>
        <w:rPr>
          <w:rStyle w:val="45"/>
          <w:color w:val="auto"/>
          <w:sz w:val="28"/>
          <w:szCs w:val="28"/>
          <w:highlight w:val="none"/>
        </w:rPr>
      </w:pPr>
    </w:p>
    <w:p>
      <w:pPr>
        <w:pStyle w:val="30"/>
        <w:tabs>
          <w:tab w:val="left" w:pos="2808"/>
          <w:tab w:val="left" w:pos="6324"/>
        </w:tabs>
        <w:spacing w:beforeLines="200" w:afterLines="200" w:line="460" w:lineRule="exact"/>
        <w:ind w:firstLine="0"/>
        <w:jc w:val="both"/>
        <w:rPr>
          <w:b/>
          <w:bCs/>
          <w:color w:val="auto"/>
          <w:sz w:val="36"/>
          <w:szCs w:val="36"/>
          <w:highlight w:val="none"/>
        </w:rPr>
      </w:pPr>
    </w:p>
    <w:p>
      <w:pPr>
        <w:pStyle w:val="30"/>
        <w:tabs>
          <w:tab w:val="left" w:pos="2808"/>
          <w:tab w:val="left" w:pos="6324"/>
        </w:tabs>
        <w:spacing w:beforeLines="200" w:afterLines="200" w:line="460" w:lineRule="exact"/>
        <w:ind w:firstLine="0"/>
        <w:jc w:val="both"/>
        <w:rPr>
          <w:b/>
          <w:bCs/>
          <w:color w:val="auto"/>
          <w:sz w:val="36"/>
          <w:szCs w:val="36"/>
          <w:highlight w:val="none"/>
        </w:rPr>
      </w:pPr>
    </w:p>
    <w:p>
      <w:pPr>
        <w:pStyle w:val="30"/>
        <w:tabs>
          <w:tab w:val="left" w:pos="2808"/>
          <w:tab w:val="left" w:pos="6324"/>
        </w:tabs>
        <w:spacing w:beforeLines="200" w:afterLines="200" w:line="460" w:lineRule="exact"/>
        <w:ind w:firstLine="0"/>
        <w:jc w:val="both"/>
        <w:rPr>
          <w:b/>
          <w:bCs/>
          <w:color w:val="auto"/>
          <w:sz w:val="36"/>
          <w:szCs w:val="36"/>
          <w:highlight w:val="none"/>
        </w:rPr>
      </w:pPr>
    </w:p>
    <w:p>
      <w:pPr>
        <w:pStyle w:val="30"/>
        <w:tabs>
          <w:tab w:val="left" w:pos="2808"/>
          <w:tab w:val="left" w:pos="6324"/>
        </w:tabs>
        <w:spacing w:beforeLines="200" w:afterLines="200" w:line="460" w:lineRule="exact"/>
        <w:ind w:firstLine="0"/>
        <w:jc w:val="both"/>
        <w:rPr>
          <w:b/>
          <w:bCs/>
          <w:color w:val="auto"/>
          <w:sz w:val="36"/>
          <w:szCs w:val="36"/>
          <w:highlight w:val="none"/>
        </w:rPr>
      </w:pPr>
    </w:p>
    <w:p>
      <w:pPr>
        <w:pStyle w:val="30"/>
        <w:tabs>
          <w:tab w:val="left" w:pos="2808"/>
          <w:tab w:val="left" w:pos="6324"/>
        </w:tabs>
        <w:spacing w:beforeLines="200" w:afterLines="200" w:line="460" w:lineRule="exact"/>
        <w:ind w:firstLine="0"/>
        <w:jc w:val="both"/>
        <w:rPr>
          <w:b/>
          <w:bCs/>
          <w:color w:val="auto"/>
          <w:sz w:val="36"/>
          <w:szCs w:val="36"/>
          <w:highlight w:val="none"/>
        </w:rPr>
      </w:pPr>
    </w:p>
    <w:p>
      <w:pPr>
        <w:pStyle w:val="30"/>
        <w:tabs>
          <w:tab w:val="left" w:pos="2808"/>
          <w:tab w:val="left" w:pos="6324"/>
        </w:tabs>
        <w:spacing w:beforeLines="200" w:afterLines="200" w:line="460" w:lineRule="exact"/>
        <w:ind w:firstLine="0"/>
        <w:jc w:val="both"/>
        <w:rPr>
          <w:b/>
          <w:bCs/>
          <w:color w:val="auto"/>
          <w:sz w:val="36"/>
          <w:szCs w:val="36"/>
          <w:highlight w:val="none"/>
        </w:rPr>
      </w:pPr>
    </w:p>
    <w:p>
      <w:pPr>
        <w:pStyle w:val="30"/>
        <w:tabs>
          <w:tab w:val="left" w:pos="2808"/>
          <w:tab w:val="left" w:pos="6324"/>
        </w:tabs>
        <w:spacing w:beforeLines="200" w:afterLines="200" w:line="460" w:lineRule="exact"/>
        <w:ind w:firstLine="0"/>
        <w:jc w:val="both"/>
        <w:rPr>
          <w:b/>
          <w:bCs/>
          <w:color w:val="auto"/>
          <w:sz w:val="36"/>
          <w:szCs w:val="36"/>
          <w:highlight w:val="none"/>
        </w:rPr>
      </w:pPr>
    </w:p>
    <w:p>
      <w:pPr>
        <w:pStyle w:val="30"/>
        <w:tabs>
          <w:tab w:val="left" w:pos="2808"/>
          <w:tab w:val="left" w:pos="6324"/>
        </w:tabs>
        <w:spacing w:beforeLines="200" w:afterLines="200" w:line="460" w:lineRule="exact"/>
        <w:ind w:firstLine="0"/>
        <w:jc w:val="both"/>
        <w:rPr>
          <w:b/>
          <w:bCs/>
          <w:color w:val="auto"/>
          <w:sz w:val="36"/>
          <w:szCs w:val="36"/>
          <w:highlight w:val="none"/>
        </w:rPr>
      </w:pPr>
    </w:p>
    <w:p>
      <w:pPr>
        <w:pStyle w:val="30"/>
        <w:tabs>
          <w:tab w:val="left" w:pos="2808"/>
          <w:tab w:val="left" w:pos="6324"/>
        </w:tabs>
        <w:spacing w:beforeLines="200" w:afterLines="200" w:line="460" w:lineRule="exact"/>
        <w:ind w:firstLine="0"/>
        <w:jc w:val="both"/>
        <w:rPr>
          <w:b/>
          <w:bCs/>
          <w:color w:val="auto"/>
          <w:sz w:val="36"/>
          <w:szCs w:val="36"/>
          <w:highlight w:val="none"/>
        </w:rPr>
      </w:pPr>
    </w:p>
    <w:p>
      <w:pPr>
        <w:pStyle w:val="30"/>
        <w:tabs>
          <w:tab w:val="left" w:pos="2808"/>
          <w:tab w:val="left" w:pos="6324"/>
        </w:tabs>
        <w:spacing w:beforeLines="20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32"/>
        <w:keepNext/>
        <w:keepLines/>
        <w:spacing w:after="0"/>
        <w:jc w:val="center"/>
        <w:outlineLvl w:val="9"/>
        <w:rPr>
          <w:b/>
          <w:bCs/>
          <w:color w:val="auto"/>
          <w:sz w:val="72"/>
          <w:szCs w:val="72"/>
          <w:highlight w:val="none"/>
        </w:rPr>
      </w:pPr>
    </w:p>
    <w:p>
      <w:pPr>
        <w:pStyle w:val="32"/>
        <w:keepNext/>
        <w:keepLines/>
        <w:spacing w:after="0"/>
        <w:jc w:val="center"/>
        <w:outlineLvl w:val="9"/>
        <w:rPr>
          <w:b/>
          <w:bCs/>
          <w:color w:val="auto"/>
          <w:sz w:val="72"/>
          <w:szCs w:val="72"/>
          <w:highlight w:val="none"/>
        </w:rPr>
      </w:pPr>
    </w:p>
    <w:p>
      <w:pPr>
        <w:pStyle w:val="32"/>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30"/>
        <w:spacing w:after="2000" w:line="240" w:lineRule="auto"/>
        <w:ind w:firstLine="0"/>
        <w:jc w:val="center"/>
        <w:rPr>
          <w:color w:val="auto"/>
          <w:highlight w:val="none"/>
        </w:rPr>
      </w:pPr>
      <w:r>
        <w:rPr>
          <w:rFonts w:hint="eastAsia"/>
          <w:color w:val="auto"/>
          <w:highlight w:val="none"/>
          <w:lang w:eastAsia="zh-CN"/>
        </w:rPr>
        <w:t>（</w:t>
      </w:r>
      <w:r>
        <w:rPr>
          <w:color w:val="auto"/>
          <w:highlight w:val="none"/>
        </w:rPr>
        <w:t>资信标）</w:t>
      </w:r>
    </w:p>
    <w:p>
      <w:pPr>
        <w:pStyle w:val="30"/>
        <w:tabs>
          <w:tab w:val="left" w:pos="6200"/>
        </w:tabs>
        <w:spacing w:after="0" w:line="240" w:lineRule="auto"/>
        <w:ind w:firstLine="680" w:firstLineChars="200"/>
        <w:rPr>
          <w:color w:val="auto"/>
          <w:highlight w:val="none"/>
        </w:rPr>
      </w:pPr>
    </w:p>
    <w:p>
      <w:pPr>
        <w:pStyle w:val="30"/>
        <w:tabs>
          <w:tab w:val="left" w:pos="6200"/>
        </w:tabs>
        <w:spacing w:after="0" w:line="240" w:lineRule="auto"/>
        <w:ind w:firstLine="680" w:firstLineChars="200"/>
        <w:rPr>
          <w:color w:val="auto"/>
          <w:highlight w:val="none"/>
        </w:rPr>
      </w:pPr>
    </w:p>
    <w:p>
      <w:pPr>
        <w:pStyle w:val="30"/>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30"/>
        <w:spacing w:after="0" w:line="240" w:lineRule="auto"/>
        <w:ind w:firstLine="680" w:firstLineChars="200"/>
        <w:rPr>
          <w:color w:val="auto"/>
          <w:highlight w:val="none"/>
        </w:rPr>
      </w:pPr>
    </w:p>
    <w:p>
      <w:pPr>
        <w:pStyle w:val="30"/>
        <w:spacing w:after="0" w:line="240" w:lineRule="auto"/>
        <w:ind w:firstLine="680" w:firstLineChars="200"/>
        <w:rPr>
          <w:color w:val="auto"/>
          <w:highlight w:val="none"/>
        </w:rPr>
      </w:pPr>
      <w:r>
        <w:rPr>
          <w:color w:val="auto"/>
          <w:highlight w:val="none"/>
        </w:rPr>
        <w:t>法定代表人</w:t>
      </w:r>
    </w:p>
    <w:p>
      <w:pPr>
        <w:pStyle w:val="30"/>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30"/>
        <w:tabs>
          <w:tab w:val="left" w:pos="4580"/>
          <w:tab w:val="left" w:pos="6860"/>
          <w:tab w:val="left" w:pos="9332"/>
        </w:tabs>
        <w:spacing w:after="0" w:line="240" w:lineRule="auto"/>
        <w:ind w:firstLine="2040" w:firstLineChars="600"/>
        <w:rPr>
          <w:color w:val="auto"/>
          <w:highlight w:val="none"/>
          <w:u w:val="single"/>
          <w:lang w:val="en-US" w:eastAsia="zh-CN"/>
        </w:rPr>
      </w:pPr>
    </w:p>
    <w:p>
      <w:pPr>
        <w:pStyle w:val="30"/>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30"/>
        <w:spacing w:after="0" w:line="240" w:lineRule="auto"/>
        <w:ind w:firstLine="540"/>
        <w:rPr>
          <w:i/>
          <w:iCs/>
          <w:color w:val="auto"/>
          <w:sz w:val="32"/>
          <w:szCs w:val="32"/>
          <w:highlight w:val="none"/>
        </w:rPr>
      </w:pPr>
    </w:p>
    <w:p>
      <w:pPr>
        <w:pStyle w:val="30"/>
        <w:spacing w:after="0" w:line="240" w:lineRule="auto"/>
        <w:ind w:firstLine="540"/>
        <w:rPr>
          <w:i/>
          <w:iCs/>
          <w:color w:val="auto"/>
          <w:sz w:val="32"/>
          <w:szCs w:val="32"/>
          <w:highlight w:val="none"/>
        </w:rPr>
      </w:pPr>
    </w:p>
    <w:p>
      <w:pPr>
        <w:widowControl w:val="0"/>
        <w:jc w:val="center"/>
        <w:rPr>
          <w:color w:val="auto"/>
          <w:sz w:val="2"/>
          <w:szCs w:val="2"/>
          <w:highlight w:val="none"/>
        </w:rPr>
        <w:sectPr>
          <w:headerReference r:id="rId35" w:type="default"/>
          <w:footerReference r:id="rId36" w:type="default"/>
          <w:pgSz w:w="11905" w:h="16838"/>
          <w:pgMar w:top="1247" w:right="1417" w:bottom="1247" w:left="1417" w:header="0" w:footer="850" w:gutter="0"/>
          <w:cols w:space="0" w:num="1"/>
          <w:docGrid w:linePitch="360" w:charSpace="0"/>
        </w:sectPr>
      </w:pPr>
    </w:p>
    <w:p>
      <w:pPr>
        <w:pStyle w:val="30"/>
        <w:tabs>
          <w:tab w:val="left" w:pos="1373"/>
        </w:tabs>
        <w:spacing w:after="0" w:line="460" w:lineRule="exact"/>
        <w:ind w:left="420" w:leftChars="200" w:firstLine="0"/>
        <w:jc w:val="center"/>
        <w:rPr>
          <w:color w:val="auto"/>
          <w:sz w:val="28"/>
          <w:szCs w:val="28"/>
          <w:highlight w:val="none"/>
          <w:lang w:val="en-US" w:eastAsia="zh-CN"/>
        </w:rPr>
      </w:pPr>
      <w:bookmarkStart w:id="499" w:name="_Toc13881"/>
      <w:bookmarkStart w:id="500" w:name="_Toc30619"/>
    </w:p>
    <w:p>
      <w:pPr>
        <w:pStyle w:val="30"/>
        <w:tabs>
          <w:tab w:val="left" w:pos="1373"/>
        </w:tabs>
        <w:spacing w:after="0" w:line="460" w:lineRule="exact"/>
        <w:ind w:firstLine="0"/>
        <w:jc w:val="center"/>
        <w:rPr>
          <w:color w:val="auto"/>
          <w:sz w:val="28"/>
          <w:szCs w:val="28"/>
          <w:highlight w:val="none"/>
          <w:lang w:val="en-US" w:eastAsia="zh-CN"/>
        </w:rPr>
      </w:pPr>
      <w:r>
        <w:rPr>
          <w:rFonts w:hint="eastAsia"/>
          <w:color w:val="auto"/>
          <w:sz w:val="28"/>
          <w:szCs w:val="28"/>
          <w:highlight w:val="none"/>
          <w:lang w:val="en-US" w:eastAsia="zh-CN"/>
        </w:rPr>
        <w:t>目  录</w:t>
      </w:r>
    </w:p>
    <w:p>
      <w:pPr>
        <w:pStyle w:val="30"/>
        <w:tabs>
          <w:tab w:val="left" w:pos="1373"/>
        </w:tabs>
        <w:spacing w:after="0" w:line="460" w:lineRule="exact"/>
        <w:ind w:left="420" w:leftChars="200" w:firstLine="0"/>
        <w:rPr>
          <w:color w:val="auto"/>
          <w:sz w:val="21"/>
          <w:szCs w:val="21"/>
          <w:highlight w:val="none"/>
          <w:lang w:eastAsia="zh-CN"/>
        </w:rPr>
      </w:pPr>
    </w:p>
    <w:p>
      <w:pPr>
        <w:pStyle w:val="30"/>
        <w:tabs>
          <w:tab w:val="left" w:pos="1373"/>
        </w:tabs>
        <w:spacing w:after="0" w:line="460" w:lineRule="exact"/>
        <w:ind w:left="420" w:leftChars="200" w:firstLine="0"/>
        <w:rPr>
          <w:rFonts w:hint="eastAsia" w:eastAsia="宋体"/>
          <w:color w:val="auto"/>
          <w:sz w:val="24"/>
          <w:szCs w:val="24"/>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法定代表人身份证明</w:t>
      </w:r>
      <w:r>
        <w:rPr>
          <w:rFonts w:hint="eastAsia"/>
          <w:color w:val="auto"/>
          <w:sz w:val="24"/>
          <w:szCs w:val="24"/>
          <w:highlight w:val="none"/>
          <w:lang w:eastAsia="zh-CN"/>
        </w:rPr>
        <w:t>。</w:t>
      </w:r>
    </w:p>
    <w:p>
      <w:pPr>
        <w:pStyle w:val="30"/>
        <w:tabs>
          <w:tab w:val="left" w:pos="1373"/>
        </w:tabs>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rPr>
        <w:t>法定代表人身份证明的授权委托书。</w:t>
      </w:r>
    </w:p>
    <w:p>
      <w:pPr>
        <w:pStyle w:val="30"/>
        <w:tabs>
          <w:tab w:val="left" w:pos="1373"/>
        </w:tabs>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联合体协议书</w:t>
      </w:r>
      <w:r>
        <w:rPr>
          <w:rFonts w:hint="eastAsia"/>
          <w:color w:val="auto"/>
          <w:sz w:val="24"/>
          <w:szCs w:val="24"/>
          <w:highlight w:val="none"/>
          <w:lang w:eastAsia="zh-CN"/>
        </w:rPr>
        <w:t>（本项目不适用）</w:t>
      </w:r>
      <w:r>
        <w:rPr>
          <w:rFonts w:hint="eastAsia"/>
          <w:color w:val="auto"/>
          <w:sz w:val="24"/>
          <w:szCs w:val="24"/>
          <w:highlight w:val="none"/>
        </w:rPr>
        <w:t>。</w:t>
      </w:r>
    </w:p>
    <w:p>
      <w:pPr>
        <w:pStyle w:val="30"/>
        <w:tabs>
          <w:tab w:val="left" w:pos="1373"/>
        </w:tabs>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投标保证金。</w:t>
      </w:r>
      <w:r>
        <w:rPr>
          <w:rFonts w:hint="eastAsia"/>
          <w:color w:val="auto"/>
          <w:sz w:val="24"/>
          <w:szCs w:val="24"/>
          <w:highlight w:val="none"/>
          <w:lang w:eastAsia="zh-CN"/>
        </w:rPr>
        <w:t xml:space="preserve">       </w:t>
      </w:r>
    </w:p>
    <w:p>
      <w:pPr>
        <w:pStyle w:val="30"/>
        <w:tabs>
          <w:tab w:val="left" w:pos="1373"/>
        </w:tabs>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项目管理机构</w:t>
      </w:r>
      <w:r>
        <w:rPr>
          <w:rFonts w:hint="eastAsia"/>
          <w:color w:val="auto"/>
          <w:sz w:val="24"/>
          <w:szCs w:val="24"/>
          <w:highlight w:val="none"/>
          <w:lang w:eastAsia="zh-CN"/>
        </w:rPr>
        <w:t xml:space="preserve">。         </w:t>
      </w:r>
    </w:p>
    <w:p>
      <w:pPr>
        <w:pStyle w:val="30"/>
        <w:tabs>
          <w:tab w:val="left" w:pos="1373"/>
        </w:tabs>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拟分包项目情况表。</w:t>
      </w:r>
    </w:p>
    <w:p>
      <w:pPr>
        <w:pStyle w:val="30"/>
        <w:tabs>
          <w:tab w:val="left" w:pos="1373"/>
        </w:tabs>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w:t>
      </w:r>
      <w:r>
        <w:rPr>
          <w:rFonts w:hint="eastAsia"/>
          <w:color w:val="auto"/>
          <w:sz w:val="24"/>
          <w:szCs w:val="24"/>
          <w:highlight w:val="none"/>
        </w:rPr>
        <w:t>资格审查资料。</w:t>
      </w:r>
    </w:p>
    <w:p>
      <w:pPr>
        <w:pStyle w:val="30"/>
        <w:tabs>
          <w:tab w:val="left" w:pos="1532"/>
        </w:tabs>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8</w:t>
      </w:r>
      <w:r>
        <w:rPr>
          <w:rFonts w:hint="eastAsia"/>
          <w:color w:val="auto"/>
          <w:sz w:val="24"/>
          <w:szCs w:val="24"/>
          <w:highlight w:val="none"/>
          <w:lang w:eastAsia="zh-CN"/>
        </w:rPr>
        <w:t>）</w:t>
      </w:r>
      <w:r>
        <w:rPr>
          <w:rFonts w:hint="eastAsia"/>
          <w:color w:val="auto"/>
          <w:sz w:val="24"/>
          <w:szCs w:val="24"/>
          <w:highlight w:val="none"/>
        </w:rPr>
        <w:t>原件的复制件。</w:t>
      </w:r>
    </w:p>
    <w:p>
      <w:pPr>
        <w:pStyle w:val="30"/>
        <w:tabs>
          <w:tab w:val="left" w:pos="1532"/>
        </w:tabs>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9</w:t>
      </w:r>
      <w:r>
        <w:rPr>
          <w:rFonts w:hint="eastAsia"/>
          <w:color w:val="auto"/>
          <w:sz w:val="24"/>
          <w:szCs w:val="24"/>
          <w:highlight w:val="none"/>
          <w:lang w:eastAsia="zh-CN"/>
        </w:rPr>
        <w:t>）</w:t>
      </w:r>
      <w:r>
        <w:rPr>
          <w:rFonts w:hint="eastAsia"/>
          <w:color w:val="auto"/>
          <w:sz w:val="24"/>
          <w:szCs w:val="24"/>
          <w:highlight w:val="none"/>
        </w:rPr>
        <w:t>其他材料。</w:t>
      </w: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left="420" w:leftChars="200" w:firstLine="0"/>
        <w:rPr>
          <w:color w:val="auto"/>
          <w:sz w:val="24"/>
          <w:szCs w:val="24"/>
          <w:highlight w:val="none"/>
        </w:rPr>
      </w:pPr>
    </w:p>
    <w:p>
      <w:pPr>
        <w:pStyle w:val="30"/>
        <w:tabs>
          <w:tab w:val="left" w:pos="1532"/>
        </w:tabs>
        <w:spacing w:after="0" w:line="460" w:lineRule="exact"/>
        <w:ind w:firstLine="0"/>
        <w:jc w:val="both"/>
        <w:rPr>
          <w:b/>
          <w:bCs/>
          <w:color w:val="auto"/>
          <w:sz w:val="36"/>
          <w:szCs w:val="36"/>
          <w:highlight w:val="none"/>
          <w:lang w:val="en-US" w:eastAsia="zh-CN"/>
        </w:rPr>
      </w:pPr>
    </w:p>
    <w:p>
      <w:pPr>
        <w:pStyle w:val="30"/>
        <w:tabs>
          <w:tab w:val="left" w:pos="1532"/>
        </w:tabs>
        <w:spacing w:after="0" w:line="460" w:lineRule="exact"/>
        <w:ind w:left="420" w:leftChars="200" w:firstLine="0"/>
        <w:jc w:val="center"/>
        <w:rPr>
          <w:b/>
          <w:bCs/>
          <w:color w:val="auto"/>
          <w:sz w:val="36"/>
          <w:szCs w:val="36"/>
          <w:highlight w:val="none"/>
          <w:lang w:val="en-US" w:eastAsia="zh-CN"/>
        </w:rPr>
      </w:pPr>
      <w:r>
        <w:rPr>
          <w:rFonts w:hint="eastAsia"/>
          <w:b/>
          <w:bCs/>
          <w:color w:val="auto"/>
          <w:sz w:val="36"/>
          <w:szCs w:val="36"/>
          <w:highlight w:val="none"/>
          <w:lang w:val="en-US" w:eastAsia="zh-CN"/>
        </w:rPr>
        <w:t>一、法定代表人身份证明</w:t>
      </w:r>
      <w:bookmarkEnd w:id="499"/>
      <w:bookmarkEnd w:id="500"/>
    </w:p>
    <w:p>
      <w:pPr>
        <w:pStyle w:val="30"/>
        <w:tabs>
          <w:tab w:val="left" w:pos="8348"/>
        </w:tabs>
        <w:spacing w:after="0" w:line="460" w:lineRule="exact"/>
        <w:ind w:firstLine="420" w:firstLineChars="200"/>
        <w:jc w:val="both"/>
        <w:rPr>
          <w:color w:val="auto"/>
          <w:sz w:val="21"/>
          <w:szCs w:val="21"/>
          <w:highlight w:val="none"/>
        </w:rPr>
      </w:pPr>
    </w:p>
    <w:p>
      <w:pPr>
        <w:pStyle w:val="30"/>
        <w:tabs>
          <w:tab w:val="left" w:pos="8348"/>
        </w:tabs>
        <w:spacing w:after="0" w:line="600" w:lineRule="exact"/>
        <w:ind w:firstLine="420" w:firstLineChars="200"/>
        <w:jc w:val="both"/>
        <w:rPr>
          <w:color w:val="auto"/>
          <w:sz w:val="21"/>
          <w:szCs w:val="21"/>
          <w:highlight w:val="none"/>
          <w:u w:val="single"/>
          <w:lang w:val="en-US" w:eastAsia="zh-CN"/>
        </w:rPr>
      </w:pPr>
      <w:r>
        <w:rPr>
          <w:color w:val="auto"/>
          <w:sz w:val="21"/>
          <w:szCs w:val="21"/>
          <w:highlight w:val="none"/>
        </w:rPr>
        <w:t>投标人名称：</w:t>
      </w:r>
      <w:r>
        <w:rPr>
          <w:rFonts w:hint="eastAsia"/>
          <w:color w:val="auto"/>
          <w:sz w:val="21"/>
          <w:szCs w:val="21"/>
          <w:highlight w:val="none"/>
          <w:u w:val="single"/>
          <w:lang w:val="en-US" w:eastAsia="zh-CN"/>
        </w:rPr>
        <w:t xml:space="preserve">                                         </w:t>
      </w:r>
    </w:p>
    <w:p>
      <w:pPr>
        <w:pStyle w:val="30"/>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单位性质：</w:t>
      </w:r>
      <w:r>
        <w:rPr>
          <w:rFonts w:hint="eastAsia"/>
          <w:color w:val="auto"/>
          <w:sz w:val="21"/>
          <w:szCs w:val="21"/>
          <w:highlight w:val="none"/>
          <w:u w:val="single"/>
          <w:lang w:val="en-US" w:eastAsia="zh-CN"/>
        </w:rPr>
        <w:t xml:space="preserve">                                          </w:t>
      </w:r>
    </w:p>
    <w:p>
      <w:pPr>
        <w:pStyle w:val="30"/>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地址：</w:t>
      </w:r>
      <w:r>
        <w:rPr>
          <w:rFonts w:hint="eastAsia"/>
          <w:color w:val="auto"/>
          <w:sz w:val="21"/>
          <w:szCs w:val="21"/>
          <w:highlight w:val="none"/>
          <w:u w:val="single"/>
          <w:lang w:val="en-US" w:eastAsia="zh-CN"/>
        </w:rPr>
        <w:t xml:space="preserve">                                              </w:t>
      </w:r>
    </w:p>
    <w:p>
      <w:pPr>
        <w:pStyle w:val="30"/>
        <w:tabs>
          <w:tab w:val="left" w:pos="8348"/>
        </w:tabs>
        <w:spacing w:after="0" w:line="600" w:lineRule="exact"/>
        <w:ind w:firstLine="420" w:firstLineChars="200"/>
        <w:jc w:val="both"/>
        <w:rPr>
          <w:color w:val="auto"/>
          <w:sz w:val="21"/>
          <w:szCs w:val="21"/>
          <w:highlight w:val="none"/>
        </w:rPr>
      </w:pPr>
      <w:r>
        <w:rPr>
          <w:color w:val="auto"/>
          <w:sz w:val="21"/>
          <w:szCs w:val="21"/>
          <w:highlight w:val="none"/>
        </w:rPr>
        <w:t>成立时间：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0"/>
        <w:tabs>
          <w:tab w:val="left" w:pos="8356"/>
        </w:tabs>
        <w:spacing w:after="0" w:line="600" w:lineRule="exact"/>
        <w:ind w:firstLine="420" w:firstLineChars="200"/>
        <w:jc w:val="both"/>
        <w:rPr>
          <w:color w:val="auto"/>
          <w:sz w:val="21"/>
          <w:szCs w:val="21"/>
          <w:highlight w:val="none"/>
        </w:rPr>
      </w:pPr>
      <w:r>
        <w:rPr>
          <w:color w:val="auto"/>
          <w:sz w:val="21"/>
          <w:szCs w:val="21"/>
          <w:highlight w:val="none"/>
        </w:rPr>
        <w:t>经营期限：</w:t>
      </w:r>
      <w:r>
        <w:rPr>
          <w:rFonts w:hint="eastAsia"/>
          <w:color w:val="auto"/>
          <w:sz w:val="21"/>
          <w:szCs w:val="21"/>
          <w:highlight w:val="none"/>
          <w:u w:val="single"/>
          <w:lang w:val="en-US" w:eastAsia="zh-CN"/>
        </w:rPr>
        <w:t xml:space="preserve">                                         </w:t>
      </w:r>
    </w:p>
    <w:p>
      <w:pPr>
        <w:pStyle w:val="30"/>
        <w:tabs>
          <w:tab w:val="left" w:pos="3096"/>
          <w:tab w:val="left" w:pos="8436"/>
          <w:tab w:val="left" w:pos="12024"/>
        </w:tabs>
        <w:spacing w:after="0" w:line="600" w:lineRule="exact"/>
        <w:ind w:firstLine="420" w:firstLineChars="200"/>
        <w:jc w:val="both"/>
        <w:rPr>
          <w:color w:val="auto"/>
          <w:sz w:val="21"/>
          <w:szCs w:val="21"/>
          <w:highlight w:val="none"/>
          <w:u w:val="single"/>
        </w:rPr>
      </w:pPr>
      <w:r>
        <w:rPr>
          <w:color w:val="auto"/>
          <w:sz w:val="21"/>
          <w:szCs w:val="21"/>
          <w:highlight w:val="none"/>
        </w:rPr>
        <w:t>姓名：</w:t>
      </w:r>
      <w:r>
        <w:rPr>
          <w:rFonts w:hint="eastAsia"/>
          <w:color w:val="auto"/>
          <w:sz w:val="21"/>
          <w:szCs w:val="21"/>
          <w:highlight w:val="none"/>
          <w:u w:val="single"/>
          <w:lang w:val="en-US" w:eastAsia="zh-CN"/>
        </w:rPr>
        <w:t xml:space="preserve">        </w:t>
      </w:r>
      <w:r>
        <w:rPr>
          <w:color w:val="auto"/>
          <w:sz w:val="21"/>
          <w:szCs w:val="21"/>
          <w:highlight w:val="none"/>
        </w:rPr>
        <w:t>性别：</w:t>
      </w:r>
      <w:r>
        <w:rPr>
          <w:rFonts w:hint="eastAsia"/>
          <w:color w:val="auto"/>
          <w:sz w:val="21"/>
          <w:szCs w:val="21"/>
          <w:highlight w:val="none"/>
          <w:u w:val="single"/>
          <w:lang w:val="en-US" w:eastAsia="zh-CN"/>
        </w:rPr>
        <w:t xml:space="preserve">        </w:t>
      </w:r>
      <w:r>
        <w:rPr>
          <w:color w:val="auto"/>
          <w:sz w:val="21"/>
          <w:szCs w:val="21"/>
          <w:highlight w:val="none"/>
        </w:rPr>
        <w:t>年龄：</w:t>
      </w:r>
      <w:r>
        <w:rPr>
          <w:rFonts w:hint="eastAsia"/>
          <w:color w:val="auto"/>
          <w:sz w:val="21"/>
          <w:szCs w:val="21"/>
          <w:highlight w:val="none"/>
          <w:u w:val="single"/>
          <w:lang w:val="en-US" w:eastAsia="zh-CN"/>
        </w:rPr>
        <w:t xml:space="preserve">        </w:t>
      </w:r>
      <w:r>
        <w:rPr>
          <w:color w:val="auto"/>
          <w:sz w:val="21"/>
          <w:szCs w:val="21"/>
          <w:highlight w:val="none"/>
        </w:rPr>
        <w:t>身份证号码</w:t>
      </w:r>
      <w:r>
        <w:rPr>
          <w:rFonts w:hint="eastAsia"/>
          <w:color w:val="auto"/>
          <w:sz w:val="21"/>
          <w:szCs w:val="21"/>
          <w:highlight w:val="none"/>
          <w:lang w:eastAsia="zh-CN"/>
        </w:rPr>
        <w:t>：</w:t>
      </w:r>
      <w:r>
        <w:rPr>
          <w:color w:val="auto"/>
          <w:sz w:val="21"/>
          <w:szCs w:val="21"/>
          <w:highlight w:val="none"/>
          <w:u w:val="single"/>
        </w:rPr>
        <w:tab/>
      </w:r>
    </w:p>
    <w:p>
      <w:pPr>
        <w:pStyle w:val="30"/>
        <w:tabs>
          <w:tab w:val="left" w:pos="3096"/>
          <w:tab w:val="left" w:pos="8436"/>
          <w:tab w:val="left" w:pos="12024"/>
        </w:tabs>
        <w:spacing w:after="0" w:line="600" w:lineRule="exact"/>
        <w:ind w:firstLine="420" w:firstLineChars="200"/>
        <w:jc w:val="both"/>
        <w:rPr>
          <w:color w:val="auto"/>
          <w:sz w:val="21"/>
          <w:szCs w:val="21"/>
          <w:highlight w:val="none"/>
        </w:rPr>
      </w:pPr>
      <w:r>
        <w:rPr>
          <w:color w:val="auto"/>
          <w:sz w:val="21"/>
          <w:szCs w:val="21"/>
          <w:highlight w:val="none"/>
        </w:rPr>
        <w:t>职务：</w:t>
      </w:r>
      <w:r>
        <w:rPr>
          <w:rFonts w:hint="eastAsia"/>
          <w:color w:val="auto"/>
          <w:sz w:val="21"/>
          <w:szCs w:val="21"/>
          <w:highlight w:val="none"/>
          <w:u w:val="single"/>
          <w:lang w:val="en-US" w:eastAsia="zh-CN"/>
        </w:rPr>
        <w:t xml:space="preserve">              </w:t>
      </w:r>
      <w:r>
        <w:rPr>
          <w:color w:val="auto"/>
          <w:sz w:val="21"/>
          <w:szCs w:val="21"/>
          <w:highlight w:val="none"/>
        </w:rPr>
        <w:t>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w:t>
      </w:r>
    </w:p>
    <w:p>
      <w:pPr>
        <w:pStyle w:val="30"/>
        <w:spacing w:after="0" w:line="600" w:lineRule="exact"/>
        <w:ind w:firstLine="420" w:firstLineChars="200"/>
        <w:rPr>
          <w:color w:val="auto"/>
          <w:sz w:val="21"/>
          <w:szCs w:val="21"/>
          <w:highlight w:val="none"/>
        </w:rPr>
      </w:pPr>
      <w:r>
        <w:rPr>
          <w:color w:val="auto"/>
          <w:sz w:val="21"/>
          <w:szCs w:val="21"/>
          <w:highlight w:val="none"/>
        </w:rPr>
        <w:t>特此证明。</w:t>
      </w:r>
    </w:p>
    <w:p>
      <w:pPr>
        <w:pStyle w:val="30"/>
        <w:tabs>
          <w:tab w:val="left" w:pos="4128"/>
        </w:tabs>
        <w:spacing w:after="0" w:line="600" w:lineRule="exact"/>
        <w:ind w:firstLine="420" w:firstLineChars="200"/>
        <w:jc w:val="right"/>
        <w:rPr>
          <w:color w:val="auto"/>
          <w:sz w:val="21"/>
          <w:szCs w:val="21"/>
          <w:highlight w:val="none"/>
        </w:rPr>
      </w:pPr>
    </w:p>
    <w:p>
      <w:pPr>
        <w:pStyle w:val="30"/>
        <w:tabs>
          <w:tab w:val="left" w:pos="4128"/>
        </w:tabs>
        <w:spacing w:after="0" w:line="600" w:lineRule="exact"/>
        <w:ind w:firstLine="420" w:firstLineChars="200"/>
        <w:jc w:val="right"/>
        <w:rPr>
          <w:color w:val="auto"/>
          <w:sz w:val="21"/>
          <w:szCs w:val="21"/>
          <w:highlight w:val="none"/>
        </w:rPr>
      </w:pPr>
    </w:p>
    <w:p>
      <w:pPr>
        <w:pStyle w:val="30"/>
        <w:tabs>
          <w:tab w:val="left" w:pos="4128"/>
        </w:tabs>
        <w:spacing w:after="0" w:line="600" w:lineRule="exact"/>
        <w:ind w:firstLine="420" w:firstLineChars="200"/>
        <w:jc w:val="right"/>
        <w:rPr>
          <w:color w:val="auto"/>
          <w:sz w:val="21"/>
          <w:szCs w:val="21"/>
          <w:highlight w:val="non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30"/>
        <w:tabs>
          <w:tab w:val="left" w:pos="4128"/>
        </w:tabs>
        <w:spacing w:after="0" w:line="6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3"/>
        <w:keepNext/>
        <w:keepLines/>
        <w:tabs>
          <w:tab w:val="left" w:pos="5161"/>
        </w:tabs>
        <w:spacing w:after="0" w:line="600" w:lineRule="exact"/>
        <w:outlineLvl w:val="9"/>
        <w:rPr>
          <w:color w:val="auto"/>
          <w:sz w:val="48"/>
          <w:szCs w:val="48"/>
          <w:highlight w:val="none"/>
          <w:lang w:eastAsia="zh-CN"/>
        </w:rPr>
      </w:pPr>
    </w:p>
    <w:p>
      <w:pPr>
        <w:pStyle w:val="33"/>
        <w:outlineLvl w:val="9"/>
        <w:rPr>
          <w:color w:val="auto"/>
          <w:highlight w:val="none"/>
        </w:rPr>
      </w:pPr>
    </w:p>
    <w:p>
      <w:pPr>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pPr>
        <w:pStyle w:val="32"/>
        <w:keepNext/>
        <w:keepLines/>
        <w:spacing w:beforeLines="100" w:afterLines="50"/>
        <w:jc w:val="center"/>
        <w:outlineLvl w:val="1"/>
        <w:rPr>
          <w:b/>
          <w:bCs/>
          <w:color w:val="auto"/>
          <w:sz w:val="36"/>
          <w:szCs w:val="36"/>
          <w:highlight w:val="none"/>
          <w:lang w:val="en-US" w:eastAsia="zh-CN"/>
        </w:rPr>
      </w:pPr>
      <w:bookmarkStart w:id="501" w:name="_Toc23829"/>
      <w:bookmarkStart w:id="502" w:name="_Toc11467"/>
      <w:r>
        <w:rPr>
          <w:rFonts w:hint="eastAsia"/>
          <w:b/>
          <w:bCs/>
          <w:color w:val="auto"/>
          <w:sz w:val="36"/>
          <w:szCs w:val="36"/>
          <w:highlight w:val="none"/>
          <w:lang w:val="en-US" w:eastAsia="zh-CN"/>
        </w:rPr>
        <w:t>二、授权委托书</w:t>
      </w:r>
      <w:bookmarkEnd w:id="501"/>
      <w:bookmarkEnd w:id="502"/>
    </w:p>
    <w:p>
      <w:pPr>
        <w:pStyle w:val="40"/>
        <w:spacing w:line="600" w:lineRule="exact"/>
        <w:ind w:firstLine="420" w:firstLineChars="200"/>
        <w:rPr>
          <w:color w:val="auto"/>
          <w:sz w:val="21"/>
          <w:szCs w:val="21"/>
          <w:highlight w:val="none"/>
          <w:lang w:eastAsia="zh-CN"/>
        </w:rPr>
      </w:pPr>
    </w:p>
    <w:p>
      <w:pPr>
        <w:pStyle w:val="30"/>
        <w:tabs>
          <w:tab w:val="left" w:pos="3504"/>
          <w:tab w:val="left" w:pos="5688"/>
          <w:tab w:val="left" w:pos="8820"/>
        </w:tabs>
        <w:spacing w:after="0" w:line="600" w:lineRule="exact"/>
        <w:ind w:firstLine="420" w:firstLineChars="200"/>
        <w:rPr>
          <w:color w:val="auto"/>
          <w:sz w:val="21"/>
          <w:szCs w:val="21"/>
          <w:highlight w:val="none"/>
        </w:rPr>
      </w:pPr>
      <w:r>
        <w:rPr>
          <w:color w:val="auto"/>
          <w:sz w:val="21"/>
          <w:szCs w:val="21"/>
          <w:highlight w:val="none"/>
        </w:rPr>
        <w:t>本人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投标人名称）的法定代表人，现委托</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姓名）为我方代理人。代理人根据授权，在投标有效期满前以我方名义签署、澄清、说明、补正、递交、撤回、修改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项目名称）投标文件、出席开标会议、签订合同和处理有关事宜，其法律后果由我方</w:t>
      </w:r>
      <w:r>
        <w:rPr>
          <w:color w:val="auto"/>
          <w:sz w:val="21"/>
          <w:szCs w:val="21"/>
          <w:highlight w:val="none"/>
          <w:lang w:val="zh-CN" w:eastAsia="zh-CN" w:bidi="zh-CN"/>
        </w:rPr>
        <w:t>承担。</w:t>
      </w:r>
    </w:p>
    <w:p>
      <w:pPr>
        <w:pStyle w:val="30"/>
        <w:spacing w:after="0" w:line="600" w:lineRule="exact"/>
        <w:ind w:firstLine="420" w:firstLineChars="200"/>
        <w:rPr>
          <w:color w:val="auto"/>
          <w:sz w:val="21"/>
          <w:szCs w:val="21"/>
          <w:highlight w:val="none"/>
        </w:rPr>
      </w:pPr>
      <w:r>
        <w:rPr>
          <w:color w:val="auto"/>
          <w:sz w:val="21"/>
          <w:szCs w:val="21"/>
          <w:highlight w:val="none"/>
        </w:rPr>
        <w:t>代理人无转委托权。</w:t>
      </w:r>
    </w:p>
    <w:p>
      <w:pPr>
        <w:pStyle w:val="30"/>
        <w:spacing w:after="0" w:line="600" w:lineRule="exact"/>
        <w:ind w:firstLine="420" w:firstLineChars="200"/>
        <w:rPr>
          <w:color w:val="auto"/>
          <w:sz w:val="21"/>
          <w:szCs w:val="21"/>
          <w:highlight w:val="none"/>
        </w:rPr>
      </w:pPr>
      <w:r>
        <w:rPr>
          <w:color w:val="auto"/>
          <w:sz w:val="21"/>
          <w:szCs w:val="21"/>
          <w:highlight w:val="none"/>
        </w:rPr>
        <w:t>附：法定代表人身份证明。</w:t>
      </w:r>
    </w:p>
    <w:p>
      <w:pPr>
        <w:pStyle w:val="30"/>
        <w:tabs>
          <w:tab w:val="left" w:pos="9736"/>
        </w:tabs>
        <w:spacing w:after="0" w:line="60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                         </w:t>
      </w:r>
    </w:p>
    <w:p>
      <w:pPr>
        <w:pStyle w:val="30"/>
        <w:tabs>
          <w:tab w:val="left" w:pos="9736"/>
        </w:tabs>
        <w:spacing w:after="0" w:line="600" w:lineRule="exact"/>
        <w:ind w:firstLine="420" w:firstLineChars="200"/>
        <w:rPr>
          <w:color w:val="auto"/>
          <w:sz w:val="21"/>
          <w:szCs w:val="21"/>
          <w:highlight w:val="none"/>
          <w:lang w:val="en-US" w:eastAsia="zh-CN"/>
        </w:rPr>
      </w:pPr>
    </w:p>
    <w:p>
      <w:pPr>
        <w:pStyle w:val="30"/>
        <w:tabs>
          <w:tab w:val="left" w:pos="9736"/>
        </w:tabs>
        <w:spacing w:after="0" w:line="600" w:lineRule="exact"/>
        <w:ind w:firstLine="3150" w:firstLineChars="1500"/>
        <w:rPr>
          <w:color w:val="auto"/>
          <w:sz w:val="21"/>
          <w:szCs w:val="21"/>
          <w:highlight w:val="none"/>
          <w:u w:val="singl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30"/>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30"/>
        <w:tabs>
          <w:tab w:val="left" w:pos="12016"/>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30"/>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30"/>
        <w:tabs>
          <w:tab w:val="left" w:pos="12028"/>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30"/>
        <w:tabs>
          <w:tab w:val="left" w:pos="684"/>
          <w:tab w:val="left" w:pos="1740"/>
          <w:tab w:val="left" w:pos="2124"/>
          <w:tab w:val="left" w:pos="2324"/>
          <w:tab w:val="left" w:pos="2796"/>
        </w:tabs>
        <w:spacing w:after="0" w:line="600" w:lineRule="exact"/>
        <w:ind w:firstLine="420" w:firstLineChars="200"/>
        <w:jc w:val="right"/>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6"/>
        <w:spacing w:after="0" w:line="240" w:lineRule="auto"/>
        <w:ind w:firstLine="620"/>
        <w:jc w:val="both"/>
        <w:rPr>
          <w:color w:val="auto"/>
          <w:sz w:val="28"/>
          <w:szCs w:val="28"/>
          <w:highlight w:val="none"/>
        </w:rPr>
      </w:pPr>
    </w:p>
    <w:p>
      <w:pPr>
        <w:pStyle w:val="36"/>
        <w:spacing w:after="0" w:line="240" w:lineRule="auto"/>
        <w:ind w:firstLine="620"/>
        <w:jc w:val="both"/>
        <w:rPr>
          <w:color w:val="auto"/>
          <w:sz w:val="28"/>
          <w:szCs w:val="28"/>
          <w:highlight w:val="none"/>
        </w:rPr>
      </w:pPr>
    </w:p>
    <w:p>
      <w:pPr>
        <w:pStyle w:val="36"/>
        <w:spacing w:after="0" w:line="240" w:lineRule="auto"/>
        <w:ind w:firstLine="620"/>
        <w:jc w:val="both"/>
        <w:rPr>
          <w:color w:val="auto"/>
          <w:sz w:val="28"/>
          <w:szCs w:val="28"/>
          <w:highlight w:val="none"/>
        </w:rPr>
      </w:pPr>
    </w:p>
    <w:p>
      <w:pPr>
        <w:pStyle w:val="36"/>
        <w:spacing w:after="0" w:line="240" w:lineRule="auto"/>
        <w:ind w:firstLine="620"/>
        <w:jc w:val="both"/>
        <w:rPr>
          <w:color w:val="auto"/>
          <w:sz w:val="28"/>
          <w:szCs w:val="28"/>
          <w:highlight w:val="none"/>
        </w:rPr>
      </w:pPr>
    </w:p>
    <w:p>
      <w:pPr>
        <w:pStyle w:val="36"/>
        <w:spacing w:after="0" w:line="460" w:lineRule="exact"/>
        <w:ind w:firstLine="420" w:firstLineChars="200"/>
        <w:rPr>
          <w:color w:val="auto"/>
          <w:sz w:val="21"/>
          <w:szCs w:val="21"/>
          <w:highlight w:val="none"/>
        </w:rPr>
        <w:sectPr>
          <w:pgSz w:w="11905" w:h="16838"/>
          <w:pgMar w:top="1247" w:right="1417" w:bottom="1247" w:left="1417" w:header="0" w:footer="850" w:gutter="0"/>
          <w:cols w:space="0" w:num="1"/>
          <w:docGrid w:linePitch="360" w:charSpace="0"/>
        </w:sectPr>
      </w:pPr>
      <w:r>
        <w:rPr>
          <w:rFonts w:hint="eastAsia"/>
          <w:color w:val="auto"/>
          <w:sz w:val="21"/>
          <w:szCs w:val="21"/>
          <w:highlight w:val="none"/>
        </w:rPr>
        <w:t>注：法定代表人和委托代理人均应在本授权委托书上签字，不得使用印章、签名章或其他电子制版签名。</w:t>
      </w:r>
    </w:p>
    <w:p>
      <w:pPr>
        <w:pStyle w:val="32"/>
        <w:keepNext/>
        <w:keepLines/>
        <w:spacing w:beforeLines="100" w:afterLines="50"/>
        <w:jc w:val="center"/>
        <w:outlineLvl w:val="1"/>
        <w:rPr>
          <w:b/>
          <w:bCs/>
          <w:color w:val="auto"/>
          <w:sz w:val="36"/>
          <w:szCs w:val="36"/>
          <w:highlight w:val="none"/>
          <w:lang w:val="en-US" w:eastAsia="zh-CN"/>
        </w:rPr>
      </w:pPr>
      <w:bookmarkStart w:id="503" w:name="_Toc27482"/>
      <w:bookmarkStart w:id="504" w:name="_Toc13796"/>
    </w:p>
    <w:p>
      <w:pPr>
        <w:pStyle w:val="32"/>
        <w:keepNext/>
        <w:keepLines/>
        <w:spacing w:beforeLines="100" w:afterLines="50"/>
        <w:jc w:val="center"/>
        <w:outlineLvl w:val="1"/>
        <w:rPr>
          <w:b/>
          <w:bCs/>
          <w:color w:val="auto"/>
          <w:sz w:val="36"/>
          <w:szCs w:val="36"/>
          <w:highlight w:val="none"/>
          <w:lang w:val="en-US" w:eastAsia="zh-CN"/>
        </w:rPr>
      </w:pPr>
      <w:r>
        <w:rPr>
          <w:rFonts w:hint="eastAsia"/>
          <w:b/>
          <w:bCs/>
          <w:color w:val="auto"/>
          <w:sz w:val="36"/>
          <w:szCs w:val="36"/>
          <w:highlight w:val="none"/>
          <w:lang w:val="en-US" w:eastAsia="zh-CN"/>
        </w:rPr>
        <w:t>三、联合体协议书</w:t>
      </w:r>
      <w:bookmarkEnd w:id="503"/>
      <w:r>
        <w:rPr>
          <w:rFonts w:hint="eastAsia"/>
          <w:b/>
          <w:bCs/>
          <w:color w:val="auto"/>
          <w:sz w:val="36"/>
          <w:szCs w:val="36"/>
          <w:highlight w:val="none"/>
          <w:lang w:val="en-US" w:eastAsia="zh-CN"/>
        </w:rPr>
        <w:t>（本项目不适用）</w:t>
      </w:r>
      <w:bookmarkEnd w:id="504"/>
    </w:p>
    <w:p>
      <w:pPr>
        <w:pStyle w:val="30"/>
        <w:tabs>
          <w:tab w:val="left" w:pos="2844"/>
          <w:tab w:val="left" w:pos="4212"/>
          <w:tab w:val="left" w:pos="7764"/>
          <w:tab w:val="left" w:pos="9444"/>
        </w:tabs>
        <w:spacing w:after="0" w:line="460" w:lineRule="exact"/>
        <w:ind w:firstLine="420" w:firstLineChars="200"/>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所有成员单位名称）自愿组成</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w:t>
      </w:r>
      <w:r>
        <w:rPr>
          <w:rFonts w:hint="eastAsia"/>
          <w:color w:val="auto"/>
          <w:sz w:val="21"/>
          <w:szCs w:val="21"/>
          <w:highlight w:val="none"/>
          <w:lang w:eastAsia="zh-CN"/>
        </w:rPr>
        <w:t>，</w:t>
      </w:r>
      <w:r>
        <w:rPr>
          <w:color w:val="auto"/>
          <w:sz w:val="21"/>
          <w:szCs w:val="21"/>
          <w:highlight w:val="none"/>
        </w:rPr>
        <w:t>共同参加</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rFonts w:hint="eastAsia"/>
          <w:i/>
          <w:iCs/>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标段名称）投标。现就联合体投标事宜订立如下协议。</w:t>
      </w:r>
    </w:p>
    <w:p>
      <w:pPr>
        <w:pStyle w:val="30"/>
        <w:tabs>
          <w:tab w:val="left" w:pos="1124"/>
          <w:tab w:val="left" w:pos="4164"/>
          <w:tab w:val="left" w:pos="1016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某成员单位名称）为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联合体名称）牵头人。</w:t>
      </w:r>
    </w:p>
    <w:p>
      <w:pPr>
        <w:pStyle w:val="30"/>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color w:val="auto"/>
          <w:sz w:val="21"/>
          <w:szCs w:val="21"/>
          <w:highlight w:val="none"/>
        </w:rPr>
        <w:t>联合体牵头人合法代表联合体各成员负责本标段施工招标投标文件递交和合同谈判活动，并代表联合体提交和接受相关的资料、信息及指示，处理与之有关的一切事务，并负责合同实施阶段的主办、组织和协调工作。</w:t>
      </w:r>
    </w:p>
    <w:p>
      <w:pPr>
        <w:pStyle w:val="30"/>
        <w:tabs>
          <w:tab w:val="left" w:pos="113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color w:val="auto"/>
          <w:sz w:val="21"/>
          <w:szCs w:val="21"/>
          <w:highlight w:val="none"/>
        </w:rPr>
        <w:t>联合体将严格按照招标文件的各项要求，编制投标文件，履行合同</w:t>
      </w:r>
      <w:r>
        <w:rPr>
          <w:rFonts w:hint="eastAsia"/>
          <w:color w:val="auto"/>
          <w:sz w:val="21"/>
          <w:szCs w:val="21"/>
          <w:highlight w:val="none"/>
          <w:lang w:eastAsia="zh-CN"/>
        </w:rPr>
        <w:t>，</w:t>
      </w:r>
      <w:r>
        <w:rPr>
          <w:color w:val="auto"/>
          <w:sz w:val="21"/>
          <w:szCs w:val="21"/>
          <w:highlight w:val="none"/>
        </w:rPr>
        <w:t>并对外承担连带责任。</w:t>
      </w:r>
    </w:p>
    <w:p>
      <w:pPr>
        <w:pStyle w:val="30"/>
        <w:tabs>
          <w:tab w:val="left" w:pos="1124"/>
          <w:tab w:val="left" w:pos="101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color w:val="auto"/>
          <w:sz w:val="21"/>
          <w:szCs w:val="21"/>
          <w:highlight w:val="none"/>
        </w:rPr>
        <w:t>联合体内部各成员单位的职责分工</w:t>
      </w:r>
      <w:r>
        <w:rPr>
          <w:rFonts w:hint="eastAsia"/>
          <w:color w:val="auto"/>
          <w:sz w:val="21"/>
          <w:szCs w:val="21"/>
          <w:highlight w:val="none"/>
        </w:rPr>
        <w:t>如下：</w:t>
      </w:r>
      <w:r>
        <w:rPr>
          <w:rFonts w:hint="eastAsia"/>
          <w:color w:val="auto"/>
          <w:sz w:val="21"/>
          <w:szCs w:val="21"/>
          <w:highlight w:val="none"/>
          <w:u w:val="single"/>
          <w:lang w:val="en-US" w:eastAsia="zh-CN"/>
        </w:rPr>
        <w:t xml:space="preserve">                  </w:t>
      </w:r>
      <w:r>
        <w:rPr>
          <w:rFonts w:hint="eastAsia" w:ascii="Times New Roman" w:hAnsi="Times New Roman" w:cs="Times New Roman"/>
          <w:color w:val="auto"/>
          <w:sz w:val="21"/>
          <w:szCs w:val="21"/>
          <w:highlight w:val="none"/>
          <w:lang w:val="en-US" w:eastAsia="zh-CN" w:bidi="en-US"/>
        </w:rPr>
        <w:t>。</w:t>
      </w:r>
    </w:p>
    <w:p>
      <w:pPr>
        <w:pStyle w:val="30"/>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color w:val="auto"/>
          <w:sz w:val="21"/>
          <w:szCs w:val="21"/>
          <w:highlight w:val="none"/>
        </w:rPr>
        <w:t>本协议书自签署之日起生效，合同履行完毕后自动</w:t>
      </w:r>
      <w:r>
        <w:rPr>
          <w:color w:val="auto"/>
          <w:sz w:val="21"/>
          <w:szCs w:val="21"/>
          <w:highlight w:val="none"/>
          <w:lang w:val="zh-CN" w:eastAsia="zh-CN" w:bidi="zh-CN"/>
        </w:rPr>
        <w:t>失效。</w:t>
      </w:r>
    </w:p>
    <w:p>
      <w:pPr>
        <w:pStyle w:val="30"/>
        <w:tabs>
          <w:tab w:val="left" w:pos="1124"/>
          <w:tab w:val="left" w:pos="3872"/>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6.  </w:t>
      </w:r>
      <w:r>
        <w:rPr>
          <w:color w:val="auto"/>
          <w:sz w:val="21"/>
          <w:szCs w:val="21"/>
          <w:highlight w:val="none"/>
        </w:rPr>
        <w:t>本协议书一式</w:t>
      </w:r>
      <w:r>
        <w:rPr>
          <w:rFonts w:hint="eastAsia"/>
          <w:color w:val="auto"/>
          <w:szCs w:val="21"/>
          <w:highlight w:val="none"/>
          <w:u w:val="single"/>
        </w:rPr>
        <w:t xml:space="preserve">   </w:t>
      </w:r>
      <w:r>
        <w:rPr>
          <w:color w:val="auto"/>
          <w:sz w:val="21"/>
          <w:szCs w:val="21"/>
          <w:highlight w:val="none"/>
        </w:rPr>
        <w:t>份，联合体成员和招标人各执一份。</w:t>
      </w:r>
    </w:p>
    <w:p>
      <w:pPr>
        <w:pStyle w:val="30"/>
        <w:tabs>
          <w:tab w:val="left" w:pos="9724"/>
        </w:tabs>
        <w:spacing w:after="0" w:line="460" w:lineRule="exact"/>
        <w:ind w:firstLine="420" w:firstLineChars="200"/>
        <w:rPr>
          <w:color w:val="auto"/>
          <w:sz w:val="21"/>
          <w:szCs w:val="21"/>
          <w:highlight w:val="none"/>
        </w:rPr>
      </w:pPr>
    </w:p>
    <w:p>
      <w:pPr>
        <w:pStyle w:val="30"/>
        <w:tabs>
          <w:tab w:val="left" w:pos="9724"/>
        </w:tabs>
        <w:spacing w:after="0" w:line="460" w:lineRule="exact"/>
        <w:ind w:firstLine="420" w:firstLineChars="200"/>
        <w:rPr>
          <w:color w:val="auto"/>
          <w:sz w:val="21"/>
          <w:szCs w:val="21"/>
          <w:highlight w:val="none"/>
        </w:rPr>
      </w:pPr>
    </w:p>
    <w:p>
      <w:pPr>
        <w:pStyle w:val="30"/>
        <w:tabs>
          <w:tab w:val="left" w:pos="9724"/>
        </w:tabs>
        <w:spacing w:after="0" w:line="460" w:lineRule="exact"/>
        <w:ind w:firstLine="1680" w:firstLineChars="800"/>
        <w:rPr>
          <w:color w:val="auto"/>
          <w:sz w:val="21"/>
          <w:szCs w:val="21"/>
          <w:highlight w:val="none"/>
        </w:rPr>
      </w:pPr>
      <w:r>
        <w:rPr>
          <w:color w:val="auto"/>
          <w:sz w:val="21"/>
          <w:szCs w:val="21"/>
          <w:highlight w:val="none"/>
        </w:rPr>
        <w:t>牵头人名称：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30"/>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30"/>
        <w:tabs>
          <w:tab w:val="left" w:pos="9724"/>
        </w:tabs>
        <w:spacing w:after="0" w:line="460" w:lineRule="exact"/>
        <w:ind w:firstLine="420" w:firstLineChars="200"/>
        <w:rPr>
          <w:color w:val="auto"/>
          <w:sz w:val="21"/>
          <w:szCs w:val="21"/>
          <w:highlight w:val="none"/>
          <w:lang w:val="zh-CN" w:eastAsia="zh-CN" w:bidi="zh-CN"/>
        </w:rPr>
      </w:pPr>
    </w:p>
    <w:p>
      <w:pPr>
        <w:pStyle w:val="30"/>
        <w:tabs>
          <w:tab w:val="left" w:pos="9724"/>
        </w:tabs>
        <w:spacing w:after="0" w:line="460" w:lineRule="exact"/>
        <w:ind w:firstLine="1680" w:firstLineChars="800"/>
        <w:rPr>
          <w:color w:val="auto"/>
          <w:sz w:val="21"/>
          <w:szCs w:val="21"/>
          <w:highlight w:val="none"/>
        </w:rPr>
      </w:pPr>
      <w:r>
        <w:rPr>
          <w:color w:val="auto"/>
          <w:sz w:val="21"/>
          <w:szCs w:val="21"/>
          <w:highlight w:val="none"/>
          <w:lang w:val="zh-CN" w:eastAsia="zh-CN" w:bidi="zh-CN"/>
        </w:rPr>
        <w:t>成员一</w:t>
      </w:r>
      <w:r>
        <w:rPr>
          <w:color w:val="auto"/>
          <w:sz w:val="21"/>
          <w:szCs w:val="21"/>
          <w:highlight w:val="none"/>
        </w:rPr>
        <w:t>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30"/>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30"/>
        <w:tabs>
          <w:tab w:val="left" w:pos="9724"/>
          <w:tab w:val="left" w:pos="9736"/>
        </w:tabs>
        <w:spacing w:after="0" w:line="460" w:lineRule="exact"/>
        <w:ind w:firstLine="420" w:firstLineChars="200"/>
        <w:rPr>
          <w:color w:val="auto"/>
          <w:sz w:val="21"/>
          <w:szCs w:val="21"/>
          <w:highlight w:val="none"/>
        </w:rPr>
      </w:pPr>
    </w:p>
    <w:p>
      <w:pPr>
        <w:pStyle w:val="30"/>
        <w:tabs>
          <w:tab w:val="left" w:pos="9724"/>
          <w:tab w:val="left" w:pos="9736"/>
        </w:tabs>
        <w:spacing w:after="0" w:line="460" w:lineRule="exact"/>
        <w:ind w:firstLine="1659" w:firstLineChars="790"/>
        <w:rPr>
          <w:color w:val="auto"/>
          <w:sz w:val="21"/>
          <w:szCs w:val="21"/>
          <w:highlight w:val="none"/>
        </w:rPr>
      </w:pPr>
      <w:r>
        <w:rPr>
          <w:color w:val="auto"/>
          <w:sz w:val="21"/>
          <w:szCs w:val="21"/>
          <w:highlight w:val="none"/>
        </w:rPr>
        <w:t>成员二名称：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30"/>
        <w:tabs>
          <w:tab w:val="left" w:pos="9724"/>
          <w:tab w:val="left" w:pos="9736"/>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41"/>
        <w:spacing w:after="240" w:line="240" w:lineRule="auto"/>
        <w:ind w:firstLine="620"/>
        <w:jc w:val="both"/>
        <w:rPr>
          <w:color w:val="auto"/>
          <w:highlight w:val="none"/>
        </w:rPr>
      </w:pPr>
    </w:p>
    <w:p>
      <w:pPr>
        <w:pStyle w:val="36"/>
        <w:spacing w:after="0" w:line="460" w:lineRule="exact"/>
        <w:ind w:firstLine="420" w:firstLineChars="200"/>
        <w:rPr>
          <w:color w:val="auto"/>
          <w:sz w:val="21"/>
          <w:szCs w:val="21"/>
          <w:highlight w:val="none"/>
        </w:rPr>
      </w:pPr>
    </w:p>
    <w:p>
      <w:pPr>
        <w:pStyle w:val="36"/>
        <w:spacing w:after="0" w:line="460" w:lineRule="exact"/>
        <w:ind w:firstLine="420" w:firstLineChars="200"/>
        <w:rPr>
          <w:color w:val="auto"/>
          <w:sz w:val="21"/>
          <w:szCs w:val="21"/>
          <w:highlight w:val="none"/>
        </w:rPr>
      </w:pPr>
    </w:p>
    <w:p>
      <w:pPr>
        <w:pStyle w:val="36"/>
        <w:spacing w:after="0" w:line="460" w:lineRule="exact"/>
        <w:ind w:firstLine="420" w:firstLineChars="200"/>
        <w:rPr>
          <w:color w:val="auto"/>
          <w:sz w:val="21"/>
          <w:szCs w:val="21"/>
          <w:highlight w:val="none"/>
        </w:rPr>
      </w:pPr>
    </w:p>
    <w:p>
      <w:pPr>
        <w:pStyle w:val="36"/>
        <w:spacing w:after="0" w:line="460" w:lineRule="exact"/>
        <w:ind w:firstLine="420" w:firstLineChars="200"/>
        <w:rPr>
          <w:b/>
          <w:bCs/>
          <w:color w:val="auto"/>
          <w:sz w:val="36"/>
          <w:szCs w:val="36"/>
          <w:highlight w:val="none"/>
          <w:lang w:val="en-US" w:eastAsia="zh-CN"/>
        </w:rPr>
      </w:pPr>
      <w:r>
        <w:rPr>
          <w:rFonts w:hint="eastAsia"/>
          <w:color w:val="auto"/>
          <w:sz w:val="21"/>
          <w:szCs w:val="21"/>
          <w:highlight w:val="none"/>
        </w:rPr>
        <w:t>注：本协议书由委托代理人签字或盖章时，应附法定代表人签字的授权委托书。</w:t>
      </w:r>
      <w:bookmarkStart w:id="505" w:name="_Toc27276"/>
      <w:bookmarkStart w:id="506" w:name="_Toc22250"/>
    </w:p>
    <w:p>
      <w:pPr>
        <w:pStyle w:val="32"/>
        <w:keepNext/>
        <w:keepLines/>
        <w:spacing w:beforeLines="100" w:afterLines="50"/>
        <w:jc w:val="center"/>
        <w:outlineLvl w:val="1"/>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zh-CN"/>
        </w:rPr>
      </w:pPr>
      <w:r>
        <w:rPr>
          <w:rFonts w:hint="eastAsia"/>
          <w:b/>
          <w:bCs/>
          <w:color w:val="auto"/>
          <w:sz w:val="36"/>
          <w:szCs w:val="36"/>
          <w:highlight w:val="none"/>
          <w:lang w:val="en-US" w:eastAsia="zh-CN"/>
        </w:rPr>
        <w:t>四、投标保证金</w:t>
      </w:r>
      <w:bookmarkEnd w:id="505"/>
      <w:bookmarkEnd w:id="506"/>
    </w:p>
    <w:p>
      <w:pPr>
        <w:pStyle w:val="32"/>
        <w:keepNext/>
        <w:keepLines/>
        <w:spacing w:beforeLines="100" w:afterLines="50"/>
        <w:jc w:val="center"/>
        <w:outlineLvl w:val="9"/>
        <w:rPr>
          <w:color w:val="auto"/>
          <w:sz w:val="24"/>
          <w:szCs w:val="24"/>
          <w:highlight w:val="none"/>
        </w:rPr>
      </w:pPr>
      <w:r>
        <w:rPr>
          <w:rFonts w:hint="eastAsia"/>
          <w:color w:val="auto"/>
          <w:sz w:val="24"/>
          <w:szCs w:val="24"/>
          <w:highlight w:val="none"/>
        </w:rPr>
        <w:t>（投标保证金由评标专家在系统中核查）</w:t>
      </w: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9"/>
        <w:rPr>
          <w:color w:val="auto"/>
          <w:sz w:val="24"/>
          <w:szCs w:val="24"/>
          <w:highlight w:val="none"/>
        </w:rPr>
      </w:pPr>
    </w:p>
    <w:p>
      <w:pPr>
        <w:pStyle w:val="32"/>
        <w:keepNext/>
        <w:keepLines/>
        <w:spacing w:beforeLines="100" w:afterLines="50"/>
        <w:jc w:val="center"/>
        <w:outlineLvl w:val="1"/>
        <w:rPr>
          <w:b/>
          <w:bCs/>
          <w:color w:val="auto"/>
          <w:sz w:val="36"/>
          <w:szCs w:val="36"/>
          <w:highlight w:val="none"/>
          <w:lang w:val="en-US" w:eastAsia="zh-CN"/>
        </w:rPr>
      </w:pPr>
      <w:bookmarkStart w:id="507" w:name="_Toc19463"/>
      <w:bookmarkStart w:id="508" w:name="_Toc12289"/>
    </w:p>
    <w:p>
      <w:pPr>
        <w:pStyle w:val="32"/>
        <w:keepNext/>
        <w:keepLines/>
        <w:spacing w:beforeLines="100" w:afterLines="50"/>
        <w:jc w:val="center"/>
        <w:outlineLvl w:val="1"/>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en-US"/>
        </w:rPr>
      </w:pPr>
      <w:r>
        <w:rPr>
          <w:rFonts w:hint="eastAsia"/>
          <w:b/>
          <w:bCs/>
          <w:color w:val="auto"/>
          <w:sz w:val="36"/>
          <w:szCs w:val="36"/>
          <w:highlight w:val="none"/>
          <w:lang w:val="en-US" w:eastAsia="zh-CN"/>
        </w:rPr>
        <w:t>五</w:t>
      </w:r>
      <w:r>
        <w:rPr>
          <w:rFonts w:hint="eastAsia"/>
          <w:b/>
          <w:bCs/>
          <w:color w:val="auto"/>
          <w:sz w:val="36"/>
          <w:szCs w:val="36"/>
          <w:highlight w:val="none"/>
          <w:lang w:val="en-US" w:eastAsia="en-US"/>
        </w:rPr>
        <w:t>、项目管理机构</w:t>
      </w:r>
      <w:bookmarkEnd w:id="507"/>
      <w:bookmarkEnd w:id="508"/>
    </w:p>
    <w:p>
      <w:pPr>
        <w:pStyle w:val="33"/>
        <w:keepNext/>
        <w:keepLines/>
        <w:spacing w:after="0" w:line="600" w:lineRule="exact"/>
        <w:outlineLvl w:val="9"/>
        <w:rPr>
          <w:b/>
          <w:bCs/>
          <w:color w:val="auto"/>
          <w:sz w:val="24"/>
          <w:szCs w:val="24"/>
          <w:highlight w:val="none"/>
        </w:rPr>
      </w:pPr>
      <w:bookmarkStart w:id="509" w:name="_Toc12267"/>
      <w:bookmarkStart w:id="510" w:name="_Toc9817"/>
      <w:bookmarkStart w:id="511" w:name="_Toc1299"/>
      <w:bookmarkStart w:id="512" w:name="_Toc29365"/>
      <w:r>
        <w:rPr>
          <w:rFonts w:hint="eastAsia"/>
          <w:b/>
          <w:bCs/>
          <w:color w:val="auto"/>
          <w:sz w:val="24"/>
          <w:szCs w:val="24"/>
          <w:highlight w:val="none"/>
          <w:lang w:eastAsia="zh-CN"/>
        </w:rPr>
        <w:t>（</w:t>
      </w:r>
      <w:r>
        <w:rPr>
          <w:b/>
          <w:bCs/>
          <w:color w:val="auto"/>
          <w:sz w:val="24"/>
          <w:szCs w:val="24"/>
          <w:highlight w:val="none"/>
        </w:rPr>
        <w:t>一）项目管理机构组成表</w:t>
      </w:r>
      <w:bookmarkEnd w:id="509"/>
      <w:bookmarkEnd w:id="510"/>
      <w:bookmarkEnd w:id="511"/>
      <w:bookmarkEnd w:id="512"/>
    </w:p>
    <w:tbl>
      <w:tblPr>
        <w:tblStyle w:val="22"/>
        <w:tblW w:w="9356" w:type="dxa"/>
        <w:jc w:val="center"/>
        <w:tblLayout w:type="fixed"/>
        <w:tblCellMar>
          <w:top w:w="0" w:type="dxa"/>
          <w:left w:w="108" w:type="dxa"/>
          <w:bottom w:w="0" w:type="dxa"/>
          <w:right w:w="108" w:type="dxa"/>
        </w:tblCellMar>
      </w:tblPr>
      <w:tblGrid>
        <w:gridCol w:w="740"/>
        <w:gridCol w:w="734"/>
        <w:gridCol w:w="724"/>
        <w:gridCol w:w="1077"/>
        <w:gridCol w:w="1086"/>
        <w:gridCol w:w="1067"/>
        <w:gridCol w:w="1050"/>
        <w:gridCol w:w="1105"/>
        <w:gridCol w:w="1773"/>
      </w:tblGrid>
      <w:tr>
        <w:tblPrEx>
          <w:tblCellMar>
            <w:top w:w="0" w:type="dxa"/>
            <w:left w:w="108" w:type="dxa"/>
            <w:bottom w:w="0" w:type="dxa"/>
            <w:right w:w="108" w:type="dxa"/>
          </w:tblCellMar>
        </w:tblPrEx>
        <w:trPr>
          <w:trHeight w:val="495" w:hRule="exact"/>
          <w:jc w:val="center"/>
        </w:trPr>
        <w:tc>
          <w:tcPr>
            <w:tcW w:w="810" w:type="dxa"/>
            <w:vMerge w:val="restart"/>
            <w:tcBorders>
              <w:top w:val="single" w:color="auto" w:sz="4" w:space="0"/>
              <w:left w:val="single" w:color="auto" w:sz="4" w:space="0"/>
            </w:tcBorders>
            <w:shd w:val="clear" w:color="auto" w:fill="FFFFFF"/>
            <w:vAlign w:val="center"/>
          </w:tcPr>
          <w:p>
            <w:pPr>
              <w:pStyle w:val="36"/>
              <w:spacing w:after="0" w:line="240" w:lineRule="auto"/>
              <w:ind w:firstLine="0"/>
              <w:rPr>
                <w:color w:val="auto"/>
                <w:sz w:val="21"/>
                <w:szCs w:val="21"/>
                <w:highlight w:val="none"/>
              </w:rPr>
            </w:pPr>
            <w:r>
              <w:rPr>
                <w:rFonts w:hint="eastAsia"/>
                <w:color w:val="auto"/>
                <w:sz w:val="21"/>
                <w:szCs w:val="21"/>
                <w:highlight w:val="none"/>
              </w:rPr>
              <w:t>职务</w:t>
            </w:r>
          </w:p>
        </w:tc>
        <w:tc>
          <w:tcPr>
            <w:tcW w:w="801" w:type="dxa"/>
            <w:vMerge w:val="restart"/>
            <w:tcBorders>
              <w:top w:val="single" w:color="auto" w:sz="4" w:space="0"/>
              <w:left w:val="single" w:color="auto" w:sz="4" w:space="0"/>
            </w:tcBorders>
            <w:shd w:val="clear" w:color="auto" w:fill="FFFFFF"/>
            <w:vAlign w:val="center"/>
          </w:tcPr>
          <w:p>
            <w:pPr>
              <w:pStyle w:val="36"/>
              <w:spacing w:after="0" w:line="240" w:lineRule="auto"/>
              <w:ind w:firstLine="0"/>
              <w:rPr>
                <w:color w:val="auto"/>
                <w:sz w:val="21"/>
                <w:szCs w:val="21"/>
                <w:highlight w:val="none"/>
              </w:rPr>
            </w:pPr>
            <w:r>
              <w:rPr>
                <w:rFonts w:hint="eastAsia"/>
                <w:color w:val="auto"/>
                <w:sz w:val="21"/>
                <w:szCs w:val="21"/>
                <w:highlight w:val="none"/>
              </w:rPr>
              <w:t>姓名</w:t>
            </w:r>
          </w:p>
        </w:tc>
        <w:tc>
          <w:tcPr>
            <w:tcW w:w="790" w:type="dxa"/>
            <w:vMerge w:val="restart"/>
            <w:tcBorders>
              <w:top w:val="single" w:color="auto" w:sz="4" w:space="0"/>
              <w:left w:val="single" w:color="auto" w:sz="4" w:space="0"/>
            </w:tcBorders>
            <w:shd w:val="clear" w:color="auto" w:fill="FFFFFF"/>
            <w:vAlign w:val="center"/>
          </w:tcPr>
          <w:p>
            <w:pPr>
              <w:pStyle w:val="36"/>
              <w:spacing w:after="0" w:line="240" w:lineRule="auto"/>
              <w:ind w:firstLine="0"/>
              <w:rPr>
                <w:color w:val="auto"/>
                <w:sz w:val="21"/>
                <w:szCs w:val="21"/>
                <w:highlight w:val="none"/>
              </w:rPr>
            </w:pPr>
            <w:r>
              <w:rPr>
                <w:rFonts w:hint="eastAsia"/>
                <w:color w:val="auto"/>
                <w:sz w:val="21"/>
                <w:szCs w:val="21"/>
                <w:highlight w:val="none"/>
              </w:rPr>
              <w:t>职称</w:t>
            </w:r>
          </w:p>
        </w:tc>
        <w:tc>
          <w:tcPr>
            <w:tcW w:w="5955" w:type="dxa"/>
            <w:gridSpan w:val="5"/>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执业或职业资格证明</w:t>
            </w:r>
          </w:p>
        </w:tc>
        <w:tc>
          <w:tcPr>
            <w:tcW w:w="1981" w:type="dxa"/>
            <w:vMerge w:val="restart"/>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495" w:hRule="exact"/>
          <w:jc w:val="center"/>
        </w:trPr>
        <w:tc>
          <w:tcPr>
            <w:tcW w:w="81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801"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79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证书名称</w:t>
            </w:r>
          </w:p>
        </w:tc>
        <w:tc>
          <w:tcPr>
            <w:tcW w:w="1201" w:type="dxa"/>
            <w:tcBorders>
              <w:top w:val="single" w:color="auto" w:sz="4" w:space="0"/>
              <w:left w:val="single" w:color="auto" w:sz="4" w:space="0"/>
            </w:tcBorders>
            <w:shd w:val="clear" w:color="auto" w:fill="FFFFFF"/>
            <w:vAlign w:val="center"/>
          </w:tcPr>
          <w:p>
            <w:pPr>
              <w:pStyle w:val="36"/>
              <w:spacing w:after="0" w:line="240" w:lineRule="auto"/>
              <w:ind w:firstLine="360"/>
              <w:jc w:val="center"/>
              <w:rPr>
                <w:color w:val="auto"/>
                <w:sz w:val="21"/>
                <w:szCs w:val="21"/>
                <w:highlight w:val="none"/>
              </w:rPr>
            </w:pPr>
            <w:r>
              <w:rPr>
                <w:rFonts w:hint="eastAsia"/>
                <w:color w:val="auto"/>
                <w:sz w:val="21"/>
                <w:szCs w:val="21"/>
                <w:highlight w:val="none"/>
              </w:rPr>
              <w:t>级别</w:t>
            </w:r>
          </w:p>
        </w:tc>
        <w:tc>
          <w:tcPr>
            <w:tcW w:w="118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证号</w:t>
            </w:r>
          </w:p>
        </w:tc>
        <w:tc>
          <w:tcPr>
            <w:tcW w:w="116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专业</w:t>
            </w:r>
          </w:p>
        </w:tc>
        <w:tc>
          <w:tcPr>
            <w:tcW w:w="1223"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社会保险</w:t>
            </w:r>
          </w:p>
        </w:tc>
        <w:tc>
          <w:tcPr>
            <w:tcW w:w="1981" w:type="dxa"/>
            <w:vMerge w:val="continue"/>
            <w:tcBorders>
              <w:left w:val="single" w:color="auto" w:sz="4" w:space="0"/>
              <w:right w:val="single" w:color="auto" w:sz="4" w:space="0"/>
            </w:tcBorders>
            <w:shd w:val="clear" w:color="auto" w:fill="FFFFFF"/>
            <w:vAlign w:val="center"/>
          </w:tcPr>
          <w:p>
            <w:pPr>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8"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81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before="29" w:line="253" w:lineRule="auto"/>
        <w:ind w:right="41"/>
        <w:rPr>
          <w:rFonts w:ascii="宋体" w:hAnsi="宋体" w:eastAsia="宋体" w:cs="宋体"/>
          <w:color w:val="auto"/>
          <w:spacing w:val="2"/>
          <w:highlight w:val="none"/>
        </w:rPr>
      </w:pPr>
      <w:bookmarkStart w:id="513" w:name="_Toc1163"/>
      <w:bookmarkStart w:id="514" w:name="_Toc23014"/>
      <w:bookmarkStart w:id="515" w:name="_Toc29699"/>
    </w:p>
    <w:p>
      <w:pPr>
        <w:spacing w:before="29" w:line="253" w:lineRule="auto"/>
        <w:ind w:right="41"/>
        <w:rPr>
          <w:color w:val="auto"/>
          <w:highlight w:val="none"/>
        </w:rPr>
        <w:sectPr>
          <w:footerReference r:id="rId37" w:type="default"/>
          <w:pgSz w:w="11907" w:h="16841"/>
          <w:pgMar w:top="400" w:right="1433" w:bottom="1278" w:left="1493" w:header="0" w:footer="850" w:gutter="0"/>
          <w:cols w:space="720" w:num="1"/>
        </w:sectPr>
      </w:pPr>
      <w:r>
        <w:rPr>
          <w:rFonts w:ascii="宋体" w:hAnsi="宋体" w:eastAsia="宋体" w:cs="宋体"/>
          <w:color w:val="auto"/>
          <w:spacing w:val="2"/>
          <w:highlight w:val="none"/>
        </w:rPr>
        <w:t>注：拟派项目管理机构主要人员必须在浙江省水利厅“透明工程”应用</w:t>
      </w:r>
      <w:r>
        <w:rPr>
          <w:rFonts w:ascii="宋体" w:hAnsi="宋体" w:eastAsia="宋体" w:cs="宋体"/>
          <w:color w:val="auto"/>
          <w:spacing w:val="1"/>
          <w:highlight w:val="none"/>
        </w:rPr>
        <w:t>上已经公示。投标人</w:t>
      </w:r>
      <w:r>
        <w:rPr>
          <w:rFonts w:ascii="宋体" w:hAnsi="宋体" w:eastAsia="宋体" w:cs="宋体"/>
          <w:color w:val="auto"/>
          <w:spacing w:val="-1"/>
          <w:highlight w:val="none"/>
        </w:rPr>
        <w:t>应在“</w:t>
      </w:r>
      <w:r>
        <w:rPr>
          <w:rFonts w:hint="eastAsia" w:ascii="宋体" w:hAnsi="宋体" w:eastAsia="宋体" w:cs="宋体"/>
          <w:color w:val="auto"/>
          <w:spacing w:val="-1"/>
          <w:highlight w:val="none"/>
        </w:rPr>
        <w:t>八</w:t>
      </w:r>
      <w:r>
        <w:rPr>
          <w:rFonts w:ascii="宋体" w:hAnsi="宋体" w:eastAsia="宋体" w:cs="宋体"/>
          <w:color w:val="auto"/>
          <w:spacing w:val="-1"/>
          <w:highlight w:val="none"/>
        </w:rPr>
        <w:t>、原件的复制件”中提供公示网页</w:t>
      </w:r>
      <w:r>
        <w:rPr>
          <w:rFonts w:ascii="宋体" w:hAnsi="宋体" w:eastAsia="宋体" w:cs="宋体"/>
          <w:color w:val="auto"/>
          <w:highlight w:val="none"/>
        </w:rPr>
        <w:t>的打印件。</w:t>
      </w:r>
    </w:p>
    <w:p>
      <w:pPr>
        <w:pStyle w:val="33"/>
        <w:keepNext/>
        <w:keepLines/>
        <w:spacing w:after="0" w:line="600" w:lineRule="exact"/>
        <w:outlineLvl w:val="9"/>
        <w:rPr>
          <w:b/>
          <w:bCs/>
          <w:color w:val="auto"/>
          <w:sz w:val="24"/>
          <w:szCs w:val="24"/>
          <w:highlight w:val="none"/>
        </w:rPr>
      </w:pPr>
      <w:bookmarkStart w:id="516" w:name="_Toc12968"/>
      <w:r>
        <w:rPr>
          <w:rFonts w:hint="eastAsia"/>
          <w:b/>
          <w:bCs/>
          <w:color w:val="auto"/>
          <w:sz w:val="24"/>
          <w:szCs w:val="24"/>
          <w:highlight w:val="none"/>
          <w:lang w:eastAsia="zh-CN"/>
        </w:rPr>
        <w:t>（</w:t>
      </w:r>
      <w:r>
        <w:rPr>
          <w:b/>
          <w:bCs/>
          <w:color w:val="auto"/>
          <w:sz w:val="24"/>
          <w:szCs w:val="24"/>
          <w:highlight w:val="none"/>
        </w:rPr>
        <w:t>二）主要人员简历表</w:t>
      </w:r>
      <w:bookmarkEnd w:id="513"/>
      <w:bookmarkEnd w:id="514"/>
      <w:bookmarkEnd w:id="515"/>
      <w:bookmarkEnd w:id="516"/>
    </w:p>
    <w:tbl>
      <w:tblPr>
        <w:tblStyle w:val="22"/>
        <w:tblW w:w="9356" w:type="dxa"/>
        <w:jc w:val="center"/>
        <w:tblLayout w:type="fixed"/>
        <w:tblCellMar>
          <w:top w:w="0" w:type="dxa"/>
          <w:left w:w="108" w:type="dxa"/>
          <w:bottom w:w="0" w:type="dxa"/>
          <w:right w:w="108" w:type="dxa"/>
        </w:tblCellMar>
      </w:tblPr>
      <w:tblGrid>
        <w:gridCol w:w="898"/>
        <w:gridCol w:w="406"/>
        <w:gridCol w:w="1608"/>
        <w:gridCol w:w="1213"/>
        <w:gridCol w:w="959"/>
        <w:gridCol w:w="382"/>
        <w:gridCol w:w="1135"/>
        <w:gridCol w:w="1175"/>
        <w:gridCol w:w="1580"/>
      </w:tblGrid>
      <w:tr>
        <w:tblPrEx>
          <w:tblCellMar>
            <w:top w:w="0" w:type="dxa"/>
            <w:left w:w="108" w:type="dxa"/>
            <w:bottom w:w="0" w:type="dxa"/>
            <w:right w:w="108" w:type="dxa"/>
          </w:tblCellMar>
        </w:tblPrEx>
        <w:trPr>
          <w:trHeight w:val="611" w:hRule="exact"/>
          <w:jc w:val="center"/>
        </w:trPr>
        <w:tc>
          <w:tcPr>
            <w:tcW w:w="1357" w:type="dxa"/>
            <w:gridSpan w:val="2"/>
            <w:tcBorders>
              <w:top w:val="single" w:color="auto" w:sz="4" w:space="0"/>
              <w:left w:val="single" w:color="auto" w:sz="4" w:space="0"/>
            </w:tcBorders>
            <w:shd w:val="clear" w:color="auto" w:fill="FFFFFF"/>
            <w:vAlign w:val="center"/>
          </w:tcPr>
          <w:p>
            <w:pPr>
              <w:pStyle w:val="36"/>
              <w:spacing w:after="0" w:line="240" w:lineRule="auto"/>
              <w:ind w:firstLine="160"/>
              <w:rPr>
                <w:color w:val="auto"/>
                <w:sz w:val="21"/>
                <w:szCs w:val="21"/>
                <w:highlight w:val="none"/>
              </w:rPr>
            </w:pPr>
            <w:r>
              <w:rPr>
                <w:rFonts w:hint="eastAsia"/>
                <w:color w:val="auto"/>
                <w:sz w:val="21"/>
                <w:szCs w:val="21"/>
                <w:highlight w:val="none"/>
              </w:rPr>
              <w:t>姓名</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年龄</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学历</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1357" w:type="dxa"/>
            <w:gridSpan w:val="2"/>
            <w:tcBorders>
              <w:top w:val="single" w:color="auto" w:sz="4" w:space="0"/>
              <w:left w:val="single" w:color="auto" w:sz="4" w:space="0"/>
            </w:tcBorders>
            <w:shd w:val="clear" w:color="auto" w:fill="FFFFFF"/>
            <w:vAlign w:val="center"/>
          </w:tcPr>
          <w:p>
            <w:pPr>
              <w:pStyle w:val="36"/>
              <w:spacing w:after="0" w:line="240" w:lineRule="auto"/>
              <w:ind w:firstLine="160"/>
              <w:rPr>
                <w:color w:val="auto"/>
                <w:sz w:val="21"/>
                <w:szCs w:val="21"/>
                <w:highlight w:val="none"/>
              </w:rPr>
            </w:pPr>
            <w:r>
              <w:rPr>
                <w:rFonts w:hint="eastAsia"/>
                <w:color w:val="auto"/>
                <w:sz w:val="21"/>
                <w:szCs w:val="21"/>
                <w:highlight w:val="none"/>
              </w:rPr>
              <w:t>执业资格</w:t>
            </w:r>
          </w:p>
        </w:tc>
        <w:tc>
          <w:tcPr>
            <w:tcW w:w="4327" w:type="dxa"/>
            <w:gridSpan w:val="4"/>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安全生产考核合格证书</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6"/>
              <w:spacing w:after="0" w:line="240" w:lineRule="auto"/>
              <w:ind w:firstLine="160"/>
              <w:rPr>
                <w:color w:val="auto"/>
                <w:sz w:val="21"/>
                <w:szCs w:val="21"/>
                <w:highlight w:val="none"/>
              </w:rPr>
            </w:pPr>
            <w:r>
              <w:rPr>
                <w:rFonts w:hint="eastAsia"/>
                <w:color w:val="auto"/>
                <w:sz w:val="21"/>
                <w:szCs w:val="21"/>
                <w:highlight w:val="none"/>
              </w:rPr>
              <w:t>职称</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职务</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拟在本合同任职</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6"/>
              <w:spacing w:after="0" w:line="240" w:lineRule="auto"/>
              <w:ind w:firstLine="160"/>
              <w:rPr>
                <w:color w:val="auto"/>
                <w:sz w:val="21"/>
                <w:szCs w:val="21"/>
                <w:highlight w:val="none"/>
              </w:rPr>
            </w:pPr>
            <w:r>
              <w:rPr>
                <w:rFonts w:hint="eastAsia"/>
                <w:color w:val="auto"/>
                <w:sz w:val="21"/>
                <w:szCs w:val="21"/>
                <w:highlight w:val="none"/>
              </w:rPr>
              <w:t>毕业学校</w:t>
            </w:r>
          </w:p>
        </w:tc>
        <w:tc>
          <w:tcPr>
            <w:tcW w:w="8380" w:type="dxa"/>
            <w:gridSpan w:val="7"/>
            <w:tcBorders>
              <w:top w:val="single" w:color="auto" w:sz="4" w:space="0"/>
              <w:left w:val="single" w:color="auto" w:sz="4" w:space="0"/>
              <w:right w:val="single" w:color="auto" w:sz="4" w:space="0"/>
            </w:tcBorders>
            <w:shd w:val="clear" w:color="auto" w:fill="FFFFFF"/>
            <w:vAlign w:val="center"/>
          </w:tcPr>
          <w:p>
            <w:pPr>
              <w:pStyle w:val="36"/>
              <w:tabs>
                <w:tab w:val="left" w:pos="2736"/>
                <w:tab w:val="left" w:pos="4632"/>
              </w:tabs>
              <w:spacing w:after="0" w:line="240" w:lineRule="auto"/>
              <w:ind w:firstLine="0"/>
              <w:jc w:val="center"/>
              <w:rPr>
                <w:color w:val="auto"/>
                <w:sz w:val="21"/>
                <w:szCs w:val="21"/>
                <w:highlight w:val="none"/>
              </w:rPr>
            </w:pPr>
            <w:r>
              <w:rPr>
                <w:rFonts w:hint="eastAsia"/>
                <w:color w:val="auto"/>
                <w:sz w:val="21"/>
                <w:szCs w:val="21"/>
                <w:highlight w:val="none"/>
              </w:rPr>
              <w:t>年毕业于</w:t>
            </w:r>
            <w:r>
              <w:rPr>
                <w:rFonts w:hint="eastAsia"/>
                <w:color w:val="auto"/>
                <w:sz w:val="21"/>
                <w:szCs w:val="21"/>
                <w:highlight w:val="none"/>
              </w:rPr>
              <w:tab/>
            </w:r>
            <w:r>
              <w:rPr>
                <w:rFonts w:hint="eastAsia"/>
                <w:color w:val="auto"/>
                <w:sz w:val="21"/>
                <w:szCs w:val="21"/>
                <w:highlight w:val="none"/>
              </w:rPr>
              <w:t>学校</w:t>
            </w:r>
            <w:r>
              <w:rPr>
                <w:rFonts w:hint="eastAsia"/>
                <w:color w:val="auto"/>
                <w:sz w:val="21"/>
                <w:szCs w:val="21"/>
                <w:highlight w:val="none"/>
              </w:rPr>
              <w:tab/>
            </w:r>
            <w:r>
              <w:rPr>
                <w:rFonts w:hint="eastAsia"/>
                <w:color w:val="auto"/>
                <w:sz w:val="21"/>
                <w:szCs w:val="21"/>
                <w:highlight w:val="none"/>
              </w:rPr>
              <w:t>专业</w:t>
            </w:r>
          </w:p>
        </w:tc>
      </w:tr>
      <w:tr>
        <w:tblPrEx>
          <w:tblCellMar>
            <w:top w:w="0" w:type="dxa"/>
            <w:left w:w="108" w:type="dxa"/>
            <w:bottom w:w="0" w:type="dxa"/>
            <w:right w:w="108" w:type="dxa"/>
          </w:tblCellMar>
        </w:tblPrEx>
        <w:trPr>
          <w:trHeight w:val="595" w:hRule="exact"/>
          <w:jc w:val="center"/>
        </w:trPr>
        <w:tc>
          <w:tcPr>
            <w:tcW w:w="9737" w:type="dxa"/>
            <w:gridSpan w:val="9"/>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主要施工管理经历</w:t>
            </w: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时间</w:t>
            </w:r>
          </w:p>
        </w:tc>
        <w:tc>
          <w:tcPr>
            <w:tcW w:w="4356" w:type="dxa"/>
            <w:gridSpan w:val="4"/>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参加过的类似项目</w:t>
            </w:r>
          </w:p>
        </w:tc>
        <w:tc>
          <w:tcPr>
            <w:tcW w:w="1578" w:type="dxa"/>
            <w:gridSpan w:val="2"/>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担任职务</w:t>
            </w:r>
          </w:p>
        </w:tc>
        <w:tc>
          <w:tcPr>
            <w:tcW w:w="2872" w:type="dxa"/>
            <w:gridSpan w:val="2"/>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发包人及联系电话</w:t>
            </w: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640" w:hRule="exact"/>
          <w:jc w:val="center"/>
        </w:trPr>
        <w:tc>
          <w:tcPr>
            <w:tcW w:w="93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spacing w:before="29" w:line="221" w:lineRule="auto"/>
        <w:ind w:left="46"/>
        <w:rPr>
          <w:rFonts w:ascii="宋体" w:hAnsi="宋体" w:eastAsia="宋体" w:cs="宋体"/>
          <w:color w:val="auto"/>
          <w:highlight w:val="none"/>
        </w:rPr>
      </w:pPr>
      <w:r>
        <w:rPr>
          <w:rFonts w:ascii="宋体" w:hAnsi="宋体" w:eastAsia="宋体" w:cs="宋体"/>
          <w:color w:val="auto"/>
          <w:spacing w:val="-1"/>
          <w:highlight w:val="none"/>
        </w:rPr>
        <w:t>注：主要人员指项目负责人、技术负</w:t>
      </w:r>
      <w:r>
        <w:rPr>
          <w:rFonts w:ascii="宋体" w:hAnsi="宋体" w:eastAsia="宋体" w:cs="宋体"/>
          <w:color w:val="auto"/>
          <w:highlight w:val="none"/>
        </w:rPr>
        <w:t>责人、专职安全生产管理人员、施工员、质检员、安全员。</w:t>
      </w:r>
    </w:p>
    <w:p>
      <w:pPr>
        <w:pStyle w:val="34"/>
        <w:spacing w:after="0" w:line="460" w:lineRule="exact"/>
        <w:ind w:firstLine="420" w:firstLineChars="200"/>
        <w:jc w:val="both"/>
        <w:rPr>
          <w:color w:val="auto"/>
          <w:sz w:val="21"/>
          <w:szCs w:val="21"/>
          <w:highlight w:val="none"/>
        </w:rPr>
      </w:pPr>
      <w:r>
        <w:rPr>
          <w:color w:val="auto"/>
          <w:sz w:val="21"/>
          <w:szCs w:val="21"/>
          <w:highlight w:val="none"/>
        </w:rPr>
        <w:br w:type="page"/>
      </w:r>
    </w:p>
    <w:p>
      <w:pPr>
        <w:pStyle w:val="32"/>
        <w:keepNext/>
        <w:keepLines/>
        <w:spacing w:beforeLines="100" w:afterLines="50"/>
        <w:jc w:val="center"/>
        <w:outlineLvl w:val="1"/>
        <w:rPr>
          <w:b/>
          <w:bCs/>
          <w:color w:val="auto"/>
          <w:sz w:val="32"/>
          <w:szCs w:val="32"/>
          <w:highlight w:val="none"/>
          <w:lang w:val="en-US" w:eastAsia="en-US"/>
        </w:rPr>
      </w:pPr>
      <w:bookmarkStart w:id="517" w:name="_Toc24453"/>
      <w:bookmarkStart w:id="518" w:name="_Toc20658"/>
      <w:r>
        <w:rPr>
          <w:rFonts w:hint="eastAsia"/>
          <w:b/>
          <w:bCs/>
          <w:color w:val="auto"/>
          <w:sz w:val="32"/>
          <w:szCs w:val="32"/>
          <w:highlight w:val="none"/>
          <w:lang w:val="en-US" w:eastAsia="zh-CN"/>
        </w:rPr>
        <w:t>六</w:t>
      </w:r>
      <w:r>
        <w:rPr>
          <w:rFonts w:hint="eastAsia"/>
          <w:b/>
          <w:bCs/>
          <w:color w:val="auto"/>
          <w:sz w:val="32"/>
          <w:szCs w:val="32"/>
          <w:highlight w:val="none"/>
          <w:lang w:val="en-US" w:eastAsia="en-US"/>
        </w:rPr>
        <w:t>、拟分包项目情况表</w:t>
      </w:r>
      <w:bookmarkEnd w:id="517"/>
      <w:bookmarkEnd w:id="518"/>
    </w:p>
    <w:tbl>
      <w:tblPr>
        <w:tblStyle w:val="22"/>
        <w:tblW w:w="9356" w:type="dxa"/>
        <w:jc w:val="center"/>
        <w:tblLayout w:type="fixed"/>
        <w:tblCellMar>
          <w:top w:w="0" w:type="dxa"/>
          <w:left w:w="108" w:type="dxa"/>
          <w:bottom w:w="0" w:type="dxa"/>
          <w:right w:w="108" w:type="dxa"/>
        </w:tblCellMar>
      </w:tblPr>
      <w:tblGrid>
        <w:gridCol w:w="1459"/>
        <w:gridCol w:w="2880"/>
        <w:gridCol w:w="2861"/>
        <w:gridCol w:w="2156"/>
      </w:tblGrid>
      <w:tr>
        <w:tblPrEx>
          <w:tblCellMar>
            <w:top w:w="0" w:type="dxa"/>
            <w:left w:w="108" w:type="dxa"/>
            <w:bottom w:w="0" w:type="dxa"/>
            <w:right w:w="108" w:type="dxa"/>
          </w:tblCellMar>
        </w:tblPrEx>
        <w:trPr>
          <w:trHeight w:val="570" w:hRule="exact"/>
          <w:jc w:val="center"/>
        </w:trPr>
        <w:tc>
          <w:tcPr>
            <w:tcW w:w="1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18" w:type="dxa"/>
            <w:tcBorders>
              <w:top w:val="single" w:color="auto" w:sz="4" w:space="0"/>
              <w:left w:val="single" w:color="auto" w:sz="4" w:space="0"/>
            </w:tcBorders>
            <w:shd w:val="clear" w:color="auto" w:fill="FFFFFF"/>
            <w:vAlign w:val="center"/>
          </w:tcPr>
          <w:p>
            <w:pPr>
              <w:pStyle w:val="36"/>
              <w:spacing w:after="0" w:line="240" w:lineRule="auto"/>
              <w:ind w:left="80" w:firstLine="0"/>
              <w:jc w:val="center"/>
              <w:rPr>
                <w:color w:val="auto"/>
                <w:sz w:val="21"/>
                <w:szCs w:val="21"/>
                <w:highlight w:val="none"/>
              </w:rPr>
            </w:pPr>
            <w:r>
              <w:rPr>
                <w:rFonts w:hint="eastAsia"/>
                <w:color w:val="auto"/>
                <w:sz w:val="21"/>
                <w:szCs w:val="21"/>
                <w:highlight w:val="none"/>
              </w:rPr>
              <w:t>拟分包的工程项目</w:t>
            </w:r>
          </w:p>
        </w:tc>
        <w:tc>
          <w:tcPr>
            <w:tcW w:w="2899"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主要内容</w:t>
            </w:r>
          </w:p>
        </w:tc>
        <w:tc>
          <w:tcPr>
            <w:tcW w:w="2184"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预计造价</w:t>
            </w:r>
            <w:r>
              <w:rPr>
                <w:rFonts w:hint="eastAsia"/>
                <w:color w:val="auto"/>
                <w:sz w:val="21"/>
                <w:szCs w:val="21"/>
                <w:highlight w:val="none"/>
                <w:lang w:eastAsia="zh-CN"/>
              </w:rPr>
              <w:t>（</w:t>
            </w:r>
            <w:r>
              <w:rPr>
                <w:rFonts w:hint="eastAsia"/>
                <w:color w:val="auto"/>
                <w:sz w:val="21"/>
                <w:szCs w:val="21"/>
                <w:highlight w:val="none"/>
              </w:rPr>
              <w:t>万元）</w:t>
            </w: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47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38" w:type="default"/>
          <w:footerReference r:id="rId39" w:type="even"/>
          <w:pgSz w:w="11905" w:h="16838"/>
          <w:pgMar w:top="1247" w:right="1417" w:bottom="1247" w:left="1417" w:header="0" w:footer="850" w:gutter="0"/>
          <w:cols w:space="0" w:num="1"/>
          <w:docGrid w:linePitch="360" w:charSpace="0"/>
        </w:sectPr>
      </w:pPr>
    </w:p>
    <w:p>
      <w:pPr>
        <w:pStyle w:val="32"/>
        <w:keepNext/>
        <w:keepLines/>
        <w:spacing w:beforeLines="100" w:afterLines="50"/>
        <w:jc w:val="center"/>
        <w:outlineLvl w:val="1"/>
        <w:rPr>
          <w:b/>
          <w:bCs/>
          <w:color w:val="auto"/>
          <w:sz w:val="32"/>
          <w:szCs w:val="32"/>
          <w:highlight w:val="none"/>
          <w:lang w:val="en-US" w:eastAsia="en-US"/>
        </w:rPr>
      </w:pPr>
      <w:bookmarkStart w:id="519" w:name="_Toc12135"/>
      <w:bookmarkStart w:id="520" w:name="_Toc570"/>
      <w:bookmarkStart w:id="521" w:name="_Toc76053302"/>
      <w:bookmarkStart w:id="522" w:name="_Toc10"/>
      <w:r>
        <w:rPr>
          <w:rFonts w:hint="eastAsia"/>
          <w:b/>
          <w:bCs/>
          <w:color w:val="auto"/>
          <w:sz w:val="32"/>
          <w:szCs w:val="32"/>
          <w:highlight w:val="none"/>
          <w:lang w:val="en-US" w:eastAsia="zh-CN"/>
        </w:rPr>
        <w:t>七</w:t>
      </w:r>
      <w:r>
        <w:rPr>
          <w:rFonts w:hint="eastAsia"/>
          <w:b/>
          <w:bCs/>
          <w:color w:val="auto"/>
          <w:sz w:val="32"/>
          <w:szCs w:val="32"/>
          <w:highlight w:val="none"/>
          <w:lang w:val="en-US" w:eastAsia="en-US"/>
        </w:rPr>
        <w:t>、资格审查资料</w:t>
      </w:r>
      <w:bookmarkEnd w:id="519"/>
      <w:bookmarkEnd w:id="520"/>
      <w:bookmarkEnd w:id="521"/>
      <w:bookmarkEnd w:id="522"/>
    </w:p>
    <w:p>
      <w:pPr>
        <w:pStyle w:val="33"/>
        <w:keepNext/>
        <w:keepLines/>
        <w:spacing w:after="0" w:line="600" w:lineRule="exact"/>
        <w:rPr>
          <w:b/>
          <w:bCs/>
          <w:color w:val="auto"/>
          <w:sz w:val="24"/>
          <w:szCs w:val="24"/>
          <w:highlight w:val="none"/>
        </w:rPr>
      </w:pPr>
      <w:bookmarkStart w:id="523" w:name="_Toc13546"/>
      <w:bookmarkStart w:id="524" w:name="_Toc1187"/>
      <w:bookmarkStart w:id="525" w:name="_Toc5689"/>
      <w:bookmarkStart w:id="526" w:name="_Toc8509"/>
      <w:r>
        <w:rPr>
          <w:rFonts w:hint="eastAsia"/>
          <w:b/>
          <w:bCs/>
          <w:color w:val="auto"/>
          <w:sz w:val="24"/>
          <w:szCs w:val="24"/>
          <w:highlight w:val="none"/>
          <w:lang w:eastAsia="zh-CN"/>
        </w:rPr>
        <w:t>（</w:t>
      </w:r>
      <w:r>
        <w:rPr>
          <w:b/>
          <w:bCs/>
          <w:color w:val="auto"/>
          <w:sz w:val="24"/>
          <w:szCs w:val="24"/>
          <w:highlight w:val="none"/>
        </w:rPr>
        <w:t>一）投标人基本情况表</w:t>
      </w:r>
      <w:bookmarkEnd w:id="523"/>
      <w:bookmarkEnd w:id="524"/>
      <w:bookmarkEnd w:id="525"/>
      <w:bookmarkEnd w:id="526"/>
    </w:p>
    <w:tbl>
      <w:tblPr>
        <w:tblStyle w:val="22"/>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1092"/>
        <w:gridCol w:w="1783"/>
        <w:gridCol w:w="772"/>
        <w:gridCol w:w="531"/>
        <w:gridCol w:w="1151"/>
        <w:gridCol w:w="862"/>
        <w:gridCol w:w="2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投标人名称</w:t>
            </w:r>
          </w:p>
        </w:tc>
        <w:tc>
          <w:tcPr>
            <w:tcW w:w="7380" w:type="dxa"/>
            <w:gridSpan w:val="8"/>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注册地址</w:t>
            </w:r>
          </w:p>
        </w:tc>
        <w:tc>
          <w:tcPr>
            <w:tcW w:w="4198" w:type="dxa"/>
            <w:gridSpan w:val="4"/>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邮政编码</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19"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联系方式</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联系人</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019" w:type="dxa"/>
            <w:vMerge w:val="continue"/>
            <w:vAlign w:val="center"/>
          </w:tcPr>
          <w:p>
            <w:pPr>
              <w:spacing w:line="400" w:lineRule="exact"/>
              <w:jc w:val="center"/>
              <w:rPr>
                <w:rFonts w:ascii="宋体" w:hAnsi="宋体" w:eastAsia="宋体" w:cs="宋体"/>
                <w:color w:val="auto"/>
                <w:highlight w:val="none"/>
              </w:rPr>
            </w:pP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传真</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电子信箱</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企业性质</w:t>
            </w:r>
          </w:p>
        </w:tc>
        <w:tc>
          <w:tcPr>
            <w:tcW w:w="2889" w:type="dxa"/>
            <w:gridSpan w:val="2"/>
            <w:vAlign w:val="center"/>
          </w:tcPr>
          <w:p>
            <w:pPr>
              <w:spacing w:line="400" w:lineRule="exact"/>
              <w:jc w:val="center"/>
              <w:rPr>
                <w:rFonts w:ascii="宋体" w:hAnsi="宋体" w:eastAsia="宋体" w:cs="宋体"/>
                <w:color w:val="auto"/>
                <w:highlight w:val="none"/>
              </w:rPr>
            </w:pPr>
          </w:p>
        </w:tc>
        <w:tc>
          <w:tcPr>
            <w:tcW w:w="2465"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上级主管单位</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法定代表人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技术负责人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成立时间</w:t>
            </w:r>
          </w:p>
        </w:tc>
        <w:tc>
          <w:tcPr>
            <w:tcW w:w="2889" w:type="dxa"/>
            <w:gridSpan w:val="2"/>
            <w:vAlign w:val="center"/>
          </w:tcPr>
          <w:p>
            <w:pPr>
              <w:spacing w:line="400" w:lineRule="exact"/>
              <w:jc w:val="center"/>
              <w:rPr>
                <w:rFonts w:ascii="宋体" w:hAnsi="宋体" w:eastAsia="宋体" w:cs="宋体"/>
                <w:color w:val="auto"/>
                <w:highlight w:val="none"/>
              </w:rPr>
            </w:pPr>
          </w:p>
        </w:tc>
        <w:tc>
          <w:tcPr>
            <w:tcW w:w="4491" w:type="dxa"/>
            <w:gridSpan w:val="6"/>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员工总人数（人）：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企业资质等级</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其中</w:t>
            </w: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项目负责人（人）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统一社会信用代码</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高级职称人员（人）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注册资金</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中级职称人员（人）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基本账户开户银行</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初级职称人员（人）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账号</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技工（人）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最近5年完成的营业额（万元）</w:t>
            </w:r>
          </w:p>
        </w:tc>
        <w:tc>
          <w:tcPr>
            <w:tcW w:w="4491" w:type="dxa"/>
            <w:gridSpan w:val="6"/>
            <w:vAlign w:val="center"/>
          </w:tcPr>
          <w:p>
            <w:pPr>
              <w:spacing w:line="400" w:lineRule="exact"/>
              <w:ind w:firstLine="420" w:firstLineChars="200"/>
              <w:jc w:val="center"/>
              <w:rPr>
                <w:rFonts w:ascii="宋体" w:hAnsi="宋体" w:eastAsia="宋体" w:cs="宋体"/>
                <w:b/>
                <w:color w:val="auto"/>
                <w:highlight w:val="none"/>
              </w:rPr>
            </w:pPr>
            <w:r>
              <w:rPr>
                <w:rFonts w:hint="eastAsia" w:ascii="宋体" w:hAnsi="宋体" w:eastAsia="宋体" w:cs="宋体"/>
                <w:color w:val="auto"/>
                <w:highlight w:val="none"/>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能承担的年最大建安工作量（万元）</w:t>
            </w: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c>
          <w:tcPr>
            <w:tcW w:w="7380" w:type="dxa"/>
            <w:gridSpan w:val="8"/>
            <w:vAlign w:val="center"/>
          </w:tcPr>
          <w:p>
            <w:pPr>
              <w:spacing w:line="400" w:lineRule="exact"/>
              <w:ind w:firstLine="420" w:firstLineChars="200"/>
              <w:jc w:val="center"/>
              <w:rPr>
                <w:rFonts w:ascii="宋体" w:hAnsi="宋体" w:eastAsia="宋体" w:cs="宋体"/>
                <w:color w:val="auto"/>
                <w:highlight w:val="none"/>
              </w:rPr>
            </w:pPr>
          </w:p>
        </w:tc>
      </w:tr>
    </w:tbl>
    <w:p>
      <w:pPr>
        <w:pStyle w:val="34"/>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注：相关材料复印件在“</w:t>
      </w:r>
      <w:r>
        <w:rPr>
          <w:rFonts w:hint="eastAsia"/>
          <w:color w:val="auto"/>
          <w:sz w:val="21"/>
          <w:szCs w:val="21"/>
          <w:highlight w:val="none"/>
          <w:lang w:val="en-US" w:eastAsia="zh-CN"/>
        </w:rPr>
        <w:t>八</w:t>
      </w:r>
      <w:r>
        <w:rPr>
          <w:rFonts w:hint="eastAsia"/>
          <w:color w:val="auto"/>
          <w:sz w:val="21"/>
          <w:szCs w:val="21"/>
          <w:highlight w:val="none"/>
        </w:rPr>
        <w:t>、原件的复</w:t>
      </w:r>
      <w:r>
        <w:rPr>
          <w:rFonts w:hint="eastAsia"/>
          <w:color w:val="auto"/>
          <w:sz w:val="21"/>
          <w:szCs w:val="21"/>
          <w:highlight w:val="none"/>
          <w:lang w:val="en-US" w:eastAsia="zh-CN"/>
        </w:rPr>
        <w:t>制</w:t>
      </w:r>
      <w:r>
        <w:rPr>
          <w:rFonts w:hint="eastAsia"/>
          <w:color w:val="auto"/>
          <w:sz w:val="21"/>
          <w:szCs w:val="21"/>
          <w:highlight w:val="none"/>
        </w:rPr>
        <w:t>件”中提供。</w:t>
      </w:r>
    </w:p>
    <w:p>
      <w:pPr>
        <w:spacing w:before="69" w:line="221" w:lineRule="auto"/>
        <w:rPr>
          <w:rFonts w:ascii="宋体" w:hAnsi="宋体" w:eastAsia="宋体" w:cs="宋体"/>
          <w:b/>
          <w:bCs/>
          <w:snapToGrid/>
          <w:color w:val="auto"/>
          <w:sz w:val="28"/>
          <w:szCs w:val="28"/>
          <w:highlight w:val="none"/>
          <w:lang w:val="zh-TW" w:eastAsia="zh-TW" w:bidi="zh-TW"/>
        </w:rPr>
      </w:pPr>
      <w:bookmarkStart w:id="527" w:name="_Toc3169"/>
      <w:bookmarkStart w:id="528" w:name="_Toc18580"/>
      <w:bookmarkStart w:id="529" w:name="_Toc28029"/>
      <w:bookmarkStart w:id="530" w:name="_Toc14473"/>
    </w:p>
    <w:p>
      <w:pPr>
        <w:pStyle w:val="33"/>
        <w:keepNext/>
        <w:keepLines/>
        <w:spacing w:after="0" w:line="600" w:lineRule="exact"/>
        <w:rPr>
          <w:b/>
          <w:bCs/>
          <w:color w:val="auto"/>
          <w:sz w:val="28"/>
          <w:szCs w:val="28"/>
          <w:highlight w:val="none"/>
        </w:rPr>
      </w:pPr>
      <w:r>
        <w:rPr>
          <w:rFonts w:hint="eastAsia"/>
          <w:b/>
          <w:bCs/>
          <w:color w:val="auto"/>
          <w:sz w:val="28"/>
          <w:szCs w:val="28"/>
          <w:highlight w:val="none"/>
          <w:lang w:eastAsia="zh-CN"/>
        </w:rPr>
        <w:t>（</w:t>
      </w:r>
      <w:r>
        <w:rPr>
          <w:rFonts w:hint="eastAsia"/>
          <w:b/>
          <w:bCs/>
          <w:color w:val="auto"/>
          <w:sz w:val="28"/>
          <w:szCs w:val="28"/>
          <w:highlight w:val="none"/>
          <w:lang w:val="en-US" w:eastAsia="zh-CN"/>
        </w:rPr>
        <w:t>二</w:t>
      </w:r>
      <w:r>
        <w:rPr>
          <w:b/>
          <w:bCs/>
          <w:color w:val="auto"/>
          <w:sz w:val="28"/>
          <w:szCs w:val="28"/>
          <w:highlight w:val="none"/>
        </w:rPr>
        <w:t>）</w:t>
      </w:r>
      <w:bookmarkEnd w:id="527"/>
      <w:bookmarkEnd w:id="528"/>
      <w:bookmarkStart w:id="531" w:name="_Toc11431"/>
      <w:bookmarkStart w:id="532" w:name="_Toc24023"/>
      <w:r>
        <w:rPr>
          <w:b/>
          <w:bCs/>
          <w:color w:val="auto"/>
          <w:sz w:val="28"/>
          <w:szCs w:val="28"/>
          <w:highlight w:val="none"/>
        </w:rPr>
        <w:t>正在施工的和新承接的项目情况表</w:t>
      </w:r>
      <w:bookmarkEnd w:id="529"/>
      <w:bookmarkEnd w:id="530"/>
      <w:bookmarkEnd w:id="531"/>
      <w:bookmarkEnd w:id="532"/>
    </w:p>
    <w:p>
      <w:pPr>
        <w:pStyle w:val="32"/>
        <w:keepNext/>
        <w:keepLines/>
        <w:spacing w:beforeLines="100" w:afterLines="50"/>
        <w:jc w:val="center"/>
        <w:outlineLvl w:val="9"/>
        <w:rPr>
          <w:b/>
          <w:bCs/>
          <w:color w:val="auto"/>
          <w:sz w:val="32"/>
          <w:szCs w:val="32"/>
          <w:highlight w:val="none"/>
          <w:lang w:val="en-US" w:eastAsia="zh-CN"/>
        </w:rPr>
      </w:pPr>
      <w:bookmarkStart w:id="533" w:name="_Toc5017"/>
      <w:bookmarkStart w:id="534" w:name="_Toc27672"/>
      <w:bookmarkStart w:id="535" w:name="_Toc28248"/>
      <w:bookmarkStart w:id="536" w:name="_Toc10282"/>
      <w:r>
        <w:rPr>
          <w:rFonts w:hint="eastAsia"/>
          <w:b/>
          <w:bCs/>
          <w:color w:val="auto"/>
          <w:sz w:val="32"/>
          <w:szCs w:val="32"/>
          <w:highlight w:val="none"/>
          <w:lang w:val="en-US" w:eastAsia="zh-CN"/>
        </w:rPr>
        <w:t>正在施工的和新承接的项目情况表</w:t>
      </w:r>
      <w:bookmarkEnd w:id="533"/>
      <w:bookmarkEnd w:id="534"/>
      <w:bookmarkEnd w:id="535"/>
      <w:bookmarkEnd w:id="536"/>
    </w:p>
    <w:tbl>
      <w:tblPr>
        <w:tblStyle w:val="22"/>
        <w:tblW w:w="9356" w:type="dxa"/>
        <w:jc w:val="center"/>
        <w:tblLayout w:type="fixed"/>
        <w:tblCellMar>
          <w:top w:w="0" w:type="dxa"/>
          <w:left w:w="108" w:type="dxa"/>
          <w:bottom w:w="0" w:type="dxa"/>
          <w:right w:w="108" w:type="dxa"/>
        </w:tblCellMar>
      </w:tblPr>
      <w:tblGrid>
        <w:gridCol w:w="3461"/>
        <w:gridCol w:w="5895"/>
      </w:tblGrid>
      <w:tr>
        <w:tblPrEx>
          <w:tblCellMar>
            <w:top w:w="0" w:type="dxa"/>
            <w:left w:w="108" w:type="dxa"/>
            <w:bottom w:w="0" w:type="dxa"/>
            <w:right w:w="108" w:type="dxa"/>
          </w:tblCellMar>
        </w:tblPrEx>
        <w:trPr>
          <w:trHeight w:val="628"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合同名称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合同项目所在地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发包人名称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发包人地址</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发包人电话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签约合同价</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开工日期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计划完工日期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承担的工作</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工程质量</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项目负责人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技术负责人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监理人和总监理工程师以及电话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项目描述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2051" w:hRule="exact"/>
          <w:jc w:val="center"/>
        </w:trPr>
        <w:tc>
          <w:tcPr>
            <w:tcW w:w="3477" w:type="dxa"/>
            <w:tcBorders>
              <w:top w:val="single" w:color="auto" w:sz="4" w:space="0"/>
              <w:left w:val="single" w:color="auto" w:sz="4" w:space="0"/>
              <w:bottom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color w:val="auto"/>
                <w:sz w:val="21"/>
                <w:szCs w:val="21"/>
                <w:highlight w:val="none"/>
              </w:rPr>
              <w:t>备注</w:t>
            </w:r>
          </w:p>
        </w:tc>
        <w:tc>
          <w:tcPr>
            <w:tcW w:w="592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6"/>
              <w:spacing w:after="0" w:line="456" w:lineRule="exact"/>
              <w:ind w:left="140" w:firstLine="20"/>
              <w:rPr>
                <w:color w:val="auto"/>
                <w:sz w:val="21"/>
                <w:szCs w:val="21"/>
                <w:highlight w:val="none"/>
              </w:rPr>
            </w:pPr>
            <w:r>
              <w:rPr>
                <w:color w:val="auto"/>
                <w:sz w:val="21"/>
                <w:szCs w:val="21"/>
                <w:highlight w:val="none"/>
              </w:rPr>
              <w:t>项目描述内容至少包括项目概况、本合同在项目中的地位</w:t>
            </w:r>
            <w:r>
              <w:rPr>
                <w:rFonts w:hint="eastAsia"/>
                <w:color w:val="auto"/>
                <w:sz w:val="21"/>
                <w:szCs w:val="21"/>
                <w:highlight w:val="none"/>
                <w:lang w:eastAsia="zh-CN"/>
              </w:rPr>
              <w:t>（</w:t>
            </w:r>
            <w:r>
              <w:rPr>
                <w:color w:val="auto"/>
                <w:sz w:val="21"/>
                <w:szCs w:val="21"/>
                <w:highlight w:val="none"/>
              </w:rPr>
              <w:t>部位、合同价格所占比例）。</w:t>
            </w:r>
          </w:p>
        </w:tc>
      </w:tr>
    </w:tbl>
    <w:p>
      <w:pPr>
        <w:pStyle w:val="34"/>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原件的复制件”中提供。</w:t>
      </w:r>
      <w:r>
        <w:rPr>
          <w:rFonts w:hint="eastAsia"/>
          <w:color w:val="auto"/>
          <w:sz w:val="21"/>
          <w:szCs w:val="21"/>
          <w:highlight w:val="none"/>
        </w:rPr>
        <w:br w:type="page"/>
      </w:r>
    </w:p>
    <w:p>
      <w:pPr>
        <w:pStyle w:val="33"/>
        <w:keepNext/>
        <w:keepLines/>
        <w:spacing w:after="0" w:line="600" w:lineRule="exact"/>
        <w:rPr>
          <w:b/>
          <w:bCs/>
          <w:color w:val="auto"/>
          <w:sz w:val="28"/>
          <w:szCs w:val="28"/>
          <w:highlight w:val="none"/>
        </w:rPr>
      </w:pPr>
      <w:bookmarkStart w:id="537" w:name="_Toc30651"/>
      <w:bookmarkStart w:id="538" w:name="_Toc1256"/>
      <w:bookmarkStart w:id="539" w:name="_Toc11387"/>
      <w:bookmarkStart w:id="540" w:name="_Toc28108"/>
      <w:r>
        <w:rPr>
          <w:rFonts w:hint="eastAsia"/>
          <w:b/>
          <w:bCs/>
          <w:color w:val="auto"/>
          <w:sz w:val="28"/>
          <w:szCs w:val="28"/>
          <w:highlight w:val="none"/>
          <w:lang w:eastAsia="zh-CN"/>
        </w:rPr>
        <w:t>（</w:t>
      </w:r>
      <w:r>
        <w:rPr>
          <w:rFonts w:hint="eastAsia"/>
          <w:b/>
          <w:bCs/>
          <w:color w:val="auto"/>
          <w:sz w:val="28"/>
          <w:szCs w:val="28"/>
          <w:highlight w:val="none"/>
          <w:lang w:val="en-US" w:eastAsia="zh-CN"/>
        </w:rPr>
        <w:t>三</w:t>
      </w:r>
      <w:r>
        <w:rPr>
          <w:b/>
          <w:bCs/>
          <w:color w:val="auto"/>
          <w:sz w:val="28"/>
          <w:szCs w:val="28"/>
          <w:highlight w:val="none"/>
        </w:rPr>
        <w:t>）近年发生的诉讼及仲裁情况表</w:t>
      </w:r>
      <w:bookmarkEnd w:id="537"/>
      <w:bookmarkEnd w:id="538"/>
      <w:bookmarkEnd w:id="539"/>
      <w:bookmarkEnd w:id="540"/>
    </w:p>
    <w:p>
      <w:pPr>
        <w:pStyle w:val="32"/>
        <w:keepNext/>
        <w:keepLines/>
        <w:spacing w:beforeLines="100" w:afterLines="50"/>
        <w:jc w:val="center"/>
        <w:outlineLvl w:val="9"/>
        <w:rPr>
          <w:b/>
          <w:bCs/>
          <w:color w:val="auto"/>
          <w:sz w:val="32"/>
          <w:szCs w:val="32"/>
          <w:highlight w:val="none"/>
          <w:lang w:val="en-US" w:eastAsia="zh-CN"/>
        </w:rPr>
      </w:pPr>
      <w:bookmarkStart w:id="541" w:name="_Toc15867"/>
      <w:bookmarkStart w:id="542" w:name="_Toc22495"/>
      <w:bookmarkStart w:id="543" w:name="_Toc18238"/>
      <w:bookmarkStart w:id="544" w:name="_Toc30890"/>
      <w:r>
        <w:rPr>
          <w:rFonts w:hint="eastAsia"/>
          <w:b/>
          <w:bCs/>
          <w:color w:val="auto"/>
          <w:sz w:val="32"/>
          <w:szCs w:val="32"/>
          <w:highlight w:val="none"/>
          <w:lang w:val="en-US" w:eastAsia="zh-CN"/>
        </w:rPr>
        <w:t>近年发生的诉讼及仲裁情况表</w:t>
      </w:r>
      <w:bookmarkEnd w:id="541"/>
      <w:bookmarkEnd w:id="542"/>
      <w:bookmarkEnd w:id="543"/>
      <w:bookmarkEnd w:id="544"/>
    </w:p>
    <w:p>
      <w:pPr>
        <w:pStyle w:val="43"/>
        <w:keepNext/>
        <w:keepLines/>
        <w:tabs>
          <w:tab w:val="left" w:pos="1896"/>
          <w:tab w:val="left" w:pos="2256"/>
          <w:tab w:val="left" w:pos="2952"/>
          <w:tab w:val="left" w:pos="3324"/>
          <w:tab w:val="left" w:pos="4008"/>
        </w:tabs>
        <w:spacing w:after="0" w:line="460" w:lineRule="exact"/>
        <w:ind w:firstLine="0"/>
        <w:jc w:val="center"/>
        <w:outlineLvl w:val="9"/>
        <w:rPr>
          <w:b/>
          <w:bCs/>
          <w:color w:val="auto"/>
          <w:sz w:val="21"/>
          <w:szCs w:val="21"/>
          <w:highlight w:val="none"/>
        </w:rPr>
      </w:pPr>
      <w:r>
        <w:rPr>
          <w:rFonts w:hint="eastAsia"/>
          <w:b/>
          <w:bCs/>
          <w:color w:val="auto"/>
          <w:sz w:val="21"/>
          <w:szCs w:val="21"/>
          <w:highlight w:val="none"/>
          <w:lang w:eastAsia="zh-CN"/>
        </w:rPr>
        <w:t>（</w:t>
      </w:r>
      <w:r>
        <w:rPr>
          <w:b/>
          <w:bCs/>
          <w:color w:val="auto"/>
          <w:sz w:val="21"/>
          <w:szCs w:val="21"/>
          <w:highlight w:val="none"/>
        </w:rPr>
        <w:t>近年指</w:t>
      </w:r>
      <w:r>
        <w:rPr>
          <w:rFonts w:hint="eastAsia"/>
          <w:b/>
          <w:bCs/>
          <w:color w:val="auto"/>
          <w:sz w:val="21"/>
          <w:szCs w:val="21"/>
          <w:highlight w:val="none"/>
          <w:lang w:val="en-US" w:eastAsia="zh-CN"/>
        </w:rPr>
        <w:t>2021年01月01日</w:t>
      </w:r>
      <w:r>
        <w:rPr>
          <w:b/>
          <w:bCs/>
          <w:color w:val="auto"/>
          <w:sz w:val="21"/>
          <w:szCs w:val="21"/>
          <w:highlight w:val="none"/>
        </w:rPr>
        <w:t>至投标截止时间）</w:t>
      </w:r>
    </w:p>
    <w:tbl>
      <w:tblPr>
        <w:tblStyle w:val="22"/>
        <w:tblW w:w="9356" w:type="dxa"/>
        <w:jc w:val="center"/>
        <w:tblLayout w:type="fixed"/>
        <w:tblCellMar>
          <w:top w:w="0" w:type="dxa"/>
          <w:left w:w="108" w:type="dxa"/>
          <w:bottom w:w="0" w:type="dxa"/>
          <w:right w:w="108" w:type="dxa"/>
        </w:tblCellMar>
      </w:tblPr>
      <w:tblGrid>
        <w:gridCol w:w="806"/>
        <w:gridCol w:w="1980"/>
        <w:gridCol w:w="2065"/>
        <w:gridCol w:w="1556"/>
        <w:gridCol w:w="1459"/>
        <w:gridCol w:w="1490"/>
      </w:tblGrid>
      <w:tr>
        <w:tblPrEx>
          <w:tblCellMar>
            <w:top w:w="0" w:type="dxa"/>
            <w:left w:w="108" w:type="dxa"/>
            <w:bottom w:w="0" w:type="dxa"/>
            <w:right w:w="108" w:type="dxa"/>
          </w:tblCellMar>
        </w:tblPrEx>
        <w:trPr>
          <w:trHeight w:val="1162" w:hRule="exact"/>
          <w:jc w:val="center"/>
        </w:trPr>
        <w:tc>
          <w:tcPr>
            <w:tcW w:w="840" w:type="dxa"/>
            <w:tcBorders>
              <w:top w:val="single" w:color="auto" w:sz="4" w:space="0"/>
              <w:left w:val="single" w:color="auto" w:sz="4" w:space="0"/>
            </w:tcBorders>
            <w:shd w:val="clear" w:color="auto" w:fill="FFFFFF"/>
            <w:vAlign w:val="center"/>
          </w:tcPr>
          <w:p>
            <w:pPr>
              <w:pStyle w:val="36"/>
              <w:spacing w:after="0" w:line="240" w:lineRule="auto"/>
              <w:ind w:firstLine="140"/>
              <w:rPr>
                <w:color w:val="auto"/>
                <w:sz w:val="21"/>
                <w:szCs w:val="21"/>
                <w:highlight w:val="none"/>
              </w:rPr>
            </w:pPr>
            <w:r>
              <w:rPr>
                <w:rFonts w:hint="eastAsia"/>
                <w:color w:val="auto"/>
                <w:sz w:val="21"/>
                <w:szCs w:val="21"/>
                <w:highlight w:val="none"/>
              </w:rPr>
              <w:t>序号</w:t>
            </w:r>
          </w:p>
        </w:tc>
        <w:tc>
          <w:tcPr>
            <w:tcW w:w="2085" w:type="dxa"/>
            <w:tcBorders>
              <w:top w:val="single" w:color="auto" w:sz="4" w:space="0"/>
              <w:left w:val="single" w:color="auto" w:sz="4" w:space="0"/>
            </w:tcBorders>
            <w:shd w:val="clear" w:color="auto" w:fill="FFFFFF"/>
            <w:vAlign w:val="center"/>
          </w:tcPr>
          <w:p>
            <w:pPr>
              <w:pStyle w:val="36"/>
              <w:spacing w:after="0" w:line="480" w:lineRule="exact"/>
              <w:ind w:firstLine="0"/>
              <w:jc w:val="center"/>
              <w:rPr>
                <w:color w:val="auto"/>
                <w:sz w:val="21"/>
                <w:szCs w:val="21"/>
                <w:highlight w:val="none"/>
              </w:rPr>
            </w:pPr>
            <w:r>
              <w:rPr>
                <w:rFonts w:hint="eastAsia"/>
                <w:color w:val="auto"/>
                <w:sz w:val="21"/>
                <w:szCs w:val="21"/>
                <w:highlight w:val="none"/>
              </w:rPr>
              <w:t>诉讼或仲裁事项</w:t>
            </w:r>
          </w:p>
        </w:tc>
        <w:tc>
          <w:tcPr>
            <w:tcW w:w="2175" w:type="dxa"/>
            <w:tcBorders>
              <w:top w:val="single" w:color="auto" w:sz="4" w:space="0"/>
              <w:left w:val="single" w:color="auto" w:sz="4" w:space="0"/>
            </w:tcBorders>
            <w:shd w:val="clear" w:color="auto" w:fill="FFFFFF"/>
            <w:vAlign w:val="center"/>
          </w:tcPr>
          <w:p>
            <w:pPr>
              <w:pStyle w:val="36"/>
              <w:spacing w:after="0" w:line="456" w:lineRule="exact"/>
              <w:ind w:firstLine="0"/>
              <w:jc w:val="center"/>
              <w:rPr>
                <w:color w:val="auto"/>
                <w:sz w:val="21"/>
                <w:szCs w:val="21"/>
                <w:highlight w:val="none"/>
                <w:lang w:eastAsia="zh-CN"/>
              </w:rPr>
            </w:pPr>
            <w:r>
              <w:rPr>
                <w:rFonts w:hint="eastAsia"/>
                <w:color w:val="auto"/>
                <w:sz w:val="21"/>
                <w:szCs w:val="21"/>
                <w:highlight w:val="none"/>
              </w:rPr>
              <w:t>诉讼或仲裁中的</w:t>
            </w:r>
          </w:p>
          <w:p>
            <w:pPr>
              <w:pStyle w:val="36"/>
              <w:spacing w:after="0" w:line="456" w:lineRule="exact"/>
              <w:ind w:firstLine="0"/>
              <w:jc w:val="center"/>
              <w:rPr>
                <w:color w:val="auto"/>
                <w:sz w:val="21"/>
                <w:szCs w:val="21"/>
                <w:highlight w:val="none"/>
              </w:rPr>
            </w:pPr>
            <w:r>
              <w:rPr>
                <w:rFonts w:hint="eastAsia"/>
                <w:color w:val="auto"/>
                <w:sz w:val="21"/>
                <w:szCs w:val="21"/>
                <w:highlight w:val="none"/>
              </w:rPr>
              <w:t>地位</w:t>
            </w:r>
          </w:p>
        </w:tc>
        <w:tc>
          <w:tcPr>
            <w:tcW w:w="1635"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缘由</w:t>
            </w:r>
          </w:p>
        </w:tc>
        <w:tc>
          <w:tcPr>
            <w:tcW w:w="1533"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结果</w:t>
            </w:r>
          </w:p>
        </w:tc>
        <w:tc>
          <w:tcPr>
            <w:tcW w:w="1566"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诉讼事项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仲裁事项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1" w:hRule="exact"/>
          <w:jc w:val="center"/>
        </w:trPr>
        <w:tc>
          <w:tcPr>
            <w:tcW w:w="8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pStyle w:val="34"/>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原件的复制件”提供。</w:t>
      </w:r>
      <w:r>
        <w:rPr>
          <w:rFonts w:hint="eastAsia"/>
          <w:color w:val="auto"/>
          <w:sz w:val="21"/>
          <w:szCs w:val="21"/>
          <w:highlight w:val="none"/>
        </w:rPr>
        <w:br w:type="page"/>
      </w:r>
    </w:p>
    <w:p>
      <w:pPr>
        <w:pStyle w:val="33"/>
        <w:keepNext/>
        <w:keepLines/>
        <w:spacing w:after="0" w:line="600" w:lineRule="exact"/>
        <w:rPr>
          <w:b/>
          <w:bCs/>
          <w:color w:val="auto"/>
          <w:sz w:val="28"/>
          <w:szCs w:val="28"/>
          <w:highlight w:val="none"/>
        </w:rPr>
      </w:pPr>
      <w:bookmarkStart w:id="545" w:name="_Toc9275"/>
      <w:bookmarkStart w:id="546" w:name="_Toc19324"/>
      <w:bookmarkStart w:id="547" w:name="_Toc26185"/>
      <w:bookmarkStart w:id="548" w:name="_Toc32124"/>
      <w:r>
        <w:rPr>
          <w:rFonts w:hint="eastAsia"/>
          <w:b/>
          <w:bCs/>
          <w:color w:val="auto"/>
          <w:sz w:val="28"/>
          <w:szCs w:val="28"/>
          <w:highlight w:val="none"/>
          <w:lang w:eastAsia="zh-CN"/>
        </w:rPr>
        <w:t>（</w:t>
      </w:r>
      <w:r>
        <w:rPr>
          <w:rFonts w:hint="eastAsia"/>
          <w:b/>
          <w:bCs/>
          <w:color w:val="auto"/>
          <w:sz w:val="28"/>
          <w:szCs w:val="28"/>
          <w:highlight w:val="none"/>
          <w:lang w:val="en-US" w:eastAsia="zh-CN"/>
        </w:rPr>
        <w:t>四</w:t>
      </w:r>
      <w:r>
        <w:rPr>
          <w:b/>
          <w:bCs/>
          <w:color w:val="auto"/>
          <w:sz w:val="28"/>
          <w:szCs w:val="28"/>
          <w:highlight w:val="none"/>
        </w:rPr>
        <w:t>）资格审查自审表</w:t>
      </w:r>
      <w:bookmarkEnd w:id="545"/>
      <w:bookmarkEnd w:id="546"/>
      <w:bookmarkEnd w:id="547"/>
      <w:bookmarkEnd w:id="548"/>
    </w:p>
    <w:p>
      <w:pPr>
        <w:pStyle w:val="32"/>
        <w:keepNext/>
        <w:keepLines/>
        <w:spacing w:beforeLines="100" w:afterLines="50"/>
        <w:jc w:val="center"/>
        <w:outlineLvl w:val="9"/>
        <w:rPr>
          <w:b/>
          <w:bCs/>
          <w:color w:val="auto"/>
          <w:sz w:val="32"/>
          <w:szCs w:val="32"/>
          <w:highlight w:val="none"/>
          <w:lang w:val="en-US" w:eastAsia="zh-CN"/>
        </w:rPr>
      </w:pPr>
      <w:bookmarkStart w:id="549" w:name="_Toc24319"/>
      <w:bookmarkStart w:id="550" w:name="_Toc22578"/>
      <w:bookmarkStart w:id="551" w:name="_Toc22973"/>
      <w:bookmarkStart w:id="552" w:name="_Toc8915"/>
      <w:r>
        <w:rPr>
          <w:rFonts w:hint="eastAsia"/>
          <w:b/>
          <w:bCs/>
          <w:color w:val="auto"/>
          <w:sz w:val="32"/>
          <w:szCs w:val="32"/>
          <w:highlight w:val="none"/>
          <w:lang w:val="en-US" w:eastAsia="zh-CN"/>
        </w:rPr>
        <w:t>资格审查自审表</w:t>
      </w:r>
      <w:bookmarkEnd w:id="549"/>
      <w:bookmarkEnd w:id="550"/>
      <w:bookmarkEnd w:id="551"/>
      <w:bookmarkEnd w:id="552"/>
    </w:p>
    <w:tbl>
      <w:tblPr>
        <w:tblStyle w:val="22"/>
        <w:tblW w:w="9356" w:type="dxa"/>
        <w:jc w:val="center"/>
        <w:tblLayout w:type="fixed"/>
        <w:tblCellMar>
          <w:top w:w="0" w:type="dxa"/>
          <w:left w:w="108" w:type="dxa"/>
          <w:bottom w:w="0" w:type="dxa"/>
          <w:right w:w="108" w:type="dxa"/>
        </w:tblCellMar>
      </w:tblPr>
      <w:tblGrid>
        <w:gridCol w:w="966"/>
        <w:gridCol w:w="3772"/>
        <w:gridCol w:w="1226"/>
        <w:gridCol w:w="1208"/>
        <w:gridCol w:w="2184"/>
      </w:tblGrid>
      <w:tr>
        <w:tblPrEx>
          <w:tblCellMar>
            <w:top w:w="0" w:type="dxa"/>
            <w:left w:w="108" w:type="dxa"/>
            <w:bottom w:w="0" w:type="dxa"/>
            <w:right w:w="108" w:type="dxa"/>
          </w:tblCellMar>
        </w:tblPrEx>
        <w:trPr>
          <w:trHeight w:val="884" w:hRule="exact"/>
          <w:jc w:val="center"/>
        </w:trPr>
        <w:tc>
          <w:tcPr>
            <w:tcW w:w="9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38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lang w:eastAsia="zh-CN"/>
              </w:rPr>
              <w:t>审查</w:t>
            </w:r>
            <w:r>
              <w:rPr>
                <w:rFonts w:hint="eastAsia"/>
                <w:color w:val="auto"/>
                <w:sz w:val="21"/>
                <w:szCs w:val="21"/>
                <w:highlight w:val="none"/>
              </w:rPr>
              <w:t>因素</w:t>
            </w:r>
          </w:p>
        </w:tc>
        <w:tc>
          <w:tcPr>
            <w:tcW w:w="1259"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lang w:eastAsia="zh-CN"/>
              </w:rPr>
              <w:t>审查</w:t>
            </w:r>
            <w:r>
              <w:rPr>
                <w:rFonts w:hint="eastAsia"/>
                <w:color w:val="auto"/>
                <w:sz w:val="21"/>
                <w:szCs w:val="21"/>
                <w:highlight w:val="none"/>
              </w:rPr>
              <w:t>标准</w:t>
            </w:r>
          </w:p>
        </w:tc>
        <w:tc>
          <w:tcPr>
            <w:tcW w:w="1240" w:type="dxa"/>
            <w:tcBorders>
              <w:top w:val="single" w:color="auto" w:sz="4" w:space="0"/>
              <w:left w:val="single" w:color="auto" w:sz="4" w:space="0"/>
            </w:tcBorders>
            <w:shd w:val="clear" w:color="auto" w:fill="FFFFFF"/>
            <w:vAlign w:val="center"/>
          </w:tcPr>
          <w:p>
            <w:pPr>
              <w:pStyle w:val="36"/>
              <w:spacing w:after="0" w:line="240" w:lineRule="auto"/>
              <w:ind w:firstLine="0"/>
              <w:rPr>
                <w:color w:val="auto"/>
                <w:sz w:val="21"/>
                <w:szCs w:val="21"/>
                <w:highlight w:val="none"/>
              </w:rPr>
            </w:pPr>
            <w:r>
              <w:rPr>
                <w:rFonts w:hint="eastAsia"/>
                <w:color w:val="auto"/>
                <w:sz w:val="21"/>
                <w:szCs w:val="21"/>
                <w:highlight w:val="none"/>
              </w:rPr>
              <w:t>审查结果</w:t>
            </w:r>
          </w:p>
        </w:tc>
        <w:tc>
          <w:tcPr>
            <w:tcW w:w="2248" w:type="dxa"/>
            <w:tcBorders>
              <w:top w:val="single" w:color="auto" w:sz="4" w:space="0"/>
              <w:left w:val="single" w:color="auto" w:sz="4" w:space="0"/>
              <w:right w:val="single" w:color="auto" w:sz="4" w:space="0"/>
            </w:tcBorders>
            <w:shd w:val="clear" w:color="auto" w:fill="FFFFFF"/>
            <w:vAlign w:val="center"/>
          </w:tcPr>
          <w:p>
            <w:pPr>
              <w:pStyle w:val="36"/>
              <w:spacing w:after="140" w:line="240" w:lineRule="auto"/>
              <w:ind w:firstLine="0"/>
              <w:jc w:val="center"/>
              <w:rPr>
                <w:color w:val="auto"/>
                <w:sz w:val="21"/>
                <w:szCs w:val="21"/>
                <w:highlight w:val="none"/>
              </w:rPr>
            </w:pPr>
            <w:r>
              <w:rPr>
                <w:rFonts w:hint="eastAsia"/>
                <w:color w:val="auto"/>
                <w:sz w:val="21"/>
                <w:szCs w:val="21"/>
                <w:highlight w:val="none"/>
              </w:rPr>
              <w:t>引用的证明</w:t>
            </w:r>
          </w:p>
          <w:p>
            <w:pPr>
              <w:pStyle w:val="36"/>
              <w:spacing w:after="0" w:line="240" w:lineRule="auto"/>
              <w:ind w:firstLine="0"/>
              <w:jc w:val="center"/>
              <w:rPr>
                <w:color w:val="auto"/>
                <w:sz w:val="21"/>
                <w:szCs w:val="21"/>
                <w:highlight w:val="none"/>
              </w:rPr>
            </w:pPr>
            <w:r>
              <w:rPr>
                <w:rFonts w:hint="eastAsia"/>
                <w:color w:val="auto"/>
                <w:sz w:val="21"/>
                <w:szCs w:val="21"/>
                <w:highlight w:val="none"/>
              </w:rPr>
              <w:t>材料对应页码</w:t>
            </w: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6"/>
              <w:spacing w:after="0" w:line="240" w:lineRule="auto"/>
              <w:ind w:firstLine="380"/>
              <w:rPr>
                <w:color w:val="auto"/>
                <w:sz w:val="21"/>
                <w:szCs w:val="21"/>
                <w:highlight w:val="none"/>
              </w:rPr>
            </w:pPr>
            <w:r>
              <w:rPr>
                <w:rFonts w:hint="eastAsia"/>
                <w:color w:val="auto"/>
                <w:sz w:val="21"/>
                <w:szCs w:val="21"/>
                <w:highlight w:val="none"/>
              </w:rPr>
              <w:t>1</w:t>
            </w:r>
          </w:p>
        </w:tc>
        <w:tc>
          <w:tcPr>
            <w:tcW w:w="38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企业</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2</w:t>
            </w:r>
          </w:p>
        </w:tc>
        <w:tc>
          <w:tcPr>
            <w:tcW w:w="38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拟派项目组主要人员</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6"/>
              <w:spacing w:after="0" w:line="240" w:lineRule="auto"/>
              <w:ind w:firstLine="380"/>
              <w:rPr>
                <w:color w:val="auto"/>
                <w:sz w:val="21"/>
                <w:szCs w:val="21"/>
                <w:highlight w:val="none"/>
              </w:rPr>
            </w:pPr>
            <w:r>
              <w:rPr>
                <w:rFonts w:hint="eastAsia"/>
                <w:color w:val="auto"/>
                <w:sz w:val="21"/>
                <w:szCs w:val="21"/>
                <w:highlight w:val="none"/>
              </w:rPr>
              <w:t>3</w:t>
            </w:r>
          </w:p>
        </w:tc>
        <w:tc>
          <w:tcPr>
            <w:tcW w:w="3888"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其他</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4" w:hRule="exact"/>
          <w:jc w:val="center"/>
        </w:trPr>
        <w:tc>
          <w:tcPr>
            <w:tcW w:w="9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ascii="宋体" w:hAnsi="宋体" w:eastAsia="宋体" w:cs="宋体"/>
          <w:b/>
          <w:bCs/>
          <w:color w:val="auto"/>
          <w:sz w:val="36"/>
          <w:szCs w:val="36"/>
          <w:highlight w:val="none"/>
          <w:lang w:eastAsia="en-US"/>
        </w:rPr>
      </w:pPr>
      <w:r>
        <w:rPr>
          <w:rFonts w:hint="eastAsia" w:ascii="宋体" w:hAnsi="宋体" w:eastAsia="宋体" w:cs="宋体"/>
          <w:b/>
          <w:bCs/>
          <w:color w:val="auto"/>
          <w:sz w:val="36"/>
          <w:szCs w:val="36"/>
          <w:highlight w:val="none"/>
          <w:lang w:eastAsia="en-US"/>
        </w:rPr>
        <w:br w:type="page"/>
      </w:r>
    </w:p>
    <w:p>
      <w:pPr>
        <w:pStyle w:val="32"/>
        <w:keepNext/>
        <w:keepLines/>
        <w:spacing w:beforeLines="100" w:afterLines="50"/>
        <w:jc w:val="center"/>
        <w:outlineLvl w:val="1"/>
        <w:rPr>
          <w:b/>
          <w:bCs/>
          <w:color w:val="auto"/>
          <w:sz w:val="36"/>
          <w:szCs w:val="36"/>
          <w:highlight w:val="none"/>
          <w:lang w:val="en-US" w:eastAsia="en-US"/>
        </w:rPr>
      </w:pPr>
      <w:bookmarkStart w:id="553" w:name="_Toc30391"/>
      <w:bookmarkStart w:id="554" w:name="_Toc10550"/>
      <w:r>
        <w:rPr>
          <w:rFonts w:hint="eastAsia"/>
          <w:b/>
          <w:bCs/>
          <w:color w:val="auto"/>
          <w:sz w:val="36"/>
          <w:szCs w:val="36"/>
          <w:highlight w:val="none"/>
          <w:lang w:val="en-US" w:eastAsia="zh-CN"/>
        </w:rPr>
        <w:t>八</w:t>
      </w:r>
      <w:r>
        <w:rPr>
          <w:rFonts w:hint="eastAsia"/>
          <w:b/>
          <w:bCs/>
          <w:color w:val="auto"/>
          <w:sz w:val="36"/>
          <w:szCs w:val="36"/>
          <w:highlight w:val="none"/>
          <w:lang w:val="en-US" w:eastAsia="en-US"/>
        </w:rPr>
        <w:t>、原件的复制件</w:t>
      </w:r>
      <w:bookmarkEnd w:id="553"/>
      <w:bookmarkEnd w:id="554"/>
    </w:p>
    <w:p>
      <w:pPr>
        <w:pStyle w:val="30"/>
        <w:tabs>
          <w:tab w:val="left" w:pos="1344"/>
        </w:tabs>
        <w:spacing w:after="0" w:line="460" w:lineRule="exact"/>
        <w:ind w:firstLine="422" w:firstLineChars="200"/>
        <w:rPr>
          <w:b/>
          <w:bCs/>
          <w:color w:val="auto"/>
          <w:sz w:val="21"/>
          <w:szCs w:val="21"/>
          <w:highlight w:val="none"/>
        </w:rPr>
      </w:pPr>
    </w:p>
    <w:p>
      <w:pPr>
        <w:pStyle w:val="30"/>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1）需要</w:t>
      </w:r>
      <w:r>
        <w:rPr>
          <w:rFonts w:hint="eastAsia"/>
          <w:color w:val="auto"/>
          <w:sz w:val="21"/>
          <w:szCs w:val="21"/>
          <w:highlight w:val="none"/>
          <w:lang w:eastAsia="zh-CN"/>
        </w:rPr>
        <w:t>备查</w:t>
      </w:r>
      <w:r>
        <w:rPr>
          <w:color w:val="auto"/>
          <w:sz w:val="21"/>
          <w:szCs w:val="21"/>
          <w:highlight w:val="none"/>
        </w:rPr>
        <w:t>的原件清单详见投标人须知前附表第</w:t>
      </w:r>
      <w:r>
        <w:rPr>
          <w:color w:val="auto"/>
          <w:sz w:val="21"/>
          <w:szCs w:val="21"/>
          <w:highlight w:val="none"/>
          <w:lang w:val="en-US" w:eastAsia="zh-CN" w:bidi="en-US"/>
        </w:rPr>
        <w:t>10.</w:t>
      </w:r>
      <w:r>
        <w:rPr>
          <w:color w:val="auto"/>
          <w:sz w:val="21"/>
          <w:szCs w:val="21"/>
          <w:highlight w:val="none"/>
        </w:rPr>
        <w:t>3款规定。</w:t>
      </w:r>
    </w:p>
    <w:p>
      <w:pPr>
        <w:pStyle w:val="30"/>
        <w:tabs>
          <w:tab w:val="left" w:pos="136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2）投标人须将上述原件的复制件及其他认为必需的复制件装订入投标文件中。</w:t>
      </w:r>
    </w:p>
    <w:p>
      <w:pPr>
        <w:pStyle w:val="32"/>
        <w:keepNext/>
        <w:keepLines/>
        <w:spacing w:beforeLines="100" w:afterLines="50"/>
        <w:jc w:val="center"/>
        <w:outlineLvl w:val="9"/>
        <w:rPr>
          <w:b/>
          <w:bCs/>
          <w:color w:val="auto"/>
          <w:sz w:val="36"/>
          <w:szCs w:val="36"/>
          <w:highlight w:val="none"/>
          <w:lang w:val="en-US" w:eastAsia="zh-CN"/>
        </w:rPr>
      </w:pPr>
    </w:p>
    <w:p>
      <w:pPr>
        <w:pStyle w:val="32"/>
        <w:keepNext/>
        <w:keepLines/>
        <w:spacing w:beforeLines="100" w:afterLines="50"/>
        <w:jc w:val="center"/>
        <w:outlineLvl w:val="9"/>
        <w:rPr>
          <w:b/>
          <w:bCs/>
          <w:color w:val="auto"/>
          <w:sz w:val="36"/>
          <w:szCs w:val="36"/>
          <w:highlight w:val="none"/>
          <w:lang w:val="en-US" w:eastAsia="zh-CN"/>
        </w:rPr>
      </w:pPr>
    </w:p>
    <w:p>
      <w:pPr>
        <w:pStyle w:val="32"/>
        <w:keepNext/>
        <w:keepLines/>
        <w:spacing w:beforeLines="100" w:afterLines="50"/>
        <w:jc w:val="center"/>
        <w:outlineLvl w:val="1"/>
        <w:rPr>
          <w:b/>
          <w:bCs/>
          <w:color w:val="auto"/>
          <w:sz w:val="36"/>
          <w:szCs w:val="36"/>
          <w:highlight w:val="none"/>
          <w:lang w:val="en-US" w:eastAsia="zh-CN"/>
        </w:rPr>
      </w:pPr>
      <w:bookmarkStart w:id="555" w:name="_Toc15738"/>
      <w:bookmarkStart w:id="556" w:name="_Toc23132"/>
      <w:r>
        <w:rPr>
          <w:rFonts w:hint="eastAsia"/>
          <w:b/>
          <w:bCs/>
          <w:color w:val="auto"/>
          <w:sz w:val="36"/>
          <w:szCs w:val="36"/>
          <w:highlight w:val="none"/>
          <w:lang w:val="en-US" w:eastAsia="zh-CN"/>
        </w:rPr>
        <w:t>九、其他材料</w:t>
      </w:r>
      <w:bookmarkEnd w:id="555"/>
      <w:bookmarkEnd w:id="556"/>
    </w:p>
    <w:p>
      <w:pPr>
        <w:pStyle w:val="30"/>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color w:val="auto"/>
          <w:sz w:val="21"/>
          <w:szCs w:val="21"/>
          <w:highlight w:val="none"/>
        </w:rPr>
        <w:t>投标承诺书</w:t>
      </w:r>
    </w:p>
    <w:p>
      <w:pPr>
        <w:pStyle w:val="30"/>
        <w:tabs>
          <w:tab w:val="left" w:pos="1344"/>
        </w:tabs>
        <w:spacing w:after="0" w:line="460" w:lineRule="exact"/>
        <w:ind w:firstLine="420" w:firstLineChars="200"/>
        <w:rPr>
          <w:color w:val="auto"/>
          <w:sz w:val="21"/>
          <w:szCs w:val="21"/>
          <w:highlight w:val="none"/>
        </w:rPr>
        <w:sectPr>
          <w:footerReference r:id="rId40" w:type="default"/>
          <w:pgSz w:w="11905" w:h="16838"/>
          <w:pgMar w:top="1247" w:right="1417" w:bottom="1247" w:left="1417" w:header="0" w:footer="850" w:gutter="0"/>
          <w:cols w:space="0" w:num="1"/>
          <w:docGrid w:linePitch="360" w:charSpace="0"/>
        </w:sect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其他材料</w:t>
      </w:r>
    </w:p>
    <w:p>
      <w:pPr>
        <w:pStyle w:val="32"/>
        <w:keepNext/>
        <w:keepLines/>
        <w:spacing w:beforeLines="100" w:afterLines="50"/>
        <w:jc w:val="center"/>
        <w:outlineLvl w:val="1"/>
        <w:rPr>
          <w:b/>
          <w:bCs/>
          <w:color w:val="auto"/>
          <w:sz w:val="36"/>
          <w:szCs w:val="36"/>
          <w:highlight w:val="none"/>
          <w:lang w:val="en-US" w:eastAsia="zh-CN"/>
        </w:rPr>
      </w:pPr>
      <w:bookmarkStart w:id="557" w:name="_Toc25611"/>
      <w:bookmarkStart w:id="558" w:name="_Toc14351"/>
      <w:bookmarkStart w:id="559" w:name="_Toc18937"/>
      <w:bookmarkStart w:id="560" w:name="_Toc26238"/>
      <w:r>
        <w:rPr>
          <w:rFonts w:hint="eastAsia"/>
          <w:b/>
          <w:bCs/>
          <w:color w:val="auto"/>
          <w:sz w:val="36"/>
          <w:szCs w:val="36"/>
          <w:highlight w:val="none"/>
          <w:lang w:val="en-US" w:eastAsia="zh-CN"/>
        </w:rPr>
        <w:t>投 标 承 诺 书</w:t>
      </w:r>
      <w:bookmarkEnd w:id="557"/>
      <w:bookmarkEnd w:id="558"/>
      <w:bookmarkEnd w:id="559"/>
      <w:bookmarkEnd w:id="560"/>
    </w:p>
    <w:p>
      <w:pPr>
        <w:pStyle w:val="30"/>
        <w:keepNext w:val="0"/>
        <w:keepLines w:val="0"/>
        <w:pageBreakBefore w:val="0"/>
        <w:tabs>
          <w:tab w:val="left" w:pos="2796"/>
        </w:tabs>
        <w:wordWrap/>
        <w:overflowPunct/>
        <w:topLinePunct w:val="0"/>
        <w:bidi w:val="0"/>
        <w:spacing w:after="0" w:line="400" w:lineRule="exact"/>
        <w:ind w:left="0" w:right="0"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招标人名称）：</w:t>
      </w:r>
    </w:p>
    <w:p>
      <w:pPr>
        <w:pStyle w:val="30"/>
        <w:keepNext w:val="0"/>
        <w:keepLines w:val="0"/>
        <w:pageBreakBefore w:val="0"/>
        <w:tabs>
          <w:tab w:val="left" w:pos="6336"/>
        </w:tabs>
        <w:wordWrap/>
        <w:overflowPunct/>
        <w:topLinePunct w:val="0"/>
        <w:bidi w:val="0"/>
        <w:spacing w:after="0" w:line="400" w:lineRule="exact"/>
        <w:ind w:left="0" w:right="0" w:firstLine="420" w:firstLineChars="200"/>
        <w:rPr>
          <w:color w:val="auto"/>
          <w:sz w:val="21"/>
          <w:szCs w:val="21"/>
          <w:highlight w:val="none"/>
        </w:rPr>
      </w:pPr>
      <w:r>
        <w:rPr>
          <w:color w:val="auto"/>
          <w:sz w:val="21"/>
          <w:szCs w:val="21"/>
          <w:highlight w:val="none"/>
        </w:rPr>
        <w:t>本投标人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投标人名称）郑重承诺：</w:t>
      </w:r>
    </w:p>
    <w:p>
      <w:pPr>
        <w:pStyle w:val="30"/>
        <w:keepNext w:val="0"/>
        <w:keepLines w:val="0"/>
        <w:pageBreakBefore w:val="0"/>
        <w:tabs>
          <w:tab w:val="left" w:pos="4200"/>
          <w:tab w:val="left" w:pos="6612"/>
          <w:tab w:val="left" w:pos="10932"/>
          <w:tab w:val="left" w:pos="11304"/>
        </w:tabs>
        <w:wordWrap/>
        <w:overflowPunct/>
        <w:topLinePunct w:val="0"/>
        <w:bidi w:val="0"/>
        <w:spacing w:after="0" w:line="400" w:lineRule="exact"/>
        <w:ind w:left="0" w:right="0" w:firstLine="420" w:firstLineChars="200"/>
        <w:rPr>
          <w:color w:val="auto"/>
          <w:sz w:val="21"/>
          <w:szCs w:val="21"/>
          <w:highlight w:val="none"/>
        </w:rPr>
      </w:pPr>
      <w:r>
        <w:rPr>
          <w:rFonts w:hint="eastAsia"/>
          <w:color w:val="auto"/>
          <w:sz w:val="21"/>
          <w:szCs w:val="21"/>
          <w:highlight w:val="none"/>
          <w:lang w:val="en-US" w:eastAsia="zh-CN" w:bidi="zh-CN"/>
        </w:rPr>
        <w:t>1.</w:t>
      </w:r>
      <w:r>
        <w:rPr>
          <w:color w:val="auto"/>
          <w:sz w:val="21"/>
          <w:szCs w:val="21"/>
          <w:highlight w:val="none"/>
          <w:lang w:val="zh-CN" w:eastAsia="zh-CN" w:bidi="zh-CN"/>
        </w:rPr>
        <w:t>拟</w:t>
      </w:r>
      <w:r>
        <w:rPr>
          <w:color w:val="auto"/>
          <w:sz w:val="21"/>
          <w:szCs w:val="21"/>
          <w:highlight w:val="none"/>
        </w:rPr>
        <w:t>派本招标项目</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招标项目名称）的项目负责人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w:t>
      </w:r>
      <w:r>
        <w:rPr>
          <w:rFonts w:hint="eastAsia"/>
          <w:color w:val="auto"/>
          <w:sz w:val="21"/>
          <w:szCs w:val="21"/>
          <w:highlight w:val="none"/>
          <w:lang w:eastAsia="zh-CN"/>
        </w:rPr>
        <w:t>（</w:t>
      </w:r>
      <w:r>
        <w:rPr>
          <w:color w:val="auto"/>
          <w:sz w:val="21"/>
          <w:szCs w:val="21"/>
          <w:highlight w:val="none"/>
        </w:rPr>
        <w:t>建造师注册证书号：</w:t>
      </w:r>
      <w:r>
        <w:rPr>
          <w:rFonts w:hint="eastAsia"/>
          <w:color w:val="auto"/>
          <w:sz w:val="21"/>
          <w:szCs w:val="21"/>
          <w:highlight w:val="none"/>
          <w:u w:val="single"/>
          <w:lang w:val="en-US" w:eastAsia="zh-CN"/>
        </w:rPr>
        <w:t xml:space="preserve">               </w:t>
      </w:r>
      <w:r>
        <w:rPr>
          <w:color w:val="auto"/>
          <w:sz w:val="21"/>
          <w:szCs w:val="21"/>
          <w:highlight w:val="none"/>
        </w:rPr>
        <w:t>）在投标截止时间在无其他任何在建合同工程上担任项目负责人</w:t>
      </w:r>
      <w:r>
        <w:rPr>
          <w:rFonts w:hint="eastAsia"/>
          <w:color w:val="auto"/>
          <w:sz w:val="21"/>
          <w:szCs w:val="21"/>
          <w:highlight w:val="none"/>
          <w:lang w:eastAsia="zh-CN"/>
        </w:rPr>
        <w:t>（</w:t>
      </w:r>
      <w:r>
        <w:rPr>
          <w:color w:val="auto"/>
          <w:sz w:val="21"/>
          <w:szCs w:val="21"/>
          <w:highlight w:val="none"/>
        </w:rPr>
        <w:t>包括工程总承包项目中的施工负责人）的情形。在建合同工程的开始时间为合同工程中标通知书发出之日</w:t>
      </w:r>
      <w:r>
        <w:rPr>
          <w:rFonts w:hint="eastAsia"/>
          <w:color w:val="auto"/>
          <w:sz w:val="21"/>
          <w:szCs w:val="21"/>
          <w:highlight w:val="none"/>
          <w:lang w:eastAsia="zh-CN"/>
        </w:rPr>
        <w:t>（</w:t>
      </w:r>
      <w:r>
        <w:rPr>
          <w:color w:val="auto"/>
          <w:sz w:val="21"/>
          <w:szCs w:val="21"/>
          <w:highlight w:val="none"/>
        </w:rPr>
        <w:t>不通过招标方式的，开始时间为合同签订之日），结束时间为该合同通过验收或合同解除之</w:t>
      </w:r>
    </w:p>
    <w:p>
      <w:pPr>
        <w:keepNext w:val="0"/>
        <w:keepLines w:val="0"/>
        <w:pageBreakBefore w:val="0"/>
        <w:tabs>
          <w:tab w:val="left" w:pos="450"/>
        </w:tabs>
        <w:wordWrap/>
        <w:overflowPunct/>
        <w:topLinePunct w:val="0"/>
        <w:bidi w:val="0"/>
        <w:spacing w:line="400" w:lineRule="exact"/>
        <w:ind w:left="0" w:right="0" w:firstLine="490"/>
        <w:rPr>
          <w:rFonts w:ascii="宋体" w:hAnsi="宋体" w:eastAsia="宋体" w:cs="宋体"/>
          <w:color w:val="auto"/>
          <w:highlight w:val="none"/>
        </w:rPr>
      </w:pPr>
      <w:r>
        <w:rPr>
          <w:rFonts w:ascii="宋体" w:hAnsi="宋体" w:eastAsia="宋体" w:cs="宋体"/>
          <w:color w:val="auto"/>
          <w:spacing w:val="-1"/>
          <w:highlight w:val="none"/>
        </w:rPr>
        <w:t>2、投标人及法定代表人(身份证号码：</w:t>
      </w:r>
      <w:r>
        <w:rPr>
          <w:rFonts w:ascii="宋体" w:hAnsi="宋体" w:eastAsia="宋体" w:cs="宋体"/>
          <w:color w:val="auto"/>
          <w:spacing w:val="-1"/>
          <w:highlight w:val="none"/>
          <w:u w:val="single"/>
        </w:rPr>
        <w:t xml:space="preserve">      </w:t>
      </w:r>
      <w:r>
        <w:rPr>
          <w:rFonts w:ascii="宋体" w:hAnsi="宋体" w:eastAsia="宋体" w:cs="宋体"/>
          <w:color w:val="auto"/>
          <w:spacing w:val="-1"/>
          <w:highlight w:val="none"/>
        </w:rPr>
        <w:t>) 、拟派本招标项目</w:t>
      </w:r>
      <w:r>
        <w:rPr>
          <w:rFonts w:ascii="宋体" w:hAnsi="宋体" w:eastAsia="宋体" w:cs="宋体"/>
          <w:color w:val="auto"/>
          <w:highlight w:val="none"/>
        </w:rPr>
        <w:t xml:space="preserve">项目负责人(身份证号码： </w:t>
      </w:r>
      <w:r>
        <w:rPr>
          <w:rFonts w:ascii="宋体" w:hAnsi="宋体" w:eastAsia="宋体" w:cs="宋体"/>
          <w:color w:val="auto"/>
          <w:highlight w:val="none"/>
          <w:u w:val="single"/>
        </w:rPr>
        <w:tab/>
      </w:r>
      <w:r>
        <w:rPr>
          <w:rFonts w:ascii="宋体" w:hAnsi="宋体" w:eastAsia="宋体" w:cs="宋体"/>
          <w:color w:val="auto"/>
          <w:spacing w:val="4"/>
          <w:highlight w:val="none"/>
        </w:rPr>
        <w:t>)自</w:t>
      </w:r>
      <w:r>
        <w:rPr>
          <w:rFonts w:ascii="宋体" w:hAnsi="宋体" w:eastAsia="宋体" w:cs="宋体"/>
          <w:color w:val="auto"/>
          <w:spacing w:val="4"/>
          <w:highlight w:val="none"/>
          <w:u w:val="single"/>
        </w:rPr>
        <w:t xml:space="preserve">    </w:t>
      </w:r>
      <w:r>
        <w:rPr>
          <w:rFonts w:ascii="宋体" w:hAnsi="宋体" w:eastAsia="宋体" w:cs="宋体"/>
          <w:color w:val="auto"/>
          <w:spacing w:val="4"/>
          <w:highlight w:val="none"/>
        </w:rPr>
        <w:t>年</w:t>
      </w:r>
      <w:r>
        <w:rPr>
          <w:rFonts w:ascii="宋体" w:hAnsi="宋体" w:eastAsia="宋体" w:cs="宋体"/>
          <w:color w:val="auto"/>
          <w:spacing w:val="4"/>
          <w:highlight w:val="none"/>
          <w:u w:val="single"/>
        </w:rPr>
        <w:t xml:space="preserve">  </w:t>
      </w:r>
      <w:r>
        <w:rPr>
          <w:rFonts w:ascii="宋体" w:hAnsi="宋体" w:eastAsia="宋体" w:cs="宋体"/>
          <w:color w:val="auto"/>
          <w:spacing w:val="3"/>
          <w:highlight w:val="none"/>
          <w:u w:val="single"/>
        </w:rPr>
        <w:t xml:space="preserve"> </w:t>
      </w:r>
      <w:r>
        <w:rPr>
          <w:rFonts w:ascii="宋体" w:hAnsi="宋体" w:eastAsia="宋体" w:cs="宋体"/>
          <w:color w:val="auto"/>
          <w:spacing w:val="2"/>
          <w:highlight w:val="none"/>
          <w:u w:val="single"/>
        </w:rPr>
        <w:t xml:space="preserve"> </w:t>
      </w:r>
      <w:r>
        <w:rPr>
          <w:rFonts w:ascii="宋体" w:hAnsi="宋体" w:eastAsia="宋体" w:cs="宋体"/>
          <w:color w:val="auto"/>
          <w:spacing w:val="2"/>
          <w:highlight w:val="none"/>
        </w:rPr>
        <w:t>月</w:t>
      </w:r>
      <w:r>
        <w:rPr>
          <w:rFonts w:ascii="宋体" w:hAnsi="宋体" w:eastAsia="宋体" w:cs="宋体"/>
          <w:color w:val="auto"/>
          <w:spacing w:val="2"/>
          <w:highlight w:val="none"/>
          <w:u w:val="single"/>
        </w:rPr>
        <w:t xml:space="preserve">   </w:t>
      </w:r>
      <w:r>
        <w:rPr>
          <w:rFonts w:ascii="宋体" w:hAnsi="宋体" w:eastAsia="宋体" w:cs="宋体"/>
          <w:color w:val="auto"/>
          <w:spacing w:val="2"/>
          <w:highlight w:val="none"/>
        </w:rPr>
        <w:t xml:space="preserve"> 日以 来至投标截止时间，无行贿犯罪记录[以中国裁判文书网(</w:t>
      </w:r>
      <w:r>
        <w:rPr>
          <w:rFonts w:ascii="宋体" w:hAnsi="宋体" w:eastAsia="宋体" w:cs="宋体"/>
          <w:color w:val="auto"/>
          <w:highlight w:val="none"/>
        </w:rPr>
        <w:t>http</w:t>
      </w:r>
      <w:r>
        <w:rPr>
          <w:rFonts w:ascii="宋体" w:hAnsi="宋体" w:eastAsia="宋体" w:cs="宋体"/>
          <w:color w:val="auto"/>
          <w:spacing w:val="2"/>
          <w:highlight w:val="none"/>
        </w:rPr>
        <w:t>：</w:t>
      </w:r>
      <w:r>
        <w:rPr>
          <w:rFonts w:ascii="宋体" w:hAnsi="宋体" w:eastAsia="宋体" w:cs="宋体"/>
          <w:color w:val="auto"/>
          <w:highlight w:val="none"/>
        </w:rPr>
        <w:t xml:space="preserve"> </w:t>
      </w:r>
      <w:r>
        <w:rPr>
          <w:rFonts w:ascii="宋体" w:hAnsi="宋体" w:eastAsia="宋体" w:cs="宋体"/>
          <w:color w:val="auto"/>
          <w:spacing w:val="6"/>
          <w:highlight w:val="none"/>
        </w:rPr>
        <w:t>//</w:t>
      </w:r>
      <w:r>
        <w:rPr>
          <w:rFonts w:ascii="宋体" w:hAnsi="宋体" w:eastAsia="宋体" w:cs="宋体"/>
          <w:color w:val="auto"/>
          <w:highlight w:val="none"/>
        </w:rPr>
        <w:t>wenshu</w:t>
      </w:r>
      <w:r>
        <w:rPr>
          <w:rFonts w:ascii="宋体" w:hAnsi="宋体" w:eastAsia="宋体" w:cs="宋体"/>
          <w:color w:val="auto"/>
          <w:spacing w:val="6"/>
          <w:highlight w:val="none"/>
        </w:rPr>
        <w:t>.</w:t>
      </w:r>
      <w:r>
        <w:rPr>
          <w:rFonts w:ascii="宋体" w:hAnsi="宋体" w:eastAsia="宋体" w:cs="宋体"/>
          <w:color w:val="auto"/>
          <w:highlight w:val="none"/>
        </w:rPr>
        <w:t>court</w:t>
      </w:r>
      <w:r>
        <w:rPr>
          <w:rFonts w:hint="eastAsia" w:ascii="宋体" w:hAnsi="宋体" w:eastAsia="宋体" w:cs="宋体"/>
          <w:color w:val="auto"/>
          <w:highlight w:val="none"/>
        </w:rPr>
        <w:t>.</w:t>
      </w:r>
      <w:r>
        <w:rPr>
          <w:rFonts w:ascii="宋体" w:hAnsi="宋体" w:eastAsia="宋体" w:cs="宋体"/>
          <w:color w:val="auto"/>
          <w:spacing w:val="6"/>
          <w:highlight w:val="none"/>
        </w:rPr>
        <w:t xml:space="preserve"> </w:t>
      </w:r>
      <w:r>
        <w:rPr>
          <w:rFonts w:ascii="宋体" w:hAnsi="宋体" w:eastAsia="宋体" w:cs="宋体"/>
          <w:color w:val="auto"/>
          <w:highlight w:val="none"/>
        </w:rPr>
        <w:t>gov</w:t>
      </w:r>
      <w:r>
        <w:rPr>
          <w:rFonts w:ascii="宋体" w:hAnsi="宋体" w:eastAsia="宋体" w:cs="宋体"/>
          <w:color w:val="auto"/>
          <w:spacing w:val="6"/>
          <w:highlight w:val="none"/>
        </w:rPr>
        <w:t>.</w:t>
      </w:r>
      <w:r>
        <w:rPr>
          <w:rFonts w:ascii="宋体" w:hAnsi="宋体" w:eastAsia="宋体" w:cs="宋体"/>
          <w:color w:val="auto"/>
          <w:highlight w:val="none"/>
        </w:rPr>
        <w:t>cn</w:t>
      </w:r>
      <w:r>
        <w:rPr>
          <w:rFonts w:ascii="宋体" w:hAnsi="宋体" w:eastAsia="宋体" w:cs="宋体"/>
          <w:color w:val="auto"/>
          <w:spacing w:val="6"/>
          <w:highlight w:val="none"/>
        </w:rPr>
        <w:t xml:space="preserve">)查询结果为准] </w:t>
      </w:r>
      <w:r>
        <w:rPr>
          <w:rFonts w:ascii="宋体" w:hAnsi="宋体" w:eastAsia="宋体" w:cs="宋体"/>
          <w:color w:val="auto"/>
          <w:spacing w:val="4"/>
          <w:highlight w:val="none"/>
        </w:rPr>
        <w:t>。</w:t>
      </w:r>
    </w:p>
    <w:p>
      <w:pPr>
        <w:keepNext w:val="0"/>
        <w:keepLines w:val="0"/>
        <w:pageBreakBefore w:val="0"/>
        <w:wordWrap/>
        <w:overflowPunct/>
        <w:topLinePunct w:val="0"/>
        <w:bidi w:val="0"/>
        <w:spacing w:line="400" w:lineRule="exact"/>
        <w:ind w:left="0" w:right="0" w:firstLine="423"/>
        <w:rPr>
          <w:rFonts w:ascii="宋体" w:hAnsi="宋体" w:eastAsia="宋体" w:cs="宋体"/>
          <w:color w:val="auto"/>
          <w:highlight w:val="none"/>
        </w:rPr>
      </w:pPr>
      <w:r>
        <w:rPr>
          <w:rFonts w:ascii="宋体" w:hAnsi="宋体" w:eastAsia="宋体" w:cs="宋体"/>
          <w:color w:val="auto"/>
          <w:spacing w:val="2"/>
          <w:highlight w:val="none"/>
        </w:rPr>
        <w:t>3、投标人及其法定代表人、拟派项目负责人未被列入失信被执行人名单[以“信用</w:t>
      </w:r>
      <w:r>
        <w:rPr>
          <w:rFonts w:ascii="宋体" w:hAnsi="宋体" w:eastAsia="宋体" w:cs="宋体"/>
          <w:color w:val="auto"/>
          <w:highlight w:val="none"/>
        </w:rPr>
        <w:t xml:space="preserve">中国”网 </w:t>
      </w:r>
      <w:r>
        <w:rPr>
          <w:rFonts w:ascii="宋体" w:hAnsi="宋体" w:eastAsia="宋体" w:cs="宋体"/>
          <w:color w:val="auto"/>
          <w:spacing w:val="16"/>
          <w:highlight w:val="none"/>
        </w:rPr>
        <w:t>站</w:t>
      </w:r>
      <w:r>
        <w:rPr>
          <w:rFonts w:ascii="宋体" w:hAnsi="宋体" w:eastAsia="宋体" w:cs="宋体"/>
          <w:color w:val="auto"/>
          <w:spacing w:val="13"/>
          <w:highlight w:val="none"/>
        </w:rPr>
        <w:t>(</w:t>
      </w:r>
      <w:r>
        <w:rPr>
          <w:rFonts w:ascii="宋体" w:hAnsi="宋体" w:eastAsia="宋体" w:cs="宋体"/>
          <w:color w:val="auto"/>
          <w:highlight w:val="none"/>
        </w:rPr>
        <w:t>www</w:t>
      </w:r>
      <w:r>
        <w:rPr>
          <w:rFonts w:ascii="宋体" w:hAnsi="宋体" w:eastAsia="宋体" w:cs="宋体"/>
          <w:color w:val="auto"/>
          <w:spacing w:val="13"/>
          <w:highlight w:val="none"/>
        </w:rPr>
        <w:t>.</w:t>
      </w:r>
      <w:r>
        <w:rPr>
          <w:rFonts w:ascii="宋体" w:hAnsi="宋体" w:eastAsia="宋体" w:cs="宋体"/>
          <w:color w:val="auto"/>
          <w:highlight w:val="none"/>
        </w:rPr>
        <w:t>creditchina</w:t>
      </w:r>
      <w:r>
        <w:rPr>
          <w:rFonts w:ascii="宋体" w:hAnsi="宋体" w:eastAsia="宋体" w:cs="宋体"/>
          <w:color w:val="auto"/>
          <w:spacing w:val="13"/>
          <w:highlight w:val="none"/>
        </w:rPr>
        <w:t>.</w:t>
      </w:r>
      <w:r>
        <w:rPr>
          <w:rFonts w:ascii="宋体" w:hAnsi="宋体" w:eastAsia="宋体" w:cs="宋体"/>
          <w:color w:val="auto"/>
          <w:highlight w:val="none"/>
        </w:rPr>
        <w:t>gov</w:t>
      </w:r>
      <w:r>
        <w:rPr>
          <w:rFonts w:ascii="宋体" w:hAnsi="宋体" w:eastAsia="宋体" w:cs="宋体"/>
          <w:color w:val="auto"/>
          <w:spacing w:val="13"/>
          <w:highlight w:val="none"/>
        </w:rPr>
        <w:t>.</w:t>
      </w:r>
      <w:r>
        <w:rPr>
          <w:rFonts w:ascii="宋体" w:hAnsi="宋体" w:eastAsia="宋体" w:cs="宋体"/>
          <w:color w:val="auto"/>
          <w:highlight w:val="none"/>
        </w:rPr>
        <w:t>cn</w:t>
      </w:r>
      <w:r>
        <w:rPr>
          <w:rFonts w:ascii="宋体" w:hAnsi="宋体" w:eastAsia="宋体" w:cs="宋体"/>
          <w:color w:val="auto"/>
          <w:spacing w:val="13"/>
          <w:highlight w:val="none"/>
        </w:rPr>
        <w:t>) 查询为准]。</w:t>
      </w:r>
    </w:p>
    <w:p>
      <w:pPr>
        <w:keepNext w:val="0"/>
        <w:keepLines w:val="0"/>
        <w:pageBreakBefore w:val="0"/>
        <w:wordWrap/>
        <w:overflowPunct/>
        <w:topLinePunct w:val="0"/>
        <w:bidi w:val="0"/>
        <w:spacing w:line="400" w:lineRule="exact"/>
        <w:ind w:left="0" w:right="0" w:firstLine="419"/>
        <w:rPr>
          <w:rFonts w:ascii="宋体" w:hAnsi="宋体" w:eastAsia="宋体" w:cs="宋体"/>
          <w:color w:val="auto"/>
          <w:highlight w:val="none"/>
        </w:rPr>
      </w:pPr>
      <w:r>
        <w:rPr>
          <w:rFonts w:ascii="宋体" w:hAnsi="宋体" w:eastAsia="宋体" w:cs="宋体"/>
          <w:color w:val="auto"/>
          <w:spacing w:val="-2"/>
          <w:highlight w:val="none"/>
        </w:rPr>
        <w:t>4、</w:t>
      </w:r>
      <w:r>
        <w:rPr>
          <w:rFonts w:hint="eastAsia" w:ascii="宋体" w:hAnsi="宋体" w:eastAsia="宋体" w:cs="宋体"/>
          <w:color w:val="auto"/>
          <w:highlight w:val="none"/>
        </w:rPr>
        <w:t>投标人及其法定代表人、拟派项目负责人</w:t>
      </w:r>
      <w:r>
        <w:rPr>
          <w:rFonts w:ascii="宋体" w:hAnsi="宋体" w:eastAsia="宋体" w:cs="宋体"/>
          <w:color w:val="auto"/>
          <w:spacing w:val="-2"/>
          <w:highlight w:val="none"/>
        </w:rPr>
        <w:t>未被列入招标投标</w:t>
      </w:r>
      <w:r>
        <w:rPr>
          <w:rFonts w:ascii="宋体" w:hAnsi="宋体" w:eastAsia="宋体" w:cs="宋体"/>
          <w:color w:val="auto"/>
          <w:spacing w:val="-1"/>
          <w:highlight w:val="none"/>
        </w:rPr>
        <w:t>失信黑名单(以浙江省发改委公布的披露期内</w:t>
      </w:r>
      <w:r>
        <w:rPr>
          <w:rFonts w:ascii="宋体" w:hAnsi="宋体" w:eastAsia="宋体" w:cs="宋体"/>
          <w:color w:val="auto"/>
          <w:highlight w:val="none"/>
        </w:rPr>
        <w:t>的失信黑名单为准) 。</w:t>
      </w:r>
    </w:p>
    <w:p>
      <w:pPr>
        <w:keepNext w:val="0"/>
        <w:keepLines w:val="0"/>
        <w:pageBreakBefore w:val="0"/>
        <w:wordWrap/>
        <w:overflowPunct/>
        <w:topLinePunct w:val="0"/>
        <w:bidi w:val="0"/>
        <w:spacing w:line="400" w:lineRule="exact"/>
        <w:ind w:left="0" w:right="0" w:firstLine="407"/>
        <w:rPr>
          <w:rFonts w:ascii="宋体" w:hAnsi="宋体" w:eastAsia="宋体" w:cs="宋体"/>
          <w:color w:val="auto"/>
          <w:highlight w:val="none"/>
        </w:rPr>
      </w:pPr>
      <w:r>
        <w:rPr>
          <w:rFonts w:ascii="宋体" w:hAnsi="宋体" w:eastAsia="宋体" w:cs="宋体"/>
          <w:color w:val="auto"/>
          <w:spacing w:val="-1"/>
          <w:highlight w:val="none"/>
        </w:rPr>
        <w:t>5.投标人、投标人的 “三类人员”、拟派项目组主要人员未被列入全国水利建设</w:t>
      </w:r>
      <w:r>
        <w:rPr>
          <w:rFonts w:ascii="宋体" w:hAnsi="宋体" w:eastAsia="宋体" w:cs="宋体"/>
          <w:color w:val="auto"/>
          <w:highlight w:val="none"/>
        </w:rPr>
        <w:t xml:space="preserve">市场信用平 </w:t>
      </w:r>
      <w:r>
        <w:rPr>
          <w:rFonts w:ascii="宋体" w:hAnsi="宋体" w:eastAsia="宋体" w:cs="宋体"/>
          <w:color w:val="auto"/>
          <w:spacing w:val="-23"/>
          <w:highlight w:val="none"/>
        </w:rPr>
        <w:t>台</w:t>
      </w:r>
      <w:r>
        <w:rPr>
          <w:rFonts w:ascii="宋体" w:hAnsi="宋体" w:eastAsia="宋体" w:cs="宋体"/>
          <w:color w:val="auto"/>
          <w:spacing w:val="-17"/>
          <w:highlight w:val="none"/>
        </w:rPr>
        <w:t xml:space="preserve"> “黑名单”。</w:t>
      </w:r>
    </w:p>
    <w:p>
      <w:pPr>
        <w:keepNext w:val="0"/>
        <w:keepLines w:val="0"/>
        <w:pageBreakBefore w:val="0"/>
        <w:wordWrap/>
        <w:overflowPunct/>
        <w:topLinePunct w:val="0"/>
        <w:bidi w:val="0"/>
        <w:spacing w:line="400" w:lineRule="exact"/>
        <w:ind w:left="0" w:right="0"/>
        <w:rPr>
          <w:rFonts w:ascii="宋体" w:hAnsi="宋体" w:eastAsia="宋体" w:cs="宋体"/>
          <w:color w:val="auto"/>
          <w:highlight w:val="none"/>
        </w:rPr>
      </w:pPr>
      <w:r>
        <w:rPr>
          <w:rFonts w:ascii="宋体" w:hAnsi="宋体" w:eastAsia="宋体" w:cs="宋体"/>
          <w:color w:val="auto"/>
          <w:spacing w:val="-1"/>
          <w:highlight w:val="none"/>
        </w:rPr>
        <w:t>6.投标人及拟派项目负责人未被行政主管</w:t>
      </w:r>
      <w:r>
        <w:rPr>
          <w:rFonts w:ascii="宋体" w:hAnsi="宋体" w:eastAsia="宋体" w:cs="宋体"/>
          <w:color w:val="auto"/>
          <w:highlight w:val="none"/>
        </w:rPr>
        <w:t>部门限制参加投标。</w:t>
      </w:r>
    </w:p>
    <w:p>
      <w:pPr>
        <w:keepNext w:val="0"/>
        <w:keepLines w:val="0"/>
        <w:pageBreakBefore w:val="0"/>
        <w:wordWrap/>
        <w:overflowPunct/>
        <w:topLinePunct w:val="0"/>
        <w:bidi w:val="0"/>
        <w:spacing w:line="400" w:lineRule="exact"/>
        <w:ind w:left="0" w:right="0" w:firstLine="422"/>
        <w:rPr>
          <w:rFonts w:ascii="宋体" w:hAnsi="宋体" w:eastAsia="宋体" w:cs="宋体"/>
          <w:color w:val="auto"/>
          <w:spacing w:val="2"/>
          <w:highlight w:val="none"/>
        </w:rPr>
      </w:pPr>
      <w:r>
        <w:rPr>
          <w:rFonts w:ascii="宋体" w:hAnsi="宋体" w:eastAsia="宋体" w:cs="宋体"/>
          <w:color w:val="auto"/>
          <w:spacing w:val="2"/>
          <w:highlight w:val="none"/>
        </w:rPr>
        <w:t>7.投标文件无虚假、伪造的内容。若投标文件中存在虚假、伪造的内容，同意作无效投标处 理，投标保证金并不予退还；若中标之后被查实弄虚作假， 同意取消中标资格，投标保证金并不 予退还。</w:t>
      </w:r>
    </w:p>
    <w:p>
      <w:pPr>
        <w:keepNext w:val="0"/>
        <w:keepLines w:val="0"/>
        <w:pageBreakBefore w:val="0"/>
        <w:wordWrap/>
        <w:overflowPunct/>
        <w:topLinePunct w:val="0"/>
        <w:bidi w:val="0"/>
        <w:spacing w:line="400" w:lineRule="exact"/>
        <w:ind w:left="0" w:right="0" w:firstLine="422"/>
        <w:rPr>
          <w:rFonts w:ascii="宋体" w:hAnsi="宋体" w:eastAsia="宋体" w:cs="宋体"/>
          <w:b/>
          <w:bCs/>
          <w:color w:val="auto"/>
          <w:spacing w:val="2"/>
          <w:highlight w:val="none"/>
        </w:rPr>
      </w:pPr>
      <w:r>
        <w:rPr>
          <w:rFonts w:ascii="宋体" w:hAnsi="宋体" w:eastAsia="宋体" w:cs="宋体"/>
          <w:b/>
          <w:bCs/>
          <w:color w:val="auto"/>
          <w:spacing w:val="2"/>
          <w:highlight w:val="none"/>
        </w:rPr>
        <w:t>8.其他：</w:t>
      </w:r>
      <w:r>
        <w:rPr>
          <w:rFonts w:hint="eastAsia" w:ascii="宋体" w:hAnsi="宋体" w:eastAsia="宋体" w:cs="宋体"/>
          <w:b/>
          <w:bCs/>
          <w:color w:val="auto"/>
          <w:spacing w:val="2"/>
          <w:highlight w:val="none"/>
          <w:lang w:val="en-US" w:eastAsia="zh-CN"/>
        </w:rPr>
        <w:t>①承诺我单位在投标前，及时维护更新</w:t>
      </w:r>
      <w:r>
        <w:rPr>
          <w:rFonts w:hint="default" w:ascii="宋体" w:hAnsi="宋体" w:eastAsia="宋体" w:cs="宋体"/>
          <w:b/>
          <w:bCs/>
          <w:color w:val="auto"/>
          <w:spacing w:val="2"/>
          <w:highlight w:val="none"/>
          <w:lang w:val="en-US" w:eastAsia="zh-CN"/>
        </w:rPr>
        <w:t>“</w:t>
      </w:r>
      <w:r>
        <w:rPr>
          <w:rFonts w:hint="eastAsia" w:ascii="宋体" w:hAnsi="宋体" w:eastAsia="宋体" w:cs="宋体"/>
          <w:b/>
          <w:bCs/>
          <w:color w:val="auto"/>
          <w:spacing w:val="2"/>
          <w:highlight w:val="none"/>
          <w:lang w:val="en-US" w:eastAsia="zh-CN"/>
        </w:rPr>
        <w:t>浙江省建筑市场监管公共服务系统</w:t>
      </w:r>
      <w:r>
        <w:rPr>
          <w:rFonts w:hint="default" w:ascii="宋体" w:hAnsi="宋体" w:eastAsia="宋体" w:cs="宋体"/>
          <w:b/>
          <w:bCs/>
          <w:color w:val="auto"/>
          <w:spacing w:val="2"/>
          <w:highlight w:val="none"/>
          <w:lang w:val="en-US" w:eastAsia="zh-CN"/>
        </w:rPr>
        <w:t>”</w:t>
      </w:r>
      <w:r>
        <w:rPr>
          <w:rFonts w:hint="eastAsia" w:ascii="宋体" w:hAnsi="宋体" w:eastAsia="宋体" w:cs="宋体"/>
          <w:b/>
          <w:bCs/>
          <w:color w:val="auto"/>
          <w:spacing w:val="2"/>
          <w:highlight w:val="none"/>
          <w:lang w:val="en-US" w:eastAsia="zh-CN"/>
        </w:rPr>
        <w:t xml:space="preserve">相关信息，并对企业资质、人员资格、项目状况、信用评价等信息的真实性、准确性、完整性负责。 </w:t>
      </w:r>
    </w:p>
    <w:p>
      <w:pPr>
        <w:keepNext w:val="0"/>
        <w:keepLines w:val="0"/>
        <w:pageBreakBefore w:val="0"/>
        <w:wordWrap/>
        <w:overflowPunct/>
        <w:topLinePunct w:val="0"/>
        <w:bidi w:val="0"/>
        <w:spacing w:line="400" w:lineRule="exact"/>
        <w:ind w:left="0" w:right="0" w:firstLine="422"/>
        <w:rPr>
          <w:rFonts w:hint="eastAsia" w:ascii="宋体" w:hAnsi="宋体" w:eastAsia="宋体" w:cs="宋体"/>
          <w:b/>
          <w:bCs/>
          <w:color w:val="auto"/>
          <w:spacing w:val="2"/>
          <w:highlight w:val="none"/>
          <w:lang w:val="en-US" w:eastAsia="zh-CN"/>
        </w:rPr>
      </w:pPr>
      <w:r>
        <w:rPr>
          <w:rFonts w:hint="eastAsia" w:ascii="宋体" w:hAnsi="宋体" w:eastAsia="宋体" w:cs="宋体"/>
          <w:b/>
          <w:bCs/>
          <w:color w:val="auto"/>
          <w:spacing w:val="2"/>
          <w:highlight w:val="none"/>
          <w:lang w:val="en-US" w:eastAsia="zh-CN"/>
        </w:rPr>
        <w:t>②承诺我单位在投标期间（招标公告发布之日至中标通知书发出之日），资质条件在</w:t>
      </w:r>
      <w:r>
        <w:rPr>
          <w:rFonts w:hint="default" w:ascii="宋体" w:hAnsi="宋体" w:eastAsia="宋体" w:cs="宋体"/>
          <w:b/>
          <w:bCs/>
          <w:color w:val="auto"/>
          <w:spacing w:val="2"/>
          <w:highlight w:val="none"/>
          <w:lang w:val="en-US" w:eastAsia="zh-CN"/>
        </w:rPr>
        <w:t>“</w:t>
      </w:r>
      <w:r>
        <w:rPr>
          <w:rFonts w:hint="eastAsia" w:ascii="宋体" w:hAnsi="宋体" w:eastAsia="宋体" w:cs="宋体"/>
          <w:b/>
          <w:bCs/>
          <w:color w:val="auto"/>
          <w:spacing w:val="2"/>
          <w:highlight w:val="none"/>
          <w:lang w:val="en-US" w:eastAsia="zh-CN"/>
        </w:rPr>
        <w:t>浙江省建筑市场监管公共服务系统</w:t>
      </w:r>
      <w:r>
        <w:rPr>
          <w:rFonts w:hint="default" w:ascii="宋体" w:hAnsi="宋体" w:eastAsia="宋体" w:cs="宋体"/>
          <w:b/>
          <w:bCs/>
          <w:color w:val="auto"/>
          <w:spacing w:val="2"/>
          <w:highlight w:val="none"/>
          <w:lang w:val="en-US" w:eastAsia="zh-CN"/>
        </w:rPr>
        <w:t>”</w:t>
      </w:r>
      <w:r>
        <w:rPr>
          <w:rFonts w:hint="eastAsia" w:ascii="宋体" w:hAnsi="宋体" w:eastAsia="宋体" w:cs="宋体"/>
          <w:b/>
          <w:bCs/>
          <w:color w:val="auto"/>
          <w:spacing w:val="2"/>
          <w:highlight w:val="none"/>
          <w:lang w:val="en-US" w:eastAsia="zh-CN"/>
        </w:rPr>
        <w:t>上动态核查结果处于</w:t>
      </w:r>
      <w:r>
        <w:rPr>
          <w:rFonts w:hint="default" w:ascii="宋体" w:hAnsi="宋体" w:eastAsia="宋体" w:cs="宋体"/>
          <w:b/>
          <w:bCs/>
          <w:color w:val="auto"/>
          <w:spacing w:val="2"/>
          <w:highlight w:val="none"/>
          <w:lang w:val="en-US" w:eastAsia="zh-CN"/>
        </w:rPr>
        <w:t>“</w:t>
      </w:r>
      <w:r>
        <w:rPr>
          <w:rFonts w:hint="eastAsia" w:ascii="宋体" w:hAnsi="宋体" w:eastAsia="宋体" w:cs="宋体"/>
          <w:b/>
          <w:bCs/>
          <w:color w:val="auto"/>
          <w:spacing w:val="2"/>
          <w:highlight w:val="none"/>
          <w:lang w:val="en-US" w:eastAsia="zh-CN"/>
        </w:rPr>
        <w:t>合格</w:t>
      </w:r>
      <w:r>
        <w:rPr>
          <w:rFonts w:hint="default" w:ascii="宋体" w:hAnsi="宋体" w:eastAsia="宋体" w:cs="宋体"/>
          <w:b/>
          <w:bCs/>
          <w:color w:val="auto"/>
          <w:spacing w:val="2"/>
          <w:highlight w:val="none"/>
          <w:lang w:val="en-US" w:eastAsia="zh-CN"/>
        </w:rPr>
        <w:t>”</w:t>
      </w:r>
      <w:r>
        <w:rPr>
          <w:rFonts w:hint="eastAsia" w:ascii="宋体" w:hAnsi="宋体" w:eastAsia="宋体" w:cs="宋体"/>
          <w:b/>
          <w:bCs/>
          <w:color w:val="auto"/>
          <w:spacing w:val="2"/>
          <w:highlight w:val="none"/>
          <w:lang w:val="en-US" w:eastAsia="zh-CN"/>
        </w:rPr>
        <w:t>状态，若为</w:t>
      </w:r>
      <w:r>
        <w:rPr>
          <w:rFonts w:hint="default" w:ascii="宋体" w:hAnsi="宋体" w:eastAsia="宋体" w:cs="宋体"/>
          <w:b/>
          <w:bCs/>
          <w:color w:val="auto"/>
          <w:spacing w:val="2"/>
          <w:highlight w:val="none"/>
          <w:lang w:val="en-US" w:eastAsia="zh-CN"/>
        </w:rPr>
        <w:t>“</w:t>
      </w:r>
      <w:r>
        <w:rPr>
          <w:rFonts w:hint="eastAsia" w:ascii="宋体" w:hAnsi="宋体" w:eastAsia="宋体" w:cs="宋体"/>
          <w:b/>
          <w:bCs/>
          <w:color w:val="auto"/>
          <w:spacing w:val="2"/>
          <w:highlight w:val="none"/>
          <w:lang w:val="en-US" w:eastAsia="zh-CN"/>
        </w:rPr>
        <w:t>不合格</w:t>
      </w:r>
      <w:r>
        <w:rPr>
          <w:rFonts w:hint="default" w:ascii="宋体" w:hAnsi="宋体" w:eastAsia="宋体" w:cs="宋体"/>
          <w:b/>
          <w:bCs/>
          <w:color w:val="auto"/>
          <w:spacing w:val="2"/>
          <w:highlight w:val="none"/>
          <w:lang w:val="en-US" w:eastAsia="zh-CN"/>
        </w:rPr>
        <w:t>”</w:t>
      </w:r>
      <w:r>
        <w:rPr>
          <w:rFonts w:hint="eastAsia" w:ascii="宋体" w:hAnsi="宋体" w:eastAsia="宋体" w:cs="宋体"/>
          <w:b/>
          <w:bCs/>
          <w:color w:val="auto"/>
          <w:spacing w:val="2"/>
          <w:highlight w:val="none"/>
          <w:lang w:val="en-US" w:eastAsia="zh-CN"/>
        </w:rPr>
        <w:t xml:space="preserve">状态同意作否决投标处理或取消中标资格。 </w:t>
      </w:r>
    </w:p>
    <w:p>
      <w:pPr>
        <w:keepNext w:val="0"/>
        <w:keepLines w:val="0"/>
        <w:pageBreakBefore w:val="0"/>
        <w:wordWrap/>
        <w:overflowPunct/>
        <w:topLinePunct w:val="0"/>
        <w:bidi w:val="0"/>
        <w:spacing w:line="400" w:lineRule="exact"/>
        <w:ind w:left="0" w:right="0" w:firstLine="422"/>
        <w:rPr>
          <w:rFonts w:ascii="宋体" w:hAnsi="宋体" w:eastAsia="宋体" w:cs="宋体"/>
          <w:color w:val="auto"/>
          <w:spacing w:val="2"/>
          <w:highlight w:val="none"/>
        </w:rPr>
      </w:pPr>
      <w:r>
        <w:rPr>
          <w:rFonts w:ascii="宋体" w:hAnsi="宋体" w:eastAsia="宋体" w:cs="宋体"/>
          <w:color w:val="auto"/>
          <w:spacing w:val="2"/>
          <w:highlight w:val="none"/>
        </w:rPr>
        <w:t>以上情况如有不实， 愿意被取消中标资格并上报行政主管部门， 由行政主管部门列入不良行 为记录；招标人可不退还投标保证金。给招标人造成损失的， 愿意依法承担赔偿责任。</w:t>
      </w:r>
    </w:p>
    <w:p>
      <w:pPr>
        <w:keepNext w:val="0"/>
        <w:keepLines w:val="0"/>
        <w:pageBreakBefore w:val="0"/>
        <w:wordWrap/>
        <w:overflowPunct/>
        <w:topLinePunct w:val="0"/>
        <w:bidi w:val="0"/>
        <w:spacing w:line="400" w:lineRule="exact"/>
        <w:ind w:left="0" w:right="0" w:firstLine="422"/>
        <w:rPr>
          <w:rFonts w:ascii="宋体" w:hAnsi="宋体" w:eastAsia="宋体" w:cs="宋体"/>
          <w:color w:val="auto"/>
          <w:spacing w:val="2"/>
          <w:highlight w:val="none"/>
        </w:rPr>
      </w:pPr>
      <w:r>
        <w:rPr>
          <w:rFonts w:ascii="宋体" w:hAnsi="宋体" w:eastAsia="宋体" w:cs="宋体"/>
          <w:color w:val="auto"/>
          <w:spacing w:val="2"/>
          <w:highlight w:val="none"/>
        </w:rPr>
        <w:t>附：法定代表人及拟派项目负责人身份证复制件</w:t>
      </w:r>
    </w:p>
    <w:p>
      <w:pPr>
        <w:keepNext w:val="0"/>
        <w:keepLines w:val="0"/>
        <w:pageBreakBefore w:val="0"/>
        <w:wordWrap/>
        <w:overflowPunct/>
        <w:topLinePunct w:val="0"/>
        <w:bidi w:val="0"/>
        <w:spacing w:line="400" w:lineRule="exact"/>
        <w:ind w:left="0" w:right="0" w:firstLine="422"/>
        <w:rPr>
          <w:rFonts w:ascii="宋体" w:hAnsi="宋体" w:eastAsia="宋体" w:cs="宋体"/>
          <w:color w:val="auto"/>
          <w:spacing w:val="2"/>
          <w:highlight w:val="none"/>
          <w:lang w:eastAsia="zh-CN"/>
        </w:rPr>
      </w:pPr>
    </w:p>
    <w:p>
      <w:pPr>
        <w:pStyle w:val="30"/>
        <w:tabs>
          <w:tab w:val="left" w:pos="2128"/>
        </w:tabs>
        <w:spacing w:after="0" w:line="460" w:lineRule="exact"/>
        <w:ind w:firstLine="0"/>
        <w:jc w:val="right"/>
        <w:rPr>
          <w:color w:val="auto"/>
          <w:sz w:val="21"/>
          <w:szCs w:val="21"/>
          <w:highlight w:val="none"/>
        </w:rPr>
      </w:pPr>
      <w:bookmarkStart w:id="561" w:name="_Toc22963"/>
      <w:bookmarkStart w:id="562" w:name="_Toc26331"/>
      <w:r>
        <w:rPr>
          <w:color w:val="auto"/>
          <w:sz w:val="21"/>
          <w:szCs w:val="21"/>
          <w:highlight w:val="none"/>
        </w:rPr>
        <w:t>投标人：</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bookmarkEnd w:id="561"/>
      <w:bookmarkEnd w:id="562"/>
    </w:p>
    <w:p>
      <w:pPr>
        <w:pStyle w:val="30"/>
        <w:spacing w:after="0" w:line="460" w:lineRule="exact"/>
        <w:ind w:firstLine="0"/>
        <w:jc w:val="right"/>
        <w:rPr>
          <w:color w:val="auto"/>
          <w:sz w:val="21"/>
          <w:szCs w:val="21"/>
          <w:highlight w:val="none"/>
          <w:lang w:val="en-US"/>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spacing w:before="111" w:line="219" w:lineRule="auto"/>
        <w:ind w:left="730"/>
        <w:rPr>
          <w:rFonts w:ascii="宋体" w:hAnsi="宋体" w:eastAsia="宋体" w:cs="宋体"/>
          <w:color w:val="auto"/>
          <w:sz w:val="34"/>
          <w:szCs w:val="34"/>
          <w:highlight w:val="none"/>
        </w:rPr>
      </w:pPr>
    </w:p>
    <w:p>
      <w:pPr>
        <w:tabs>
          <w:tab w:val="left" w:pos="2880"/>
        </w:tabs>
        <w:spacing w:before="245" w:line="242" w:lineRule="exact"/>
        <w:rPr>
          <w:color w:val="auto"/>
          <w:highlight w:val="none"/>
        </w:rPr>
      </w:pPr>
    </w:p>
    <w:p>
      <w:pPr>
        <w:spacing w:before="101" w:line="224" w:lineRule="auto"/>
        <w:ind w:left="1469"/>
        <w:outlineLvl w:val="6"/>
        <w:rPr>
          <w:rFonts w:ascii="黑体" w:hAnsi="黑体" w:eastAsia="黑体" w:cs="黑体"/>
          <w:color w:val="auto"/>
          <w:sz w:val="31"/>
          <w:szCs w:val="31"/>
          <w:highlight w:val="none"/>
        </w:rPr>
      </w:pPr>
    </w:p>
    <w:p>
      <w:pPr>
        <w:pStyle w:val="30"/>
        <w:tabs>
          <w:tab w:val="left" w:pos="2808"/>
          <w:tab w:val="left" w:pos="6324"/>
        </w:tabs>
        <w:spacing w:beforeLines="200" w:afterLines="200" w:line="460" w:lineRule="exact"/>
        <w:ind w:firstLine="0"/>
        <w:jc w:val="both"/>
        <w:rPr>
          <w:b/>
          <w:bCs/>
          <w:color w:val="auto"/>
          <w:sz w:val="36"/>
          <w:szCs w:val="36"/>
          <w:highlight w:val="none"/>
        </w:rPr>
      </w:pPr>
    </w:p>
    <w:p>
      <w:pPr>
        <w:pStyle w:val="30"/>
        <w:tabs>
          <w:tab w:val="left" w:pos="2808"/>
          <w:tab w:val="left" w:pos="6324"/>
        </w:tabs>
        <w:spacing w:beforeLines="20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32"/>
        <w:keepNext/>
        <w:keepLines/>
        <w:spacing w:after="0"/>
        <w:jc w:val="center"/>
        <w:outlineLvl w:val="9"/>
        <w:rPr>
          <w:b/>
          <w:bCs/>
          <w:color w:val="auto"/>
          <w:sz w:val="72"/>
          <w:szCs w:val="72"/>
          <w:highlight w:val="none"/>
        </w:rPr>
      </w:pPr>
    </w:p>
    <w:p>
      <w:pPr>
        <w:pStyle w:val="32"/>
        <w:keepNext/>
        <w:keepLines/>
        <w:spacing w:after="0"/>
        <w:jc w:val="center"/>
        <w:outlineLvl w:val="9"/>
        <w:rPr>
          <w:b/>
          <w:bCs/>
          <w:color w:val="auto"/>
          <w:sz w:val="72"/>
          <w:szCs w:val="72"/>
          <w:highlight w:val="none"/>
        </w:rPr>
      </w:pPr>
    </w:p>
    <w:p>
      <w:pPr>
        <w:pStyle w:val="32"/>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30"/>
        <w:spacing w:after="2000" w:line="240" w:lineRule="auto"/>
        <w:ind w:firstLine="0"/>
        <w:jc w:val="center"/>
        <w:rPr>
          <w:color w:val="auto"/>
          <w:highlight w:val="none"/>
        </w:rPr>
      </w:pPr>
      <w:r>
        <w:rPr>
          <w:rFonts w:hint="eastAsia"/>
          <w:color w:val="auto"/>
          <w:highlight w:val="none"/>
          <w:lang w:eastAsia="zh-CN"/>
        </w:rPr>
        <w:t>（</w:t>
      </w:r>
      <w:r>
        <w:rPr>
          <w:rFonts w:hint="eastAsia"/>
          <w:color w:val="auto"/>
          <w:highlight w:val="none"/>
          <w:lang w:val="en-US" w:eastAsia="zh-CN"/>
        </w:rPr>
        <w:t>技术</w:t>
      </w:r>
      <w:r>
        <w:rPr>
          <w:color w:val="auto"/>
          <w:highlight w:val="none"/>
        </w:rPr>
        <w:t>标）</w:t>
      </w:r>
    </w:p>
    <w:p>
      <w:pPr>
        <w:pStyle w:val="30"/>
        <w:tabs>
          <w:tab w:val="left" w:pos="6200"/>
        </w:tabs>
        <w:spacing w:after="0" w:line="240" w:lineRule="auto"/>
        <w:ind w:firstLine="680" w:firstLineChars="200"/>
        <w:rPr>
          <w:color w:val="auto"/>
          <w:highlight w:val="none"/>
        </w:rPr>
      </w:pPr>
    </w:p>
    <w:p>
      <w:pPr>
        <w:pStyle w:val="30"/>
        <w:tabs>
          <w:tab w:val="left" w:pos="6200"/>
        </w:tabs>
        <w:spacing w:after="0" w:line="240" w:lineRule="auto"/>
        <w:ind w:firstLine="680" w:firstLineChars="200"/>
        <w:rPr>
          <w:color w:val="auto"/>
          <w:highlight w:val="none"/>
        </w:rPr>
      </w:pPr>
    </w:p>
    <w:p>
      <w:pPr>
        <w:pStyle w:val="30"/>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30"/>
        <w:spacing w:after="0" w:line="240" w:lineRule="auto"/>
        <w:ind w:firstLine="680" w:firstLineChars="200"/>
        <w:rPr>
          <w:color w:val="auto"/>
          <w:highlight w:val="none"/>
        </w:rPr>
      </w:pPr>
    </w:p>
    <w:p>
      <w:pPr>
        <w:pStyle w:val="30"/>
        <w:spacing w:after="0" w:line="240" w:lineRule="auto"/>
        <w:ind w:firstLine="680" w:firstLineChars="200"/>
        <w:rPr>
          <w:color w:val="auto"/>
          <w:highlight w:val="none"/>
        </w:rPr>
      </w:pPr>
      <w:r>
        <w:rPr>
          <w:color w:val="auto"/>
          <w:highlight w:val="none"/>
        </w:rPr>
        <w:t>法定代表人</w:t>
      </w:r>
    </w:p>
    <w:p>
      <w:pPr>
        <w:pStyle w:val="30"/>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30"/>
        <w:tabs>
          <w:tab w:val="left" w:pos="4580"/>
          <w:tab w:val="left" w:pos="6860"/>
          <w:tab w:val="left" w:pos="9332"/>
        </w:tabs>
        <w:spacing w:after="0" w:line="240" w:lineRule="auto"/>
        <w:ind w:firstLine="2040" w:firstLineChars="600"/>
        <w:rPr>
          <w:color w:val="auto"/>
          <w:highlight w:val="none"/>
          <w:u w:val="single"/>
          <w:lang w:val="en-US" w:eastAsia="zh-CN"/>
        </w:rPr>
      </w:pPr>
    </w:p>
    <w:p>
      <w:pPr>
        <w:pStyle w:val="30"/>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30"/>
        <w:spacing w:after="0" w:line="240" w:lineRule="auto"/>
        <w:ind w:firstLine="540"/>
        <w:rPr>
          <w:i/>
          <w:iCs/>
          <w:color w:val="auto"/>
          <w:sz w:val="32"/>
          <w:szCs w:val="32"/>
          <w:highlight w:val="none"/>
        </w:rPr>
      </w:pPr>
    </w:p>
    <w:p>
      <w:pPr>
        <w:widowControl w:val="0"/>
        <w:jc w:val="both"/>
        <w:rPr>
          <w:color w:val="auto"/>
          <w:sz w:val="2"/>
          <w:szCs w:val="2"/>
          <w:highlight w:val="none"/>
        </w:rPr>
        <w:sectPr>
          <w:headerReference r:id="rId41" w:type="default"/>
          <w:footerReference r:id="rId42" w:type="default"/>
          <w:pgSz w:w="11905" w:h="16838"/>
          <w:pgMar w:top="1247" w:right="1417" w:bottom="1247" w:left="1417" w:header="0" w:footer="850" w:gutter="0"/>
          <w:cols w:space="0" w:num="1"/>
          <w:docGrid w:linePitch="360" w:charSpace="0"/>
        </w:sectPr>
      </w:pPr>
    </w:p>
    <w:p>
      <w:pPr>
        <w:jc w:val="center"/>
        <w:rPr>
          <w:b/>
          <w:bCs/>
          <w:color w:val="auto"/>
          <w:sz w:val="36"/>
          <w:szCs w:val="36"/>
          <w:highlight w:val="none"/>
        </w:rPr>
      </w:pPr>
      <w:bookmarkStart w:id="563" w:name="_Toc16702"/>
      <w:bookmarkStart w:id="564" w:name="_Toc17921"/>
      <w:r>
        <w:rPr>
          <w:rFonts w:hint="eastAsia"/>
          <w:b/>
          <w:bCs/>
          <w:color w:val="auto"/>
          <w:sz w:val="36"/>
          <w:szCs w:val="36"/>
          <w:highlight w:val="none"/>
        </w:rPr>
        <w:t>一、施工组织设计</w:t>
      </w:r>
      <w:bookmarkEnd w:id="563"/>
      <w:bookmarkEnd w:id="564"/>
    </w:p>
    <w:p>
      <w:pPr>
        <w:pStyle w:val="30"/>
        <w:spacing w:after="0" w:line="460" w:lineRule="exact"/>
        <w:ind w:firstLine="422" w:firstLineChars="200"/>
        <w:jc w:val="both"/>
        <w:rPr>
          <w:color w:val="auto"/>
          <w:sz w:val="21"/>
          <w:szCs w:val="21"/>
          <w:highlight w:val="none"/>
        </w:rPr>
      </w:pPr>
      <w:r>
        <w:rPr>
          <w:b/>
          <w:bCs/>
          <w:color w:val="auto"/>
          <w:sz w:val="21"/>
          <w:szCs w:val="21"/>
          <w:highlight w:val="none"/>
        </w:rPr>
        <w:t>1</w:t>
      </w:r>
      <w:r>
        <w:rPr>
          <w:rFonts w:hint="eastAsia"/>
          <w:b/>
          <w:bCs/>
          <w:color w:val="auto"/>
          <w:sz w:val="21"/>
          <w:szCs w:val="21"/>
          <w:highlight w:val="none"/>
          <w:lang w:val="en-US" w:eastAsia="zh-CN"/>
        </w:rPr>
        <w:t xml:space="preserve">  </w:t>
      </w:r>
      <w:r>
        <w:rPr>
          <w:color w:val="auto"/>
          <w:sz w:val="21"/>
          <w:szCs w:val="21"/>
          <w:highlight w:val="none"/>
        </w:rPr>
        <w:t>投标人编制施工组织设计时应采用文字并结合图表形式说明工程的施工组织、施工方法、技术组织措施，同时应对关键工序、复杂环节重点提出相应技术措施，如冬雨季施工技术、减少噪音、降低环境污染、地下管线及其他地上地下设施的保护加固措施等。施工组织设计还应结合工程特点提出切实可行的工程质量、工程进度、安全生产、防汛度汛、文明施工、水土保持、环境保护管理方案等。</w:t>
      </w:r>
    </w:p>
    <w:p>
      <w:pPr>
        <w:pStyle w:val="30"/>
        <w:spacing w:after="0" w:line="460" w:lineRule="exact"/>
        <w:ind w:firstLine="420" w:firstLineChars="200"/>
        <w:jc w:val="both"/>
        <w:rPr>
          <w:color w:val="auto"/>
          <w:sz w:val="21"/>
          <w:szCs w:val="21"/>
          <w:highlight w:val="none"/>
        </w:rPr>
      </w:pPr>
      <w:r>
        <w:rPr>
          <w:color w:val="auto"/>
          <w:sz w:val="21"/>
          <w:szCs w:val="21"/>
          <w:highlight w:val="none"/>
        </w:rPr>
        <w:t>施工组织设计应附的文字说明及附图见下表</w:t>
      </w:r>
      <w:r>
        <w:rPr>
          <w:rFonts w:hint="eastAsia"/>
          <w:color w:val="auto"/>
          <w:sz w:val="21"/>
          <w:szCs w:val="21"/>
          <w:highlight w:val="none"/>
          <w:lang w:eastAsia="zh-CN"/>
        </w:rPr>
        <w:t>（</w:t>
      </w:r>
      <w:r>
        <w:rPr>
          <w:color w:val="auto"/>
          <w:sz w:val="21"/>
          <w:szCs w:val="21"/>
          <w:highlight w:val="none"/>
        </w:rPr>
        <w:t>不限于，仅供参考）：</w:t>
      </w:r>
    </w:p>
    <w:tbl>
      <w:tblPr>
        <w:tblStyle w:val="22"/>
        <w:tblW w:w="9006" w:type="dxa"/>
        <w:jc w:val="center"/>
        <w:tblLayout w:type="fixed"/>
        <w:tblCellMar>
          <w:top w:w="0" w:type="dxa"/>
          <w:left w:w="108" w:type="dxa"/>
          <w:bottom w:w="0" w:type="dxa"/>
          <w:right w:w="108" w:type="dxa"/>
        </w:tblCellMar>
      </w:tblPr>
      <w:tblGrid>
        <w:gridCol w:w="748"/>
        <w:gridCol w:w="7587"/>
        <w:gridCol w:w="671"/>
      </w:tblGrid>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序号</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名称</w:t>
            </w:r>
          </w:p>
        </w:tc>
        <w:tc>
          <w:tcPr>
            <w:tcW w:w="671" w:type="dxa"/>
            <w:tcBorders>
              <w:top w:val="single" w:color="auto" w:sz="4" w:space="0"/>
              <w:left w:val="single" w:color="auto" w:sz="4" w:space="0"/>
              <w:righ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1</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施工围堰设计说明书及附图</w:t>
            </w:r>
            <w:r>
              <w:rPr>
                <w:rFonts w:hint="eastAsia"/>
                <w:color w:val="auto"/>
                <w:sz w:val="21"/>
                <w:szCs w:val="21"/>
                <w:highlight w:val="none"/>
                <w:lang w:eastAsia="zh-CN"/>
              </w:rPr>
              <w:t>（</w:t>
            </w:r>
            <w:r>
              <w:rPr>
                <w:rFonts w:hint="eastAsia"/>
                <w:color w:val="auto"/>
                <w:sz w:val="21"/>
                <w:szCs w:val="21"/>
                <w:highlight w:val="none"/>
              </w:rPr>
              <w:t>包括加高、维护、拆除）</w:t>
            </w:r>
          </w:p>
        </w:tc>
        <w:tc>
          <w:tcPr>
            <w:tcW w:w="671" w:type="dxa"/>
            <w:tcBorders>
              <w:top w:val="single" w:color="auto" w:sz="4" w:space="0"/>
              <w:left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2</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施工排水设计说明书及附图</w:t>
            </w:r>
            <w:r>
              <w:rPr>
                <w:rFonts w:hint="eastAsia"/>
                <w:color w:val="auto"/>
                <w:sz w:val="21"/>
                <w:szCs w:val="21"/>
                <w:highlight w:val="none"/>
                <w:lang w:eastAsia="zh-CN"/>
              </w:rPr>
              <w:t>（</w:t>
            </w:r>
            <w:r>
              <w:rPr>
                <w:rFonts w:hint="eastAsia"/>
                <w:color w:val="auto"/>
                <w:sz w:val="21"/>
                <w:szCs w:val="21"/>
                <w:highlight w:val="none"/>
              </w:rPr>
              <w:t>包括降水方案、场地排水等）</w:t>
            </w:r>
          </w:p>
        </w:tc>
        <w:tc>
          <w:tcPr>
            <w:tcW w:w="671" w:type="dxa"/>
            <w:tcBorders>
              <w:top w:val="single" w:color="auto" w:sz="4" w:space="0"/>
              <w:left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3</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材料釆购</w:t>
            </w:r>
            <w:r>
              <w:rPr>
                <w:rFonts w:hint="eastAsia"/>
                <w:color w:val="auto"/>
                <w:sz w:val="21"/>
                <w:szCs w:val="21"/>
                <w:highlight w:val="none"/>
                <w:lang w:eastAsia="zh-CN"/>
              </w:rPr>
              <w:t>（</w:t>
            </w:r>
            <w:r>
              <w:rPr>
                <w:rFonts w:hint="eastAsia"/>
                <w:color w:val="auto"/>
                <w:sz w:val="21"/>
                <w:szCs w:val="21"/>
                <w:highlight w:val="none"/>
              </w:rPr>
              <w:t>黄沙、碎石、块石的产地、矿名等均应明示，钢材、水泥的生产厂家，转运方案：卸料、短驳、运输、道路维护等）</w:t>
            </w:r>
          </w:p>
        </w:tc>
        <w:tc>
          <w:tcPr>
            <w:tcW w:w="671" w:type="dxa"/>
            <w:tcBorders>
              <w:top w:val="single" w:color="auto" w:sz="4" w:space="0"/>
              <w:left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4</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土方工程施工说明书及附图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671" w:type="dxa"/>
            <w:tcBorders>
              <w:top w:val="single" w:color="auto" w:sz="4" w:space="0"/>
              <w:left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5</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基坑支护、地基加固工程施工说明书及附图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671" w:type="dxa"/>
            <w:tcBorders>
              <w:top w:val="single" w:color="auto" w:sz="4" w:space="0"/>
              <w:left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6</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主体建筑物工程施工说明书及附图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671" w:type="dxa"/>
            <w:tcBorders>
              <w:top w:val="single" w:color="auto" w:sz="4" w:space="0"/>
              <w:left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7</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金属结构制造和安装计划、措施及附图</w:t>
            </w:r>
          </w:p>
        </w:tc>
        <w:tc>
          <w:tcPr>
            <w:tcW w:w="671" w:type="dxa"/>
            <w:tcBorders>
              <w:top w:val="single" w:color="auto" w:sz="4" w:space="0"/>
              <w:left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8</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机电设备安装、调试方案、施工进度计划说明书</w:t>
            </w:r>
          </w:p>
        </w:tc>
        <w:tc>
          <w:tcPr>
            <w:tcW w:w="671" w:type="dxa"/>
            <w:tcBorders>
              <w:top w:val="single" w:color="auto" w:sz="4" w:space="0"/>
              <w:left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9</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建筑与装修工程施工说明书</w:t>
            </w:r>
            <w:r>
              <w:rPr>
                <w:rFonts w:hint="eastAsia"/>
                <w:color w:val="auto"/>
                <w:sz w:val="21"/>
                <w:szCs w:val="21"/>
                <w:highlight w:val="none"/>
                <w:lang w:eastAsia="zh-CN"/>
              </w:rPr>
              <w:t>（</w:t>
            </w:r>
            <w:r>
              <w:rPr>
                <w:rFonts w:hint="eastAsia"/>
                <w:color w:val="auto"/>
                <w:sz w:val="21"/>
                <w:szCs w:val="21"/>
                <w:highlight w:val="none"/>
              </w:rPr>
              <w:t>施工工艺及质量保证措施，施工进度工期计划等）</w:t>
            </w:r>
          </w:p>
        </w:tc>
        <w:tc>
          <w:tcPr>
            <w:tcW w:w="671" w:type="dxa"/>
            <w:tcBorders>
              <w:top w:val="single" w:color="auto" w:sz="4" w:space="0"/>
              <w:left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10</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工程质量管理方案</w:t>
            </w:r>
          </w:p>
        </w:tc>
        <w:tc>
          <w:tcPr>
            <w:tcW w:w="671" w:type="dxa"/>
            <w:tcBorders>
              <w:top w:val="single" w:color="auto" w:sz="4" w:space="0"/>
              <w:left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rFonts w:hint="default" w:eastAsia="宋体"/>
                <w:color w:val="auto"/>
                <w:sz w:val="21"/>
                <w:szCs w:val="21"/>
                <w:highlight w:val="none"/>
                <w:lang w:val="en-US" w:eastAsia="zh-CN"/>
              </w:rPr>
            </w:pPr>
            <w:r>
              <w:rPr>
                <w:rFonts w:hint="eastAsia"/>
                <w:color w:val="auto"/>
                <w:sz w:val="21"/>
                <w:szCs w:val="21"/>
                <w:highlight w:val="none"/>
                <w:lang w:val="en-US" w:eastAsia="zh-CN" w:bidi="en-US"/>
              </w:rPr>
              <w:t>11</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安全生产管理方案</w:t>
            </w:r>
          </w:p>
        </w:tc>
        <w:tc>
          <w:tcPr>
            <w:tcW w:w="671" w:type="dxa"/>
            <w:tcBorders>
              <w:top w:val="single" w:color="auto" w:sz="4" w:space="0"/>
              <w:left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bottom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12</w:t>
            </w:r>
          </w:p>
        </w:tc>
        <w:tc>
          <w:tcPr>
            <w:tcW w:w="7587" w:type="dxa"/>
            <w:tcBorders>
              <w:top w:val="single" w:color="auto" w:sz="4" w:space="0"/>
              <w:left w:val="single" w:color="auto" w:sz="4" w:space="0"/>
              <w:bottom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防汛度汛</w:t>
            </w:r>
          </w:p>
        </w:tc>
        <w:tc>
          <w:tcPr>
            <w:tcW w:w="671"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rFonts w:ascii="宋体" w:hAnsi="宋体" w:eastAsia="宋体" w:cs="宋体"/>
                <w:color w:val="auto"/>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13</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安全、文明工地建设措施，为其他承包人提供方便的措施等</w:t>
            </w:r>
          </w:p>
        </w:tc>
        <w:tc>
          <w:tcPr>
            <w:tcW w:w="671" w:type="dxa"/>
            <w:tcBorders>
              <w:top w:val="single" w:color="auto" w:sz="4" w:space="0"/>
              <w:left w:val="single" w:color="auto" w:sz="4" w:space="0"/>
              <w:right w:val="single" w:color="auto" w:sz="4" w:space="0"/>
            </w:tcBorders>
            <w:shd w:val="clear" w:color="auto" w:fill="FFFFFF"/>
          </w:tcPr>
          <w:p>
            <w:pPr>
              <w:pStyle w:val="36"/>
              <w:spacing w:after="0" w:line="360" w:lineRule="exact"/>
              <w:ind w:firstLine="0"/>
              <w:jc w:val="center"/>
              <w:rPr>
                <w:color w:val="auto"/>
                <w:sz w:val="21"/>
                <w:szCs w:val="21"/>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14</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水土保持、环境保护管理方案</w:t>
            </w:r>
          </w:p>
        </w:tc>
        <w:tc>
          <w:tcPr>
            <w:tcW w:w="671" w:type="dxa"/>
            <w:tcBorders>
              <w:top w:val="single" w:color="auto" w:sz="4" w:space="0"/>
              <w:left w:val="single" w:color="auto" w:sz="4" w:space="0"/>
              <w:right w:val="single" w:color="auto" w:sz="4" w:space="0"/>
            </w:tcBorders>
            <w:shd w:val="clear" w:color="auto" w:fill="FFFFFF"/>
          </w:tcPr>
          <w:p>
            <w:pPr>
              <w:pStyle w:val="36"/>
              <w:spacing w:after="0" w:line="360" w:lineRule="exact"/>
              <w:ind w:firstLine="0"/>
              <w:jc w:val="center"/>
              <w:rPr>
                <w:color w:val="auto"/>
                <w:sz w:val="21"/>
                <w:szCs w:val="21"/>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15</w:t>
            </w:r>
          </w:p>
        </w:tc>
        <w:tc>
          <w:tcPr>
            <w:tcW w:w="7587"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其他有关工程的施工工艺及进度计划</w:t>
            </w:r>
          </w:p>
        </w:tc>
        <w:tc>
          <w:tcPr>
            <w:tcW w:w="671" w:type="dxa"/>
            <w:tcBorders>
              <w:top w:val="single" w:color="auto" w:sz="4" w:space="0"/>
              <w:left w:val="single" w:color="auto" w:sz="4" w:space="0"/>
              <w:right w:val="single" w:color="auto" w:sz="4" w:space="0"/>
            </w:tcBorders>
            <w:shd w:val="clear" w:color="auto" w:fill="FFFFFF"/>
          </w:tcPr>
          <w:p>
            <w:pPr>
              <w:pStyle w:val="36"/>
              <w:spacing w:after="0" w:line="360" w:lineRule="exact"/>
              <w:ind w:firstLine="0"/>
              <w:jc w:val="center"/>
              <w:rPr>
                <w:color w:val="auto"/>
                <w:sz w:val="21"/>
                <w:szCs w:val="21"/>
                <w:highlight w:val="none"/>
              </w:rPr>
            </w:pPr>
          </w:p>
        </w:tc>
      </w:tr>
      <w:tr>
        <w:tblPrEx>
          <w:tblCellMar>
            <w:top w:w="0" w:type="dxa"/>
            <w:left w:w="108" w:type="dxa"/>
            <w:bottom w:w="0" w:type="dxa"/>
            <w:right w:w="108" w:type="dxa"/>
          </w:tblCellMar>
        </w:tblPrEx>
        <w:trPr>
          <w:jc w:val="center"/>
        </w:trPr>
        <w:tc>
          <w:tcPr>
            <w:tcW w:w="748" w:type="dxa"/>
            <w:tcBorders>
              <w:top w:val="single" w:color="auto" w:sz="4" w:space="0"/>
              <w:left w:val="single" w:color="auto" w:sz="4" w:space="0"/>
              <w:bottom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16</w:t>
            </w:r>
          </w:p>
        </w:tc>
        <w:tc>
          <w:tcPr>
            <w:tcW w:w="7587" w:type="dxa"/>
            <w:tcBorders>
              <w:top w:val="single" w:color="auto" w:sz="4" w:space="0"/>
              <w:left w:val="single" w:color="auto" w:sz="4" w:space="0"/>
              <w:bottom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有关施工建议</w:t>
            </w:r>
          </w:p>
        </w:tc>
        <w:tc>
          <w:tcPr>
            <w:tcW w:w="671" w:type="dxa"/>
            <w:tcBorders>
              <w:top w:val="single" w:color="auto" w:sz="4" w:space="0"/>
              <w:left w:val="single" w:color="auto" w:sz="4" w:space="0"/>
              <w:bottom w:val="single" w:color="auto" w:sz="4" w:space="0"/>
              <w:right w:val="single" w:color="auto" w:sz="4" w:space="0"/>
            </w:tcBorders>
            <w:shd w:val="clear" w:color="auto" w:fill="FFFFFF"/>
          </w:tcPr>
          <w:p>
            <w:pPr>
              <w:pStyle w:val="36"/>
              <w:spacing w:after="0" w:line="360" w:lineRule="exact"/>
              <w:ind w:firstLine="0"/>
              <w:jc w:val="center"/>
              <w:rPr>
                <w:color w:val="auto"/>
                <w:sz w:val="21"/>
                <w:szCs w:val="21"/>
                <w:highlight w:val="none"/>
              </w:rPr>
            </w:pPr>
          </w:p>
        </w:tc>
      </w:tr>
    </w:tbl>
    <w:p>
      <w:pPr>
        <w:pStyle w:val="30"/>
        <w:spacing w:after="0" w:line="460" w:lineRule="exact"/>
        <w:ind w:firstLine="422" w:firstLineChars="200"/>
        <w:jc w:val="both"/>
        <w:rPr>
          <w:color w:val="auto"/>
          <w:sz w:val="21"/>
          <w:szCs w:val="21"/>
          <w:highlight w:val="none"/>
        </w:rPr>
      </w:pPr>
      <w:r>
        <w:rPr>
          <w:b/>
          <w:bCs/>
          <w:color w:val="auto"/>
          <w:sz w:val="21"/>
          <w:szCs w:val="21"/>
          <w:highlight w:val="none"/>
        </w:rPr>
        <w:t>2</w:t>
      </w:r>
      <w:r>
        <w:rPr>
          <w:rFonts w:hint="eastAsia"/>
          <w:b/>
          <w:bCs/>
          <w:color w:val="auto"/>
          <w:sz w:val="21"/>
          <w:szCs w:val="21"/>
          <w:highlight w:val="none"/>
          <w:lang w:val="en-US" w:eastAsia="zh-CN"/>
        </w:rPr>
        <w:t xml:space="preserve">  </w:t>
      </w:r>
      <w:r>
        <w:rPr>
          <w:color w:val="auto"/>
          <w:sz w:val="21"/>
          <w:szCs w:val="21"/>
          <w:highlight w:val="none"/>
        </w:rPr>
        <w:t>施工组织设计除采用文字表述外，应附下列图表，图表及格式要求附后。</w:t>
      </w:r>
    </w:p>
    <w:p>
      <w:pPr>
        <w:pStyle w:val="30"/>
        <w:spacing w:after="0" w:line="460" w:lineRule="exact"/>
        <w:ind w:firstLine="420" w:firstLineChars="200"/>
        <w:jc w:val="both"/>
        <w:rPr>
          <w:color w:val="auto"/>
          <w:sz w:val="21"/>
          <w:szCs w:val="21"/>
          <w:highlight w:val="none"/>
        </w:rPr>
      </w:pPr>
      <w:r>
        <w:rPr>
          <w:color w:val="auto"/>
          <w:sz w:val="21"/>
          <w:szCs w:val="21"/>
          <w:highlight w:val="none"/>
        </w:rPr>
        <w:t>附件一：拟投入本标段的主要施工设备表</w:t>
      </w:r>
    </w:p>
    <w:p>
      <w:pPr>
        <w:pStyle w:val="30"/>
        <w:spacing w:after="0" w:line="460" w:lineRule="exact"/>
        <w:ind w:firstLine="420" w:firstLineChars="200"/>
        <w:jc w:val="both"/>
        <w:rPr>
          <w:color w:val="auto"/>
          <w:sz w:val="21"/>
          <w:szCs w:val="21"/>
          <w:highlight w:val="none"/>
        </w:rPr>
      </w:pPr>
      <w:r>
        <w:rPr>
          <w:color w:val="auto"/>
          <w:sz w:val="21"/>
          <w:szCs w:val="21"/>
          <w:highlight w:val="none"/>
        </w:rPr>
        <w:t>附件二：拟投入本标段的试验和检测仪器设备表</w:t>
      </w:r>
    </w:p>
    <w:p>
      <w:pPr>
        <w:pStyle w:val="30"/>
        <w:spacing w:after="0" w:line="460" w:lineRule="exact"/>
        <w:ind w:firstLine="420" w:firstLineChars="200"/>
        <w:jc w:val="both"/>
        <w:rPr>
          <w:color w:val="auto"/>
          <w:sz w:val="21"/>
          <w:szCs w:val="21"/>
          <w:highlight w:val="none"/>
        </w:rPr>
      </w:pPr>
      <w:r>
        <w:rPr>
          <w:color w:val="auto"/>
          <w:sz w:val="21"/>
          <w:szCs w:val="21"/>
          <w:highlight w:val="none"/>
        </w:rPr>
        <w:t>附件三：拟投入本标段的劳动力计划表</w:t>
      </w:r>
    </w:p>
    <w:p>
      <w:pPr>
        <w:pStyle w:val="30"/>
        <w:spacing w:after="0" w:line="460" w:lineRule="exact"/>
        <w:ind w:firstLine="420" w:firstLineChars="200"/>
        <w:jc w:val="both"/>
        <w:rPr>
          <w:color w:val="auto"/>
          <w:sz w:val="21"/>
          <w:szCs w:val="21"/>
          <w:highlight w:val="none"/>
        </w:rPr>
      </w:pPr>
      <w:r>
        <w:rPr>
          <w:color w:val="auto"/>
          <w:sz w:val="21"/>
          <w:szCs w:val="21"/>
          <w:highlight w:val="none"/>
        </w:rPr>
        <w:t>附件四：计划开工日期、完工日期和施工进度表</w:t>
      </w:r>
    </w:p>
    <w:p>
      <w:pPr>
        <w:pStyle w:val="30"/>
        <w:spacing w:after="0" w:line="460" w:lineRule="exact"/>
        <w:ind w:firstLine="420" w:firstLineChars="200"/>
        <w:jc w:val="both"/>
        <w:rPr>
          <w:color w:val="auto"/>
          <w:sz w:val="21"/>
          <w:szCs w:val="21"/>
          <w:highlight w:val="none"/>
        </w:rPr>
      </w:pPr>
      <w:r>
        <w:rPr>
          <w:color w:val="auto"/>
          <w:sz w:val="21"/>
          <w:szCs w:val="21"/>
          <w:highlight w:val="none"/>
        </w:rPr>
        <w:t>附件五：施工总平面图</w:t>
      </w:r>
    </w:p>
    <w:p>
      <w:pPr>
        <w:pStyle w:val="30"/>
        <w:spacing w:after="0" w:line="460" w:lineRule="exact"/>
        <w:ind w:firstLine="420" w:firstLineChars="200"/>
        <w:jc w:val="both"/>
        <w:rPr>
          <w:color w:val="auto"/>
          <w:sz w:val="21"/>
          <w:szCs w:val="21"/>
          <w:highlight w:val="none"/>
        </w:rPr>
        <w:sectPr>
          <w:footerReference r:id="rId43" w:type="default"/>
          <w:footerReference r:id="rId44" w:type="even"/>
          <w:pgSz w:w="11905" w:h="16838"/>
          <w:pgMar w:top="1247" w:right="1417" w:bottom="1247" w:left="1417" w:header="0" w:footer="850" w:gutter="0"/>
          <w:cols w:space="0" w:num="1"/>
          <w:docGrid w:linePitch="360" w:charSpace="0"/>
        </w:sectPr>
      </w:pPr>
      <w:r>
        <w:rPr>
          <w:color w:val="auto"/>
          <w:sz w:val="21"/>
          <w:szCs w:val="21"/>
          <w:highlight w:val="none"/>
        </w:rPr>
        <w:t>附表六：临时用地表</w:t>
      </w:r>
    </w:p>
    <w:p>
      <w:pPr>
        <w:pStyle w:val="31"/>
        <w:spacing w:after="0" w:line="46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33"/>
        <w:keepNext/>
        <w:keepLines/>
        <w:spacing w:after="0" w:line="600" w:lineRule="exact"/>
        <w:jc w:val="center"/>
        <w:outlineLvl w:val="9"/>
        <w:rPr>
          <w:b/>
          <w:bCs/>
          <w:color w:val="auto"/>
          <w:sz w:val="30"/>
          <w:szCs w:val="30"/>
          <w:highlight w:val="none"/>
        </w:rPr>
      </w:pPr>
      <w:bookmarkStart w:id="565" w:name="_Toc9833"/>
      <w:bookmarkStart w:id="566" w:name="_Toc15283"/>
      <w:bookmarkStart w:id="567" w:name="_Toc28413"/>
      <w:bookmarkStart w:id="568" w:name="_Toc31706"/>
      <w:r>
        <w:rPr>
          <w:b/>
          <w:bCs/>
          <w:color w:val="auto"/>
          <w:sz w:val="30"/>
          <w:szCs w:val="30"/>
          <w:highlight w:val="none"/>
        </w:rPr>
        <w:t>拟投入本标段的主要施工设备表</w:t>
      </w:r>
      <w:bookmarkEnd w:id="565"/>
      <w:bookmarkEnd w:id="566"/>
      <w:bookmarkEnd w:id="567"/>
      <w:bookmarkEnd w:id="568"/>
    </w:p>
    <w:tbl>
      <w:tblPr>
        <w:tblStyle w:val="22"/>
        <w:tblW w:w="9356" w:type="dxa"/>
        <w:jc w:val="center"/>
        <w:tblLayout w:type="fixed"/>
        <w:tblCellMar>
          <w:top w:w="0" w:type="dxa"/>
          <w:left w:w="108" w:type="dxa"/>
          <w:bottom w:w="0" w:type="dxa"/>
          <w:right w:w="108" w:type="dxa"/>
        </w:tblCellMar>
      </w:tblPr>
      <w:tblGrid>
        <w:gridCol w:w="674"/>
        <w:gridCol w:w="1166"/>
        <w:gridCol w:w="1138"/>
        <w:gridCol w:w="765"/>
        <w:gridCol w:w="1054"/>
        <w:gridCol w:w="820"/>
        <w:gridCol w:w="1083"/>
        <w:gridCol w:w="933"/>
        <w:gridCol w:w="1096"/>
        <w:gridCol w:w="627"/>
      </w:tblGrid>
      <w:tr>
        <w:tblPrEx>
          <w:tblCellMar>
            <w:top w:w="0" w:type="dxa"/>
            <w:left w:w="108" w:type="dxa"/>
            <w:bottom w:w="0" w:type="dxa"/>
            <w:right w:w="108" w:type="dxa"/>
          </w:tblCellMar>
        </w:tblPrEx>
        <w:trPr>
          <w:trHeight w:val="819" w:hRule="exact"/>
          <w:jc w:val="center"/>
        </w:trPr>
        <w:tc>
          <w:tcPr>
            <w:tcW w:w="712" w:type="dxa"/>
            <w:tcBorders>
              <w:top w:val="single" w:color="auto" w:sz="4" w:space="0"/>
              <w:left w:val="single" w:color="auto" w:sz="4" w:space="0"/>
            </w:tcBorders>
            <w:shd w:val="clear" w:color="auto" w:fill="FFFFFF"/>
            <w:vAlign w:val="center"/>
          </w:tcPr>
          <w:p>
            <w:pPr>
              <w:pStyle w:val="36"/>
              <w:spacing w:after="0" w:line="360" w:lineRule="exact"/>
              <w:ind w:firstLine="0"/>
              <w:rPr>
                <w:color w:val="auto"/>
                <w:sz w:val="21"/>
                <w:szCs w:val="21"/>
                <w:highlight w:val="none"/>
              </w:rPr>
            </w:pPr>
            <w:r>
              <w:rPr>
                <w:rFonts w:hint="eastAsia"/>
                <w:color w:val="auto"/>
                <w:sz w:val="21"/>
                <w:szCs w:val="21"/>
                <w:highlight w:val="none"/>
              </w:rPr>
              <w:t>序号</w:t>
            </w:r>
          </w:p>
        </w:tc>
        <w:tc>
          <w:tcPr>
            <w:tcW w:w="124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设备</w:t>
            </w:r>
          </w:p>
          <w:p>
            <w:pPr>
              <w:pStyle w:val="36"/>
              <w:spacing w:after="0" w:line="360" w:lineRule="exact"/>
              <w:ind w:firstLine="0"/>
              <w:jc w:val="center"/>
              <w:rPr>
                <w:color w:val="auto"/>
                <w:sz w:val="21"/>
                <w:szCs w:val="21"/>
                <w:highlight w:val="none"/>
              </w:rPr>
            </w:pPr>
            <w:r>
              <w:rPr>
                <w:rFonts w:hint="eastAsia"/>
                <w:color w:val="auto"/>
                <w:sz w:val="21"/>
                <w:szCs w:val="21"/>
                <w:highlight w:val="none"/>
              </w:rPr>
              <w:t>名称</w:t>
            </w:r>
          </w:p>
        </w:tc>
        <w:tc>
          <w:tcPr>
            <w:tcW w:w="121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型号</w:t>
            </w:r>
          </w:p>
          <w:p>
            <w:pPr>
              <w:pStyle w:val="36"/>
              <w:spacing w:after="0" w:line="360" w:lineRule="exact"/>
              <w:ind w:firstLine="0"/>
              <w:jc w:val="center"/>
              <w:rPr>
                <w:color w:val="auto"/>
                <w:sz w:val="21"/>
                <w:szCs w:val="21"/>
                <w:highlight w:val="none"/>
              </w:rPr>
            </w:pPr>
            <w:r>
              <w:rPr>
                <w:rFonts w:hint="eastAsia"/>
                <w:color w:val="auto"/>
                <w:sz w:val="21"/>
                <w:szCs w:val="21"/>
                <w:highlight w:val="none"/>
              </w:rPr>
              <w:t>规格</w:t>
            </w:r>
          </w:p>
        </w:tc>
        <w:tc>
          <w:tcPr>
            <w:tcW w:w="81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127"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国别</w:t>
            </w:r>
          </w:p>
          <w:p>
            <w:pPr>
              <w:pStyle w:val="36"/>
              <w:spacing w:after="0" w:line="360" w:lineRule="exact"/>
              <w:ind w:firstLine="0"/>
              <w:jc w:val="center"/>
              <w:rPr>
                <w:color w:val="auto"/>
                <w:sz w:val="21"/>
                <w:szCs w:val="21"/>
                <w:highlight w:val="none"/>
              </w:rPr>
            </w:pPr>
            <w:r>
              <w:rPr>
                <w:rFonts w:hint="eastAsia"/>
                <w:color w:val="auto"/>
                <w:sz w:val="21"/>
                <w:szCs w:val="21"/>
                <w:highlight w:val="none"/>
              </w:rPr>
              <w:t>产地</w:t>
            </w:r>
          </w:p>
        </w:tc>
        <w:tc>
          <w:tcPr>
            <w:tcW w:w="87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制造</w:t>
            </w:r>
          </w:p>
          <w:p>
            <w:pPr>
              <w:pStyle w:val="36"/>
              <w:spacing w:after="0" w:line="360" w:lineRule="exact"/>
              <w:ind w:firstLine="0"/>
              <w:jc w:val="center"/>
              <w:rPr>
                <w:color w:val="auto"/>
                <w:sz w:val="21"/>
                <w:szCs w:val="21"/>
                <w:highlight w:val="none"/>
              </w:rPr>
            </w:pPr>
            <w:r>
              <w:rPr>
                <w:rFonts w:hint="eastAsia"/>
                <w:color w:val="auto"/>
                <w:sz w:val="21"/>
                <w:szCs w:val="21"/>
                <w:highlight w:val="none"/>
              </w:rPr>
              <w:t>年份</w:t>
            </w:r>
          </w:p>
        </w:tc>
        <w:tc>
          <w:tcPr>
            <w:tcW w:w="1158"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额定功率</w:t>
            </w:r>
          </w:p>
          <w:p>
            <w:pPr>
              <w:pStyle w:val="36"/>
              <w:spacing w:after="0" w:line="360" w:lineRule="exact"/>
              <w:ind w:firstLine="0"/>
              <w:jc w:val="center"/>
              <w:rPr>
                <w:color w:val="auto"/>
                <w:sz w:val="21"/>
                <w:szCs w:val="21"/>
                <w:highlight w:val="none"/>
                <w:lang w:eastAsia="zh-CN"/>
              </w:rPr>
            </w:pP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kW</w:t>
            </w:r>
            <w:r>
              <w:rPr>
                <w:rFonts w:hint="eastAsia"/>
                <w:color w:val="auto"/>
                <w:sz w:val="21"/>
                <w:szCs w:val="21"/>
                <w:highlight w:val="none"/>
                <w:lang w:val="en-US" w:eastAsia="zh-CN" w:bidi="en-US"/>
              </w:rPr>
              <w:t>）</w:t>
            </w:r>
          </w:p>
        </w:tc>
        <w:tc>
          <w:tcPr>
            <w:tcW w:w="995"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生产</w:t>
            </w:r>
          </w:p>
          <w:p>
            <w:pPr>
              <w:pStyle w:val="36"/>
              <w:spacing w:after="0" w:line="360" w:lineRule="exact"/>
              <w:ind w:firstLine="0"/>
              <w:jc w:val="center"/>
              <w:rPr>
                <w:color w:val="auto"/>
                <w:sz w:val="21"/>
                <w:szCs w:val="21"/>
                <w:highlight w:val="none"/>
              </w:rPr>
            </w:pPr>
            <w:r>
              <w:rPr>
                <w:rFonts w:hint="eastAsia"/>
                <w:color w:val="auto"/>
                <w:sz w:val="21"/>
                <w:szCs w:val="21"/>
                <w:highlight w:val="none"/>
              </w:rPr>
              <w:t>能力</w:t>
            </w:r>
          </w:p>
        </w:tc>
        <w:tc>
          <w:tcPr>
            <w:tcW w:w="1172" w:type="dxa"/>
            <w:tcBorders>
              <w:top w:val="single" w:color="auto" w:sz="4" w:space="0"/>
              <w:left w:val="single" w:color="auto" w:sz="4" w:space="0"/>
            </w:tcBorders>
            <w:shd w:val="clear" w:color="auto" w:fill="FFFFFF"/>
            <w:vAlign w:val="center"/>
          </w:tcPr>
          <w:p>
            <w:pPr>
              <w:pStyle w:val="36"/>
              <w:spacing w:after="0" w:line="360" w:lineRule="exact"/>
              <w:ind w:firstLine="0"/>
              <w:jc w:val="center"/>
              <w:rPr>
                <w:color w:val="auto"/>
                <w:sz w:val="21"/>
                <w:szCs w:val="21"/>
                <w:highlight w:val="none"/>
              </w:rPr>
            </w:pPr>
            <w:r>
              <w:rPr>
                <w:rFonts w:hint="eastAsia"/>
                <w:color w:val="auto"/>
                <w:sz w:val="21"/>
                <w:szCs w:val="21"/>
                <w:highlight w:val="none"/>
              </w:rPr>
              <w:t>用于施</w:t>
            </w:r>
          </w:p>
          <w:p>
            <w:pPr>
              <w:pStyle w:val="36"/>
              <w:spacing w:after="0" w:line="360" w:lineRule="exact"/>
              <w:ind w:firstLine="0"/>
              <w:jc w:val="center"/>
              <w:rPr>
                <w:color w:val="auto"/>
                <w:sz w:val="21"/>
                <w:szCs w:val="21"/>
                <w:highlight w:val="none"/>
              </w:rPr>
            </w:pPr>
            <w:r>
              <w:rPr>
                <w:rFonts w:hint="eastAsia"/>
                <w:color w:val="auto"/>
                <w:sz w:val="21"/>
                <w:szCs w:val="21"/>
                <w:highlight w:val="none"/>
              </w:rPr>
              <w:t>工部位</w:t>
            </w:r>
          </w:p>
        </w:tc>
        <w:tc>
          <w:tcPr>
            <w:tcW w:w="662" w:type="dxa"/>
            <w:tcBorders>
              <w:top w:val="single" w:color="auto" w:sz="4" w:space="0"/>
              <w:left w:val="single" w:color="auto" w:sz="4" w:space="0"/>
              <w:right w:val="single" w:color="auto" w:sz="4" w:space="0"/>
            </w:tcBorders>
            <w:shd w:val="clear" w:color="auto" w:fill="FFFFFF"/>
            <w:vAlign w:val="center"/>
          </w:tcPr>
          <w:p>
            <w:pPr>
              <w:pStyle w:val="36"/>
              <w:spacing w:after="0" w:line="360" w:lineRule="exact"/>
              <w:ind w:firstLine="0"/>
              <w:jc w:val="right"/>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9" w:hRule="exact"/>
          <w:jc w:val="center"/>
        </w:trPr>
        <w:tc>
          <w:tcPr>
            <w:tcW w:w="7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31"/>
        <w:spacing w:after="0" w:line="46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33"/>
        <w:keepNext/>
        <w:keepLines/>
        <w:spacing w:after="0" w:line="600" w:lineRule="exact"/>
        <w:jc w:val="center"/>
        <w:outlineLvl w:val="9"/>
        <w:rPr>
          <w:b/>
          <w:bCs/>
          <w:color w:val="auto"/>
          <w:sz w:val="30"/>
          <w:szCs w:val="30"/>
          <w:highlight w:val="none"/>
        </w:rPr>
      </w:pPr>
      <w:bookmarkStart w:id="569" w:name="_Toc5026"/>
      <w:bookmarkStart w:id="570" w:name="_Toc11237"/>
      <w:bookmarkStart w:id="571" w:name="_Toc20594"/>
      <w:bookmarkStart w:id="572" w:name="_Toc7331"/>
      <w:r>
        <w:rPr>
          <w:b/>
          <w:bCs/>
          <w:color w:val="auto"/>
          <w:sz w:val="30"/>
          <w:szCs w:val="30"/>
          <w:highlight w:val="none"/>
        </w:rPr>
        <w:t>拟投入本标段的试验和检测仪器设备表</w:t>
      </w:r>
      <w:bookmarkEnd w:id="569"/>
      <w:bookmarkEnd w:id="570"/>
      <w:bookmarkEnd w:id="571"/>
      <w:bookmarkEnd w:id="572"/>
    </w:p>
    <w:tbl>
      <w:tblPr>
        <w:tblStyle w:val="22"/>
        <w:tblW w:w="9356" w:type="dxa"/>
        <w:jc w:val="center"/>
        <w:tblLayout w:type="fixed"/>
        <w:tblCellMar>
          <w:top w:w="0" w:type="dxa"/>
          <w:left w:w="108" w:type="dxa"/>
          <w:bottom w:w="0" w:type="dxa"/>
          <w:right w:w="108" w:type="dxa"/>
        </w:tblCellMar>
      </w:tblPr>
      <w:tblGrid>
        <w:gridCol w:w="752"/>
        <w:gridCol w:w="1218"/>
        <w:gridCol w:w="1232"/>
        <w:gridCol w:w="999"/>
        <w:gridCol w:w="1232"/>
        <w:gridCol w:w="1087"/>
        <w:gridCol w:w="970"/>
        <w:gridCol w:w="1020"/>
        <w:gridCol w:w="846"/>
      </w:tblGrid>
      <w:tr>
        <w:tblPrEx>
          <w:tblCellMar>
            <w:top w:w="0" w:type="dxa"/>
            <w:left w:w="108" w:type="dxa"/>
            <w:bottom w:w="0" w:type="dxa"/>
            <w:right w:w="108" w:type="dxa"/>
          </w:tblCellMar>
        </w:tblPrEx>
        <w:trPr>
          <w:trHeight w:val="866" w:hRule="exact"/>
          <w:jc w:val="center"/>
        </w:trPr>
        <w:tc>
          <w:tcPr>
            <w:tcW w:w="765"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highlight w:val="none"/>
              </w:rPr>
            </w:pPr>
            <w:r>
              <w:rPr>
                <w:rFonts w:hint="eastAsia"/>
                <w:color w:val="auto"/>
                <w:sz w:val="21"/>
                <w:szCs w:val="21"/>
                <w:highlight w:val="none"/>
              </w:rPr>
              <w:t>序号</w:t>
            </w:r>
          </w:p>
        </w:tc>
        <w:tc>
          <w:tcPr>
            <w:tcW w:w="1242"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highlight w:val="none"/>
              </w:rPr>
            </w:pPr>
            <w:r>
              <w:rPr>
                <w:rFonts w:hint="eastAsia"/>
                <w:color w:val="auto"/>
                <w:sz w:val="21"/>
                <w:szCs w:val="21"/>
                <w:highlight w:val="none"/>
              </w:rPr>
              <w:t>仪器</w:t>
            </w:r>
          </w:p>
          <w:p>
            <w:pPr>
              <w:pStyle w:val="36"/>
              <w:spacing w:after="0" w:line="340" w:lineRule="exact"/>
              <w:ind w:firstLine="0"/>
              <w:jc w:val="center"/>
              <w:rPr>
                <w:color w:val="auto"/>
                <w:sz w:val="21"/>
                <w:szCs w:val="21"/>
                <w:highlight w:val="none"/>
              </w:rPr>
            </w:pPr>
            <w:r>
              <w:rPr>
                <w:rFonts w:hint="eastAsia"/>
                <w:color w:val="auto"/>
                <w:sz w:val="21"/>
                <w:szCs w:val="21"/>
                <w:highlight w:val="none"/>
              </w:rPr>
              <w:t>设备名称</w:t>
            </w:r>
          </w:p>
        </w:tc>
        <w:tc>
          <w:tcPr>
            <w:tcW w:w="1257"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highlight w:val="none"/>
              </w:rPr>
            </w:pPr>
            <w:r>
              <w:rPr>
                <w:rFonts w:hint="eastAsia"/>
                <w:color w:val="auto"/>
                <w:sz w:val="21"/>
                <w:szCs w:val="21"/>
                <w:highlight w:val="none"/>
              </w:rPr>
              <w:t>型号</w:t>
            </w:r>
          </w:p>
          <w:p>
            <w:pPr>
              <w:pStyle w:val="36"/>
              <w:spacing w:after="0" w:line="340" w:lineRule="exact"/>
              <w:ind w:firstLine="0"/>
              <w:jc w:val="center"/>
              <w:rPr>
                <w:color w:val="auto"/>
                <w:sz w:val="21"/>
                <w:szCs w:val="21"/>
                <w:highlight w:val="none"/>
              </w:rPr>
            </w:pPr>
            <w:r>
              <w:rPr>
                <w:rFonts w:hint="eastAsia"/>
                <w:color w:val="auto"/>
                <w:sz w:val="21"/>
                <w:szCs w:val="21"/>
                <w:highlight w:val="none"/>
              </w:rPr>
              <w:t>规格</w:t>
            </w:r>
          </w:p>
        </w:tc>
        <w:tc>
          <w:tcPr>
            <w:tcW w:w="1018"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highlight w:val="none"/>
              </w:rPr>
            </w:pPr>
            <w:r>
              <w:rPr>
                <w:rFonts w:hint="eastAsia"/>
                <w:color w:val="auto"/>
                <w:sz w:val="21"/>
                <w:szCs w:val="21"/>
                <w:highlight w:val="none"/>
              </w:rPr>
              <w:t>数量</w:t>
            </w:r>
          </w:p>
        </w:tc>
        <w:tc>
          <w:tcPr>
            <w:tcW w:w="1257"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highlight w:val="none"/>
              </w:rPr>
            </w:pPr>
            <w:r>
              <w:rPr>
                <w:rFonts w:hint="eastAsia"/>
                <w:color w:val="auto"/>
                <w:sz w:val="21"/>
                <w:szCs w:val="21"/>
                <w:highlight w:val="none"/>
              </w:rPr>
              <w:t>国别</w:t>
            </w:r>
          </w:p>
          <w:p>
            <w:pPr>
              <w:pStyle w:val="36"/>
              <w:spacing w:after="0" w:line="340" w:lineRule="exact"/>
              <w:ind w:firstLine="0"/>
              <w:jc w:val="center"/>
              <w:rPr>
                <w:color w:val="auto"/>
                <w:sz w:val="21"/>
                <w:szCs w:val="21"/>
                <w:highlight w:val="none"/>
              </w:rPr>
            </w:pPr>
            <w:r>
              <w:rPr>
                <w:rFonts w:hint="eastAsia"/>
                <w:color w:val="auto"/>
                <w:sz w:val="21"/>
                <w:szCs w:val="21"/>
                <w:highlight w:val="none"/>
              </w:rPr>
              <w:t>产地</w:t>
            </w:r>
          </w:p>
        </w:tc>
        <w:tc>
          <w:tcPr>
            <w:tcW w:w="1108"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highlight w:val="none"/>
              </w:rPr>
            </w:pPr>
            <w:r>
              <w:rPr>
                <w:rFonts w:hint="eastAsia"/>
                <w:color w:val="auto"/>
                <w:sz w:val="21"/>
                <w:szCs w:val="21"/>
                <w:highlight w:val="none"/>
              </w:rPr>
              <w:t>制造</w:t>
            </w:r>
          </w:p>
          <w:p>
            <w:pPr>
              <w:pStyle w:val="36"/>
              <w:spacing w:after="0" w:line="340" w:lineRule="exact"/>
              <w:ind w:firstLine="0"/>
              <w:jc w:val="center"/>
              <w:rPr>
                <w:color w:val="auto"/>
                <w:sz w:val="21"/>
                <w:szCs w:val="21"/>
                <w:highlight w:val="none"/>
              </w:rPr>
            </w:pPr>
            <w:r>
              <w:rPr>
                <w:rFonts w:hint="eastAsia"/>
                <w:color w:val="auto"/>
                <w:sz w:val="21"/>
                <w:szCs w:val="21"/>
                <w:highlight w:val="none"/>
              </w:rPr>
              <w:t>年份</w:t>
            </w:r>
          </w:p>
        </w:tc>
        <w:tc>
          <w:tcPr>
            <w:tcW w:w="988"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highlight w:val="none"/>
              </w:rPr>
            </w:pPr>
            <w:r>
              <w:rPr>
                <w:rFonts w:hint="eastAsia"/>
                <w:color w:val="auto"/>
                <w:sz w:val="21"/>
                <w:szCs w:val="21"/>
                <w:highlight w:val="none"/>
              </w:rPr>
              <w:t>已使用</w:t>
            </w:r>
          </w:p>
          <w:p>
            <w:pPr>
              <w:pStyle w:val="36"/>
              <w:spacing w:after="0" w:line="340" w:lineRule="exact"/>
              <w:ind w:firstLine="0"/>
              <w:jc w:val="center"/>
              <w:rPr>
                <w:color w:val="auto"/>
                <w:sz w:val="21"/>
                <w:szCs w:val="21"/>
                <w:highlight w:val="none"/>
              </w:rPr>
            </w:pPr>
            <w:r>
              <w:rPr>
                <w:rFonts w:hint="eastAsia"/>
                <w:color w:val="auto"/>
                <w:sz w:val="21"/>
                <w:szCs w:val="21"/>
                <w:highlight w:val="none"/>
              </w:rPr>
              <w:t>台时数</w:t>
            </w:r>
          </w:p>
        </w:tc>
        <w:tc>
          <w:tcPr>
            <w:tcW w:w="1039" w:type="dxa"/>
            <w:tcBorders>
              <w:top w:val="single" w:color="auto" w:sz="4" w:space="0"/>
              <w:left w:val="single" w:color="auto" w:sz="4" w:space="0"/>
            </w:tcBorders>
            <w:shd w:val="clear" w:color="auto" w:fill="FFFFFF"/>
            <w:vAlign w:val="center"/>
          </w:tcPr>
          <w:p>
            <w:pPr>
              <w:pStyle w:val="36"/>
              <w:spacing w:after="0" w:line="340" w:lineRule="exact"/>
              <w:ind w:firstLine="0"/>
              <w:jc w:val="center"/>
              <w:rPr>
                <w:color w:val="auto"/>
                <w:sz w:val="21"/>
                <w:szCs w:val="21"/>
                <w:highlight w:val="none"/>
              </w:rPr>
            </w:pPr>
            <w:r>
              <w:rPr>
                <w:rFonts w:hint="eastAsia"/>
                <w:color w:val="auto"/>
                <w:sz w:val="21"/>
                <w:szCs w:val="21"/>
                <w:highlight w:val="none"/>
              </w:rPr>
              <w:t>用途</w:t>
            </w:r>
          </w:p>
        </w:tc>
        <w:tc>
          <w:tcPr>
            <w:tcW w:w="861" w:type="dxa"/>
            <w:tcBorders>
              <w:top w:val="single" w:color="auto" w:sz="4" w:space="0"/>
              <w:left w:val="single" w:color="auto" w:sz="4" w:space="0"/>
              <w:right w:val="single" w:color="auto" w:sz="4" w:space="0"/>
            </w:tcBorders>
            <w:shd w:val="clear" w:color="auto" w:fill="FFFFFF"/>
            <w:vAlign w:val="center"/>
          </w:tcPr>
          <w:p>
            <w:pPr>
              <w:pStyle w:val="36"/>
              <w:spacing w:after="0" w:line="34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76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31"/>
        <w:spacing w:after="0" w:line="46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33"/>
        <w:keepNext/>
        <w:keepLines/>
        <w:spacing w:after="0" w:line="600" w:lineRule="exact"/>
        <w:jc w:val="center"/>
        <w:outlineLvl w:val="9"/>
        <w:rPr>
          <w:b/>
          <w:bCs/>
          <w:color w:val="auto"/>
          <w:sz w:val="30"/>
          <w:szCs w:val="30"/>
          <w:highlight w:val="none"/>
        </w:rPr>
      </w:pPr>
      <w:bookmarkStart w:id="573" w:name="_Toc29302"/>
      <w:bookmarkStart w:id="574" w:name="_Toc32652"/>
      <w:bookmarkStart w:id="575" w:name="_Toc22619"/>
      <w:bookmarkStart w:id="576" w:name="_Toc27816"/>
      <w:r>
        <w:rPr>
          <w:b/>
          <w:bCs/>
          <w:color w:val="auto"/>
          <w:sz w:val="30"/>
          <w:szCs w:val="30"/>
          <w:highlight w:val="none"/>
        </w:rPr>
        <w:t>拟投入本标段的劳动力计划表</w:t>
      </w:r>
      <w:bookmarkEnd w:id="573"/>
      <w:bookmarkEnd w:id="574"/>
      <w:bookmarkEnd w:id="575"/>
      <w:bookmarkEnd w:id="576"/>
    </w:p>
    <w:p>
      <w:pPr>
        <w:pStyle w:val="34"/>
        <w:spacing w:after="0" w:line="300" w:lineRule="exact"/>
        <w:ind w:right="380"/>
        <w:jc w:val="right"/>
        <w:rPr>
          <w:color w:val="auto"/>
          <w:highlight w:val="none"/>
        </w:rPr>
      </w:pPr>
      <w:r>
        <w:rPr>
          <w:color w:val="auto"/>
          <w:highlight w:val="none"/>
        </w:rPr>
        <w:t>单位：人</w:t>
      </w:r>
    </w:p>
    <w:tbl>
      <w:tblPr>
        <w:tblStyle w:val="22"/>
        <w:tblW w:w="9356" w:type="dxa"/>
        <w:jc w:val="center"/>
        <w:tblLayout w:type="fixed"/>
        <w:tblCellMar>
          <w:top w:w="0" w:type="dxa"/>
          <w:left w:w="108" w:type="dxa"/>
          <w:bottom w:w="0" w:type="dxa"/>
          <w:right w:w="108" w:type="dxa"/>
        </w:tblCellMar>
      </w:tblPr>
      <w:tblGrid>
        <w:gridCol w:w="1216"/>
        <w:gridCol w:w="1197"/>
        <w:gridCol w:w="1196"/>
        <w:gridCol w:w="1187"/>
        <w:gridCol w:w="1196"/>
        <w:gridCol w:w="1196"/>
        <w:gridCol w:w="1196"/>
        <w:gridCol w:w="972"/>
      </w:tblGrid>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工种</w:t>
            </w:r>
          </w:p>
        </w:tc>
        <w:tc>
          <w:tcPr>
            <w:tcW w:w="8943" w:type="dxa"/>
            <w:gridSpan w:val="7"/>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按工程施工阶段投入劳动力情况</w:t>
            </w: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4"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336"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pgSz w:w="11905" w:h="16838"/>
          <w:pgMar w:top="1247" w:right="1417" w:bottom="1247" w:left="1417" w:header="0" w:footer="850" w:gutter="0"/>
          <w:cols w:space="0" w:num="1"/>
          <w:docGrid w:linePitch="360" w:charSpace="0"/>
        </w:sectPr>
      </w:pPr>
    </w:p>
    <w:p>
      <w:pPr>
        <w:pStyle w:val="31"/>
        <w:spacing w:after="680"/>
        <w:rPr>
          <w:color w:val="auto"/>
          <w:highlight w:val="none"/>
        </w:rPr>
      </w:pPr>
    </w:p>
    <w:p>
      <w:pPr>
        <w:pStyle w:val="31"/>
        <w:spacing w:after="680"/>
        <w:rPr>
          <w:color w:val="auto"/>
          <w:highlight w:val="none"/>
        </w:rPr>
      </w:pPr>
    </w:p>
    <w:p>
      <w:pPr>
        <w:rPr>
          <w:color w:val="auto"/>
          <w:highlight w:val="none"/>
        </w:rPr>
      </w:pPr>
      <w:r>
        <w:rPr>
          <w:color w:val="auto"/>
          <w:highlight w:val="none"/>
        </w:rPr>
        <w:br w:type="page"/>
      </w:r>
    </w:p>
    <w:p>
      <w:pPr>
        <w:pStyle w:val="31"/>
        <w:spacing w:after="0" w:line="46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33"/>
        <w:keepNext/>
        <w:keepLines/>
        <w:spacing w:after="0" w:line="600" w:lineRule="exact"/>
        <w:jc w:val="center"/>
        <w:outlineLvl w:val="9"/>
        <w:rPr>
          <w:b/>
          <w:bCs/>
          <w:color w:val="auto"/>
          <w:sz w:val="30"/>
          <w:szCs w:val="30"/>
          <w:highlight w:val="none"/>
        </w:rPr>
      </w:pPr>
      <w:bookmarkStart w:id="577" w:name="_Toc2789"/>
      <w:bookmarkStart w:id="578" w:name="_Toc6774"/>
      <w:bookmarkStart w:id="579" w:name="_Toc9774"/>
      <w:bookmarkStart w:id="580" w:name="_Toc3162"/>
      <w:r>
        <w:rPr>
          <w:b/>
          <w:bCs/>
          <w:color w:val="auto"/>
          <w:sz w:val="30"/>
          <w:szCs w:val="30"/>
          <w:highlight w:val="none"/>
        </w:rPr>
        <w:t>计划开工日期、完工日期和施工进度表</w:t>
      </w:r>
      <w:bookmarkEnd w:id="577"/>
      <w:bookmarkEnd w:id="578"/>
      <w:bookmarkEnd w:id="579"/>
      <w:bookmarkEnd w:id="580"/>
    </w:p>
    <w:p>
      <w:pPr>
        <w:pStyle w:val="30"/>
        <w:spacing w:after="0" w:line="460" w:lineRule="exact"/>
        <w:ind w:left="420" w:leftChars="200" w:firstLine="0"/>
        <w:jc w:val="both"/>
        <w:rPr>
          <w:color w:val="auto"/>
          <w:sz w:val="21"/>
          <w:szCs w:val="21"/>
          <w:highlight w:val="none"/>
        </w:rPr>
      </w:pPr>
    </w:p>
    <w:p>
      <w:pPr>
        <w:pStyle w:val="30"/>
        <w:spacing w:after="0" w:line="460" w:lineRule="exact"/>
        <w:ind w:left="420" w:leftChars="200" w:firstLine="0"/>
        <w:jc w:val="both"/>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rPr>
        <w:t>投标人应递交施工进度表，说明按招标文件要求的计划工期进行施工的各个关键日期。</w:t>
      </w:r>
    </w:p>
    <w:p>
      <w:pPr>
        <w:pStyle w:val="30"/>
        <w:spacing w:after="0" w:line="460" w:lineRule="exact"/>
        <w:ind w:left="420" w:leftChars="200" w:firstLine="0"/>
        <w:jc w:val="both"/>
        <w:rPr>
          <w:color w:val="auto"/>
          <w:sz w:val="21"/>
          <w:szCs w:val="21"/>
          <w:highlight w:val="none"/>
        </w:rPr>
        <w:sectPr>
          <w:footerReference r:id="rId45" w:type="default"/>
          <w:footerReference r:id="rId46" w:type="even"/>
          <w:type w:val="continuous"/>
          <w:pgSz w:w="11905" w:h="16838"/>
          <w:pgMar w:top="1247" w:right="1417" w:bottom="1247" w:left="1417" w:header="0" w:footer="850" w:gutter="0"/>
          <w:cols w:space="0" w:num="1"/>
          <w:docGrid w:linePitch="360" w:charSpace="0"/>
        </w:sectPr>
      </w:pPr>
      <w:r>
        <w:rPr>
          <w:rFonts w:hint="eastAsia"/>
          <w:color w:val="auto"/>
          <w:sz w:val="21"/>
          <w:szCs w:val="21"/>
          <w:highlight w:val="none"/>
          <w:lang w:val="en-US" w:eastAsia="zh-CN"/>
        </w:rPr>
        <w:t xml:space="preserve">2.  </w:t>
      </w:r>
      <w:r>
        <w:rPr>
          <w:color w:val="auto"/>
          <w:sz w:val="21"/>
          <w:szCs w:val="21"/>
          <w:highlight w:val="none"/>
        </w:rPr>
        <w:t>施工进度表可采用网络图</w:t>
      </w:r>
      <w:r>
        <w:rPr>
          <w:rFonts w:hint="eastAsia"/>
          <w:color w:val="auto"/>
          <w:sz w:val="21"/>
          <w:szCs w:val="21"/>
          <w:highlight w:val="none"/>
          <w:lang w:eastAsia="zh-CN"/>
        </w:rPr>
        <w:t>（</w:t>
      </w:r>
      <w:r>
        <w:rPr>
          <w:color w:val="auto"/>
          <w:sz w:val="21"/>
          <w:szCs w:val="21"/>
          <w:highlight w:val="none"/>
        </w:rPr>
        <w:t>或横道图）表示。</w:t>
      </w:r>
    </w:p>
    <w:p>
      <w:pPr>
        <w:pStyle w:val="31"/>
        <w:spacing w:after="0" w:line="460" w:lineRule="exact"/>
        <w:rPr>
          <w:color w:val="auto"/>
          <w:sz w:val="21"/>
          <w:szCs w:val="21"/>
          <w:highlight w:val="none"/>
          <w:lang w:eastAsia="zh-CN"/>
        </w:rPr>
      </w:pPr>
      <w:r>
        <w:rPr>
          <w:color w:val="auto"/>
          <w:sz w:val="21"/>
          <w:szCs w:val="21"/>
          <w:highlight w:val="none"/>
        </w:rPr>
        <w:t>附件五</w:t>
      </w:r>
      <w:r>
        <w:rPr>
          <w:rFonts w:hint="eastAsia"/>
          <w:color w:val="auto"/>
          <w:sz w:val="21"/>
          <w:szCs w:val="21"/>
          <w:highlight w:val="none"/>
          <w:lang w:eastAsia="zh-CN"/>
        </w:rPr>
        <w:t>：</w:t>
      </w:r>
    </w:p>
    <w:p>
      <w:pPr>
        <w:pStyle w:val="33"/>
        <w:keepNext/>
        <w:keepLines/>
        <w:spacing w:after="0" w:line="600" w:lineRule="exact"/>
        <w:jc w:val="center"/>
        <w:outlineLvl w:val="9"/>
        <w:rPr>
          <w:b/>
          <w:bCs/>
          <w:color w:val="auto"/>
          <w:sz w:val="30"/>
          <w:szCs w:val="30"/>
          <w:highlight w:val="none"/>
        </w:rPr>
      </w:pPr>
      <w:bookmarkStart w:id="581" w:name="_Toc27797"/>
      <w:bookmarkStart w:id="582" w:name="_Toc30682"/>
      <w:bookmarkStart w:id="583" w:name="_Toc27277"/>
      <w:bookmarkStart w:id="584" w:name="_Toc12607"/>
      <w:r>
        <w:rPr>
          <w:b/>
          <w:bCs/>
          <w:color w:val="auto"/>
          <w:sz w:val="30"/>
          <w:szCs w:val="30"/>
          <w:highlight w:val="none"/>
        </w:rPr>
        <w:t>施工总平面图</w:t>
      </w:r>
      <w:bookmarkEnd w:id="581"/>
      <w:bookmarkEnd w:id="582"/>
      <w:bookmarkEnd w:id="583"/>
      <w:bookmarkEnd w:id="584"/>
    </w:p>
    <w:p>
      <w:pPr>
        <w:pStyle w:val="30"/>
        <w:spacing w:after="0" w:line="460" w:lineRule="exact"/>
        <w:ind w:firstLine="420" w:firstLineChars="200"/>
        <w:jc w:val="both"/>
        <w:rPr>
          <w:color w:val="auto"/>
          <w:sz w:val="21"/>
          <w:szCs w:val="21"/>
          <w:highlight w:val="none"/>
          <w:lang w:val="en-US" w:eastAsia="zh-CN"/>
        </w:rPr>
      </w:pPr>
    </w:p>
    <w:p>
      <w:pPr>
        <w:pStyle w:val="30"/>
        <w:spacing w:after="0" w:line="460" w:lineRule="exact"/>
        <w:ind w:firstLine="420" w:firstLineChars="200"/>
        <w:jc w:val="both"/>
        <w:rPr>
          <w:color w:val="auto"/>
          <w:sz w:val="21"/>
          <w:szCs w:val="21"/>
          <w:highlight w:val="none"/>
          <w:lang w:val="en-US" w:eastAsia="zh-CN"/>
        </w:rPr>
        <w:sectPr>
          <w:pgSz w:w="11905" w:h="16838"/>
          <w:pgMar w:top="1247" w:right="1417" w:bottom="1247" w:left="1417" w:header="0" w:footer="850" w:gutter="0"/>
          <w:cols w:space="0" w:num="1"/>
          <w:docGrid w:linePitch="360" w:charSpace="0"/>
        </w:sectPr>
      </w:pPr>
      <w:r>
        <w:rPr>
          <w:rFonts w:hint="eastAsia"/>
          <w:color w:val="auto"/>
          <w:sz w:val="21"/>
          <w:szCs w:val="21"/>
          <w:highlight w:val="none"/>
          <w:lang w:val="en-US" w:eastAsia="zh-CN"/>
        </w:rPr>
        <w:t>投标人应递交一份施工总平面图，绘出现场临时设施布置图及表并附文字说明，说明临时设施、加工车间、现场办公、设备及仓储、供电、供水、卫生、生活、道路、消防等设施的情况和布置。</w:t>
      </w:r>
    </w:p>
    <w:p>
      <w:pPr>
        <w:pStyle w:val="31"/>
        <w:spacing w:after="0" w:line="460" w:lineRule="exact"/>
        <w:rPr>
          <w:color w:val="auto"/>
          <w:sz w:val="21"/>
          <w:szCs w:val="21"/>
          <w:highlight w:val="none"/>
          <w:lang w:eastAsia="zh-CN"/>
        </w:rPr>
      </w:pPr>
      <w:r>
        <w:rPr>
          <w:color w:val="auto"/>
          <w:sz w:val="21"/>
          <w:szCs w:val="21"/>
          <w:highlight w:val="none"/>
        </w:rPr>
        <w:t>附件六</w:t>
      </w:r>
      <w:r>
        <w:rPr>
          <w:rFonts w:hint="eastAsia"/>
          <w:color w:val="auto"/>
          <w:sz w:val="21"/>
          <w:szCs w:val="21"/>
          <w:highlight w:val="none"/>
          <w:lang w:eastAsia="zh-CN"/>
        </w:rPr>
        <w:t>：</w:t>
      </w:r>
    </w:p>
    <w:p>
      <w:pPr>
        <w:pStyle w:val="33"/>
        <w:keepNext/>
        <w:keepLines/>
        <w:spacing w:after="0" w:line="600" w:lineRule="exact"/>
        <w:jc w:val="center"/>
        <w:outlineLvl w:val="9"/>
        <w:rPr>
          <w:b/>
          <w:bCs/>
          <w:color w:val="auto"/>
          <w:sz w:val="30"/>
          <w:szCs w:val="30"/>
          <w:highlight w:val="none"/>
        </w:rPr>
      </w:pPr>
      <w:bookmarkStart w:id="585" w:name="_Toc2884"/>
      <w:bookmarkStart w:id="586" w:name="_Toc27087"/>
      <w:bookmarkStart w:id="587" w:name="_Toc29453"/>
      <w:bookmarkStart w:id="588" w:name="_Toc7294"/>
      <w:r>
        <w:rPr>
          <w:b/>
          <w:bCs/>
          <w:color w:val="auto"/>
          <w:sz w:val="30"/>
          <w:szCs w:val="30"/>
          <w:highlight w:val="none"/>
        </w:rPr>
        <w:t>临时用地表</w:t>
      </w:r>
      <w:bookmarkEnd w:id="585"/>
      <w:bookmarkEnd w:id="586"/>
      <w:bookmarkEnd w:id="587"/>
      <w:bookmarkEnd w:id="588"/>
    </w:p>
    <w:tbl>
      <w:tblPr>
        <w:tblStyle w:val="22"/>
        <w:tblW w:w="9356" w:type="dxa"/>
        <w:jc w:val="center"/>
        <w:tblLayout w:type="fixed"/>
        <w:tblCellMar>
          <w:top w:w="0" w:type="dxa"/>
          <w:left w:w="108" w:type="dxa"/>
          <w:bottom w:w="0" w:type="dxa"/>
          <w:right w:w="108" w:type="dxa"/>
        </w:tblCellMar>
      </w:tblPr>
      <w:tblGrid>
        <w:gridCol w:w="2168"/>
        <w:gridCol w:w="2611"/>
        <w:gridCol w:w="2622"/>
        <w:gridCol w:w="1955"/>
      </w:tblGrid>
      <w:tr>
        <w:tblPrEx>
          <w:tblCellMar>
            <w:top w:w="0" w:type="dxa"/>
            <w:left w:w="108" w:type="dxa"/>
            <w:bottom w:w="0" w:type="dxa"/>
            <w:right w:w="108" w:type="dxa"/>
          </w:tblCellMar>
        </w:tblPrEx>
        <w:trPr>
          <w:trHeight w:val="666" w:hRule="exact"/>
          <w:jc w:val="center"/>
        </w:trPr>
        <w:tc>
          <w:tcPr>
            <w:tcW w:w="2255"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用途</w:t>
            </w:r>
          </w:p>
        </w:tc>
        <w:tc>
          <w:tcPr>
            <w:tcW w:w="2719"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lang w:eastAsia="zh-CN"/>
              </w:rPr>
            </w:pPr>
            <w:r>
              <w:rPr>
                <w:rFonts w:hint="eastAsia"/>
                <w:color w:val="auto"/>
                <w:sz w:val="21"/>
                <w:szCs w:val="21"/>
                <w:highlight w:val="none"/>
              </w:rPr>
              <w:t>面积</w:t>
            </w: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m</w:t>
            </w:r>
            <w:r>
              <w:rPr>
                <w:rFonts w:hint="eastAsia"/>
                <w:color w:val="auto"/>
                <w:sz w:val="21"/>
                <w:szCs w:val="21"/>
                <w:highlight w:val="none"/>
                <w:vertAlign w:val="superscript"/>
                <w:lang w:val="en-US" w:eastAsia="en-US" w:bidi="en-US"/>
              </w:rPr>
              <w:t>2</w:t>
            </w:r>
            <w:r>
              <w:rPr>
                <w:rFonts w:hint="eastAsia"/>
                <w:color w:val="auto"/>
                <w:sz w:val="21"/>
                <w:szCs w:val="21"/>
                <w:highlight w:val="none"/>
                <w:lang w:val="en-US" w:eastAsia="zh-CN" w:bidi="en-US"/>
              </w:rPr>
              <w:t>）</w:t>
            </w:r>
          </w:p>
        </w:tc>
        <w:tc>
          <w:tcPr>
            <w:tcW w:w="2730" w:type="dxa"/>
            <w:tcBorders>
              <w:top w:val="single" w:color="auto" w:sz="4" w:space="0"/>
              <w:lef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位置</w:t>
            </w:r>
          </w:p>
        </w:tc>
        <w:tc>
          <w:tcPr>
            <w:tcW w:w="2033" w:type="dxa"/>
            <w:tcBorders>
              <w:top w:val="single" w:color="auto" w:sz="4" w:space="0"/>
              <w:left w:val="single" w:color="auto" w:sz="4" w:space="0"/>
              <w:right w:val="single" w:color="auto" w:sz="4" w:space="0"/>
            </w:tcBorders>
            <w:shd w:val="clear" w:color="auto" w:fill="FFFFFF"/>
            <w:vAlign w:val="center"/>
          </w:tcPr>
          <w:p>
            <w:pPr>
              <w:pStyle w:val="36"/>
              <w:spacing w:after="0" w:line="240" w:lineRule="auto"/>
              <w:ind w:firstLine="0"/>
              <w:jc w:val="center"/>
              <w:rPr>
                <w:color w:val="auto"/>
                <w:sz w:val="21"/>
                <w:szCs w:val="21"/>
                <w:highlight w:val="none"/>
              </w:rPr>
            </w:pPr>
            <w:r>
              <w:rPr>
                <w:rFonts w:hint="eastAsia"/>
                <w:color w:val="auto"/>
                <w:sz w:val="21"/>
                <w:szCs w:val="21"/>
                <w:highlight w:val="none"/>
              </w:rPr>
              <w:t>需用时间</w:t>
            </w: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7" w:hRule="exact"/>
          <w:jc w:val="center"/>
        </w:trPr>
        <w:tc>
          <w:tcPr>
            <w:tcW w:w="225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rFonts w:ascii="黑体" w:hAnsi="黑体" w:eastAsia="黑体" w:cs="黑体"/>
          <w:color w:val="auto"/>
          <w:sz w:val="31"/>
          <w:szCs w:val="31"/>
          <w:highlight w:val="none"/>
        </w:rPr>
      </w:pPr>
    </w:p>
    <w:sectPr>
      <w:footerReference r:id="rId47" w:type="default"/>
      <w:pgSz w:w="11905" w:h="16839"/>
      <w:pgMar w:top="400" w:right="1785" w:bottom="1020" w:left="1785" w:header="0" w:footer="85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0" w:usb3="00000000" w:csb0="00000001" w:csb1="00000000"/>
  </w:font>
  <w:font w:name="MS Gothic">
    <w:panose1 w:val="020B0609070205080204"/>
    <w:charset w:val="80"/>
    <w:family w:val="modern"/>
    <w:pitch w:val="default"/>
    <w:sig w:usb0="E00002FF" w:usb1="6AC7FDFB" w:usb2="08000012" w:usb3="00000000" w:csb0="4002009F" w:csb1="DFD70000"/>
  </w:font>
  <w:font w:name="楷体_GB2312">
    <w:altName w:val="楷体"/>
    <w:panose1 w:val="00000000000000000000"/>
    <w:charset w:val="86"/>
    <w:family w:val="modern"/>
    <w:pitch w:val="default"/>
    <w:sig w:usb0="00000000" w:usb1="00000000" w:usb2="00000010" w:usb3="00000000" w:csb0="00040000" w:csb1="0000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lear" w:pos="4153"/>
      </w:tabs>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104</w:t>
                          </w:r>
                          <w:r>
                            <w:fldChar w:fldCharType="end"/>
                          </w:r>
                          <w:r>
                            <w:t xml:space="preserve"> 页</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fV2T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K&#10;8vQBK6q6D1QXh3d+SKVTHCmYWA8t2PQlPozyJO75Kq4aIpPp0nq1XpeUkpSbHcIpHq8HwPheecuS&#10;UXOg18uiitNHjGPpXJK6OX+njaG4qIxjfc1vXr8p84VrhsCNox6JxDhssuKwHyYGe9+ciVhPG1Bz&#10;RwvPmfngSOC0LLMBs7GfjWMAfehoxmXuh+HtMdI0ecjUYYSdGtPTZZrTmqXd+NvPVY+/1v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L1fV2TQAQAAogMAAA4AAAAAAAAAAQAgAAAAHwEAAGRy&#10;cy9lMm9Eb2MueG1sUEsFBgAAAAAGAAYAWQEAAGE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104</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lear" w:pos="4153"/>
      </w:tabs>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lear" w:pos="4153"/>
      </w:tabs>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4</w:t>
                          </w:r>
                          <w:r>
                            <w:fldChar w:fldCharType="end"/>
                          </w:r>
                          <w:r>
                            <w:t xml:space="preserve"> 页</w:t>
                          </w:r>
                        </w:p>
                      </w:txbxContent>
                    </wps:txbx>
                    <wps:bodyPr wrap="none" lIns="0" tIns="0" rIns="0" bIns="0" upright="1">
                      <a:spAutoFit/>
                    </wps:bodyPr>
                  </wps:wsp>
                </a:graphicData>
              </a:graphic>
            </wp:anchor>
          </w:drawing>
        </mc:Choice>
        <mc:Fallback>
          <w:pict>
            <v:shape id="文本框 39"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H3xyhLTAQAAow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4</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23</w:t>
                          </w:r>
                          <w:r>
                            <w:fldChar w:fldCharType="end"/>
                          </w:r>
                          <w:r>
                            <w:t xml:space="preserve"> 页</w:t>
                          </w:r>
                        </w:p>
                      </w:txbxContent>
                    </wps:txbx>
                    <wps:bodyPr wrap="none" lIns="0" tIns="0" rIns="0" bIns="0" upright="1">
                      <a:spAutoFit/>
                    </wps:bodyPr>
                  </wps:wsp>
                </a:graphicData>
              </a:graphic>
            </wp:anchor>
          </w:drawing>
        </mc:Choice>
        <mc:Fallback>
          <w:pict>
            <v:shape id="文本框 38"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TKhF6dIBAACjAwAADgAAAAAAAAABACAAAAAfAQAA&#10;ZHJzL2Uyb0RvYy54bWxQSwUGAAAAAAYABgBZAQAAYwU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23</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64384" behindDoc="1" locked="0" layoutInCell="1" allowOverlap="1">
              <wp:simplePos x="0" y="0"/>
              <wp:positionH relativeFrom="page">
                <wp:posOffset>1749425</wp:posOffset>
              </wp:positionH>
              <wp:positionV relativeFrom="page">
                <wp:posOffset>13580110</wp:posOffset>
              </wp:positionV>
              <wp:extent cx="190500" cy="129540"/>
              <wp:effectExtent l="0" t="0" r="0" b="0"/>
              <wp:wrapNone/>
              <wp:docPr id="16" name="Shape 11"/>
              <wp:cNvGraphicFramePr/>
              <a:graphic xmlns:a="http://schemas.openxmlformats.org/drawingml/2006/main">
                <a:graphicData uri="http://schemas.microsoft.com/office/word/2010/wordprocessingShape">
                  <wps:wsp>
                    <wps:cNvSpPr txBox="1"/>
                    <wps:spPr>
                      <a:xfrm>
                        <a:off x="0" y="0"/>
                        <a:ext cx="190500" cy="129540"/>
                      </a:xfrm>
                      <a:prstGeom prst="rect">
                        <a:avLst/>
                      </a:prstGeom>
                      <a:noFill/>
                      <a:ln>
                        <a:noFill/>
                      </a:ln>
                      <a:effectLst/>
                    </wps:spPr>
                    <wps:txbx>
                      <w:txbxContent>
                        <w:p>
                          <w:pPr>
                            <w:pStyle w:val="39"/>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1" o:spid="_x0000_s1026" o:spt="202" type="#_x0000_t202" style="position:absolute;left:0pt;margin-left:137.75pt;margin-top:1069.3pt;height:10.2pt;width:15pt;mso-position-horizontal-relative:page;mso-position-vertical-relative:page;mso-wrap-style:none;z-index:-251652096;mso-width-relative:page;mso-height-relative:page;" filled="f" stroked="f" coordsize="21600,21600" o:gfxdata="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AfEXdzYAAAADQEAAA8AAAAAAAAAAQAgAAAAIgAAAGRycy9kb3ducmV2LnhtbFBLAQIU&#10;ABQAAAAIAIdO4kCjd2EsugEAAJcDAAAOAAAAAAAAAAEAIAAAACcBAABkcnMvZTJvRG9jLnhtbFBL&#10;BQYAAAAABgAGAFkBAABTBQAAAAA=&#10;">
              <v:fill on="f" focussize="0,0"/>
              <v:stroke on="f"/>
              <v:imagedata o:title=""/>
              <o:lock v:ext="edit" aspectratio="f"/>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wrap="none" lIns="0" tIns="0" rIns="0" bIns="0" upright="1">
                      <a:spAutoFit/>
                    </wps:bodyPr>
                  </wps:wsp>
                </a:graphicData>
              </a:graphic>
            </wp:anchor>
          </w:drawing>
        </mc:Choice>
        <mc:Fallback>
          <w:pict>
            <v:shape id="文本框 3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K6RmOXTAQAAow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65408" behindDoc="1" locked="0" layoutInCell="1" allowOverlap="1">
              <wp:simplePos x="0" y="0"/>
              <wp:positionH relativeFrom="page">
                <wp:posOffset>1757680</wp:posOffset>
              </wp:positionH>
              <wp:positionV relativeFrom="page">
                <wp:posOffset>13580110</wp:posOffset>
              </wp:positionV>
              <wp:extent cx="182880" cy="129540"/>
              <wp:effectExtent l="0" t="0" r="0" b="0"/>
              <wp:wrapNone/>
              <wp:docPr id="18" name="Shape 16"/>
              <wp:cNvGraphicFramePr/>
              <a:graphic xmlns:a="http://schemas.openxmlformats.org/drawingml/2006/main">
                <a:graphicData uri="http://schemas.microsoft.com/office/word/2010/wordprocessingShape">
                  <wps:wsp>
                    <wps:cNvSpPr txBox="1"/>
                    <wps:spPr>
                      <a:xfrm>
                        <a:off x="0" y="0"/>
                        <a:ext cx="182880" cy="129540"/>
                      </a:xfrm>
                      <a:prstGeom prst="rect">
                        <a:avLst/>
                      </a:prstGeom>
                      <a:noFill/>
                      <a:ln>
                        <a:noFill/>
                      </a:ln>
                      <a:effectLst/>
                    </wps:spPr>
                    <wps:txbx>
                      <w:txbxContent>
                        <w:p>
                          <w:pPr>
                            <w:pStyle w:val="39"/>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6" o:spid="_x0000_s1026" o:spt="202" type="#_x0000_t202" style="position:absolute;left:0pt;margin-left:138.4pt;margin-top:1069.3pt;height:10.2pt;width:14.4pt;mso-position-horizontal-relative:page;mso-position-vertical-relative:page;mso-wrap-style:none;z-index:-251651072;mso-width-relative:page;mso-height-relative:page;" filled="f" stroked="f" coordsize="21600,21600" o:gfxdata="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LnRM7YAAAADQEAAA8AAAAAAAAAAQAgAAAAIgAAAGRycy9kb3ducmV2LnhtbFBLAQIU&#10;ABQAAAAIAIdO4kDG/9IQugEAAJcDAAAOAAAAAAAAAAEAIAAAACcBAABkcnMvZTJvRG9jLnhtbFBL&#10;BQYAAAAABgAGAFkBAABTBQAAAAA=&#10;">
              <v:fill on="f" focussize="0,0"/>
              <v:stroke on="f"/>
              <v:imagedata o:title=""/>
              <o:lock v:ext="edit" aspectratio="f"/>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28</w:t>
                          </w:r>
                          <w:r>
                            <w:fldChar w:fldCharType="end"/>
                          </w:r>
                          <w:r>
                            <w:t xml:space="preserve"> 页</w:t>
                          </w:r>
                        </w:p>
                      </w:txbxContent>
                    </wps:txbx>
                    <wps:bodyPr wrap="none" lIns="0" tIns="0" rIns="0" bIns="0" upright="1">
                      <a:spAutoFit/>
                    </wps:bodyPr>
                  </wps:wsp>
                </a:graphicData>
              </a:graphic>
            </wp:anchor>
          </w:drawing>
        </mc:Choice>
        <mc:Fallback>
          <w:pict>
            <v:shape id="文本框 34"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NLHzeLTAQAAow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28</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4803"/>
      </w:tabs>
      <w:spacing w:line="186" w:lineRule="auto"/>
      <w:ind w:left="4494"/>
      <w:rPr>
        <w:rFonts w:ascii="Times New Roman" w:hAnsi="Times New Roman" w:eastAsia="宋体"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29</w:t>
                          </w:r>
                          <w:r>
                            <w:fldChar w:fldCharType="end"/>
                          </w:r>
                          <w:r>
                            <w:t xml:space="preserve"> 页</w:t>
                          </w:r>
                        </w:p>
                      </w:txbxContent>
                    </wps:txbx>
                    <wps:bodyPr wrap="none" lIns="0" tIns="0" rIns="0" bIns="0" upright="1">
                      <a:spAutoFit/>
                    </wps:bodyPr>
                  </wps:wsp>
                </a:graphicData>
              </a:graphic>
            </wp:anchor>
          </w:drawing>
        </mc:Choice>
        <mc:Fallback>
          <w:pict>
            <v:shape id="文本框 33"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EjqbIrTAQAAow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29</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35</w:t>
                          </w:r>
                          <w:r>
                            <w:fldChar w:fldCharType="end"/>
                          </w:r>
                          <w:r>
                            <w:t xml:space="preserve"> 页</w:t>
                          </w:r>
                        </w:p>
                      </w:txbxContent>
                    </wps:txbx>
                    <wps:bodyPr wrap="none" lIns="0" tIns="0" rIns="0" bIns="0" upright="1">
                      <a:spAutoFit/>
                    </wps:bodyPr>
                  </wps:wsp>
                </a:graphicData>
              </a:graphic>
            </wp:anchor>
          </w:drawing>
        </mc:Choice>
        <mc:Fallback>
          <w:pict>
            <v:shape id="文本框 31"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UD1KztIBAACkAwAADgAAAAAAAAABACAAAAAfAQAA&#10;ZHJzL2Uyb0RvYy54bWxQSwUGAAAAAAYABgBZAQAAYwU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35</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36</w:t>
                          </w:r>
                          <w:r>
                            <w:fldChar w:fldCharType="end"/>
                          </w:r>
                          <w:r>
                            <w:t xml:space="preserve"> 页</w:t>
                          </w:r>
                        </w:p>
                      </w:txbxContent>
                    </wps:txbx>
                    <wps:bodyPr wrap="none" lIns="0" tIns="0" rIns="0" bIns="0" upright="1">
                      <a:spAutoFit/>
                    </wps:bodyPr>
                  </wps:wsp>
                </a:graphicData>
              </a:graphic>
            </wp:anchor>
          </w:drawing>
        </mc:Choice>
        <mc:Fallback>
          <w:pict>
            <v:shape id="文本框 30"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WsUViNIBAACkAwAADgAAAAAAAAABACAAAAAfAQAA&#10;ZHJzL2Uyb0RvYy54bWxQSwUGAAAAAAYABgBZAQAAYwU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36</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46</w:t>
                          </w:r>
                          <w:r>
                            <w:fldChar w:fldCharType="end"/>
                          </w:r>
                          <w:r>
                            <w:t xml:space="preserve"> 页</w:t>
                          </w:r>
                        </w:p>
                      </w:txbxContent>
                    </wps:txbx>
                    <wps:bodyPr wrap="none" lIns="0" tIns="0" rIns="0" bIns="0" upright="1">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JOiQfTTAQAApA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46</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r>
      <w:rPr>
        <w:sz w:val="2"/>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58</w:t>
                          </w:r>
                          <w:r>
                            <w:fldChar w:fldCharType="end"/>
                          </w:r>
                          <w:r>
                            <w:t xml:space="preserve"> 页</w:t>
                          </w:r>
                        </w:p>
                      </w:txbxContent>
                    </wps:txbx>
                    <wps:bodyPr wrap="none" lIns="0" tIns="0" rIns="0" bIns="0" upright="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JlaHrLTAQAApA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58</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59</w:t>
                          </w:r>
                          <w:r>
                            <w:fldChar w:fldCharType="end"/>
                          </w:r>
                          <w:r>
                            <w:t xml:space="preserve"> 页</w:t>
                          </w:r>
                        </w:p>
                      </w:txbxContent>
                    </wps:txbx>
                    <wps:bodyPr wrap="none" lIns="0" tIns="0" rIns="0" bIns="0" upright="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&#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NJWO7QAAAABQEAAA8AAAAAAAAAAQAgAAAAIgAAAGRy&#10;cy9kb3ducmV2LnhtbFBLAQIUABQAAAAIAIdO4kAueabT1AEAAKQDAAAOAAAAAAAAAAEAIAAAAB8B&#10;AABkcnMvZTJvRG9jLnhtbFBLBQYAAAAABgAGAFkBAABlBQ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59</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r>
      <w:rPr>
        <w:sz w:val="2"/>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60</w:t>
                          </w:r>
                          <w:r>
                            <w:fldChar w:fldCharType="end"/>
                          </w:r>
                          <w:r>
                            <w:t xml:space="preserve"> 页</w:t>
                          </w:r>
                        </w:p>
                      </w:txbxContent>
                    </wps:txbx>
                    <wps:bodyPr wrap="none" lIns="0" tIns="0" rIns="0" bIns="0" upright="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CSB+ZXTAQAApA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60</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62</w:t>
                          </w:r>
                          <w:r>
                            <w:fldChar w:fldCharType="end"/>
                          </w:r>
                          <w:r>
                            <w:t xml:space="preserve"> 页</w:t>
                          </w:r>
                        </w:p>
                      </w:txbxContent>
                    </wps:txbx>
                    <wps:bodyPr wrap="none" lIns="0" tIns="0" rIns="0" bIns="0" upright="1">
                      <a:spAutoFit/>
                    </wps:bodyPr>
                  </wps:wsp>
                </a:graphicData>
              </a:graphic>
            </wp:anchor>
          </w:drawing>
        </mc:Choice>
        <mc:Fallback>
          <w:pict>
            <v:shape id="文本框 25"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IiobBTTAQAApA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62</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59264" behindDoc="1" locked="0" layoutInCell="1" allowOverlap="1">
              <wp:simplePos x="0" y="0"/>
              <wp:positionH relativeFrom="page">
                <wp:posOffset>1664970</wp:posOffset>
              </wp:positionH>
              <wp:positionV relativeFrom="page">
                <wp:posOffset>13580110</wp:posOffset>
              </wp:positionV>
              <wp:extent cx="281940" cy="129540"/>
              <wp:effectExtent l="0" t="0" r="0" b="0"/>
              <wp:wrapNone/>
              <wp:docPr id="308" name="Shape 67"/>
              <wp:cNvGraphicFramePr/>
              <a:graphic xmlns:a="http://schemas.openxmlformats.org/drawingml/2006/main">
                <a:graphicData uri="http://schemas.microsoft.com/office/word/2010/wordprocessingShape">
                  <wps:wsp>
                    <wps:cNvSpPr txBox="1"/>
                    <wps:spPr>
                      <a:xfrm>
                        <a:off x="0" y="0"/>
                        <a:ext cx="281940" cy="129540"/>
                      </a:xfrm>
                      <a:prstGeom prst="rect">
                        <a:avLst/>
                      </a:prstGeom>
                      <a:noFill/>
                      <a:ln>
                        <a:noFill/>
                      </a:ln>
                      <a:effectLst/>
                    </wps:spPr>
                    <wps:txbx>
                      <w:txbxContent>
                        <w:p>
                          <w:pPr>
                            <w:pStyle w:val="39"/>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67" o:spid="_x0000_s1026" o:spt="202" type="#_x0000_t202" style="position:absolute;left:0pt;margin-left:131.1pt;margin-top:1069.3pt;height:10.2pt;width:22.2pt;mso-position-horizontal-relative:page;mso-position-vertical-relative:page;mso-wrap-style:none;z-index:-251657216;mso-width-relative:page;mso-height-relative:page;" filled="f" stroked="f" coordsize="21600,21600" o:gfxdata="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3UuhPXAAAADQEAAA8AAAAAAAAAAQAgAAAAIgAAAGRycy9kb3ducmV2LnhtbFBLAQIU&#10;ABQAAAAIAIdO4kAr5gVRuwEAAJgDAAAOAAAAAAAAAAEAIAAAACYBAABkcnMvZTJvRG9jLnhtbFBL&#10;BQYAAAAABgAGAFkBAABTBQAAAAA=&#10;">
              <v:fill on="f" focussize="0,0"/>
              <v:stroke on="f"/>
              <v:imagedata o:title=""/>
              <o:lock v:ext="edit" aspectratio="f"/>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67</w:t>
                          </w:r>
                          <w:r>
                            <w:fldChar w:fldCharType="end"/>
                          </w:r>
                          <w:r>
                            <w:t xml:space="preserve"> 页</w:t>
                          </w:r>
                        </w:p>
                      </w:txbxContent>
                    </wps:txbx>
                    <wps:bodyPr wrap="none" lIns="0" tIns="0" rIns="0" bIns="0" upright="1">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&#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Ka552zTAQAApA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67</w:t>
                    </w:r>
                    <w:r>
                      <w:fldChar w:fldCharType="end"/>
                    </w:r>
                    <w: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68</w:t>
                          </w:r>
                          <w:r>
                            <w:fldChar w:fldCharType="end"/>
                          </w:r>
                          <w:r>
                            <w:t xml:space="preserve"> 页</w:t>
                          </w:r>
                        </w:p>
                      </w:txbxContent>
                    </wps:txbx>
                    <wps:bodyPr wrap="none" lIns="0" tIns="0" rIns="0" bIns="0" upright="1">
                      <a:spAutoFit/>
                    </wps:bodyPr>
                  </wps:wsp>
                </a:graphicData>
              </a:graphic>
            </wp:anchor>
          </w:drawing>
        </mc:Choice>
        <mc:Fallback>
          <w:pict>
            <v:shape id="文本框 21"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LTEkGTTAQAApA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68</w:t>
                    </w:r>
                    <w:r>
                      <w:fldChar w:fldCharType="end"/>
                    </w:r>
                    <w:r>
                      <w:t xml:space="preserve"> 页</w:t>
                    </w:r>
                  </w:p>
                </w:txbxContent>
              </v:textbox>
            </v:shape>
          </w:pict>
        </mc:Fallback>
      </mc:AlternateContent>
    </w:r>
    <w:r>
      <mc:AlternateContent>
        <mc:Choice Requires="wps">
          <w:drawing>
            <wp:anchor distT="0" distB="0" distL="114300" distR="114300" simplePos="0" relativeHeight="251667456"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4" name="Shape 40"/>
              <wp:cNvGraphicFramePr/>
              <a:graphic xmlns:a="http://schemas.openxmlformats.org/drawingml/2006/main">
                <a:graphicData uri="http://schemas.microsoft.com/office/word/2010/wordprocessingShape">
                  <wps:wsp>
                    <wps:cNvSpPr txBox="1"/>
                    <wps:spPr>
                      <a:xfrm>
                        <a:off x="0" y="0"/>
                        <a:ext cx="274320" cy="129540"/>
                      </a:xfrm>
                      <a:prstGeom prst="rect">
                        <a:avLst/>
                      </a:prstGeom>
                      <a:noFill/>
                      <a:ln>
                        <a:noFill/>
                      </a:ln>
                      <a:effectLst/>
                    </wps:spPr>
                    <wps:txbx>
                      <w:txbxContent>
                        <w:p>
                          <w:pPr>
                            <w:pStyle w:val="39"/>
                          </w:pPr>
                          <w:r>
                            <w:t>168</w:t>
                          </w:r>
                        </w:p>
                      </w:txbxContent>
                    </wps:txbx>
                    <wps:bodyPr wrap="none" lIns="0" tIns="0" rIns="0" bIns="0">
                      <a:spAutoFit/>
                    </wps:bodyPr>
                  </wps:wsp>
                </a:graphicData>
              </a:graphic>
            </wp:anchor>
          </w:drawing>
        </mc:Choice>
        <mc:Fallback>
          <w:pict>
            <v:shape id="Shape 40" o:spid="_x0000_s1026" o:spt="202" type="#_x0000_t202" style="position:absolute;left:0pt;margin-left:138.7pt;margin-top:1069.6pt;height:10.2pt;width:21.6pt;mso-position-horizontal-relative:page;mso-position-vertical-relative:page;mso-wrap-style:none;z-index:-251649024;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rWOzZ2QAAAA0BAAAPAAAAAAAAAAEAIAAAACIAAABkcnMvZG93bnJldi54bWxQSwEC&#10;FAAUAAAACACHTuJAb1OT5roBAACWAwAADgAAAAAAAAABACAAAAAoAQAAZHJzL2Uyb0RvYy54bWxQ&#10;SwUGAAAAAAYABgBZAQAAVAUAAAAA&#10;">
              <v:fill on="f" focussize="0,0"/>
              <v:stroke on="f"/>
              <v:imagedata o:title=""/>
              <o:lock v:ext="edit" aspectratio="f"/>
              <v:textbox inset="0mm,0mm,0mm,0mm" style="mso-fit-shape-to-text:t;">
                <w:txbxContent>
                  <w:p>
                    <w:pPr>
                      <w:pStyle w:val="39"/>
                    </w:pPr>
                    <w:r>
                      <w:t>168</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66432"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5" name="Shape 42"/>
              <wp:cNvGraphicFramePr/>
              <a:graphic xmlns:a="http://schemas.openxmlformats.org/drawingml/2006/main">
                <a:graphicData uri="http://schemas.microsoft.com/office/word/2010/wordprocessingShape">
                  <wps:wsp>
                    <wps:cNvSpPr txBox="1"/>
                    <wps:spPr>
                      <a:xfrm>
                        <a:off x="0" y="0"/>
                        <a:ext cx="274320" cy="129540"/>
                      </a:xfrm>
                      <a:prstGeom prst="rect">
                        <a:avLst/>
                      </a:prstGeom>
                      <a:noFill/>
                      <a:ln>
                        <a:noFill/>
                      </a:ln>
                      <a:effectLst/>
                    </wps:spPr>
                    <wps:txbx>
                      <w:txbxContent>
                        <w:p>
                          <w:pPr>
                            <w:pStyle w:val="39"/>
                          </w:pPr>
                          <w:r>
                            <w:t>168</w:t>
                          </w:r>
                        </w:p>
                      </w:txbxContent>
                    </wps:txbx>
                    <wps:bodyPr wrap="none" lIns="0" tIns="0" rIns="0" bIns="0">
                      <a:spAutoFit/>
                    </wps:bodyPr>
                  </wps:wsp>
                </a:graphicData>
              </a:graphic>
            </wp:anchor>
          </w:drawing>
        </mc:Choice>
        <mc:Fallback>
          <w:pict>
            <v:shape id="Shape 42" o:spid="_x0000_s1026" o:spt="202" type="#_x0000_t202" style="position:absolute;left:0pt;margin-left:138.7pt;margin-top:1069.6pt;height:10.2pt;width:21.6pt;mso-position-horizontal-relative:page;mso-position-vertical-relative:page;mso-wrap-style:none;z-index:-251650048;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q1js2dkAAAANAQAADwAAAAAAAAABACAAAAAiAAAAZHJzL2Rvd25yZXYueG1sUEsB&#10;AhQAFAAAAAgAh07iQDV6hY+7AQAAlgMAAA4AAAAAAAAAAQAgAAAAKAEAAGRycy9lMm9Eb2MueG1s&#10;UEsFBgAAAAAGAAYAWQEAAFUFAAAAAA==&#10;">
              <v:fill on="f" focussize="0,0"/>
              <v:stroke on="f"/>
              <v:imagedata o:title=""/>
              <o:lock v:ext="edit" aspectratio="f"/>
              <v:textbox inset="0mm,0mm,0mm,0mm" style="mso-fit-shape-to-text:t;">
                <w:txbxContent>
                  <w:p>
                    <w:pPr>
                      <w:pStyle w:val="39"/>
                    </w:pPr>
                    <w:r>
                      <w:t>168</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68480" behindDoc="1" locked="0" layoutInCell="1" allowOverlap="1">
              <wp:simplePos x="0" y="0"/>
              <wp:positionH relativeFrom="page">
                <wp:posOffset>8619490</wp:posOffset>
              </wp:positionH>
              <wp:positionV relativeFrom="page">
                <wp:posOffset>13576300</wp:posOffset>
              </wp:positionV>
              <wp:extent cx="281940" cy="129540"/>
              <wp:effectExtent l="0" t="0" r="0" b="0"/>
              <wp:wrapNone/>
              <wp:docPr id="3" name="Shape 44"/>
              <wp:cNvGraphicFramePr/>
              <a:graphic xmlns:a="http://schemas.openxmlformats.org/drawingml/2006/main">
                <a:graphicData uri="http://schemas.microsoft.com/office/word/2010/wordprocessingShape">
                  <wps:wsp>
                    <wps:cNvSpPr txBox="1"/>
                    <wps:spPr>
                      <a:xfrm>
                        <a:off x="0" y="0"/>
                        <a:ext cx="281940" cy="129540"/>
                      </a:xfrm>
                      <a:prstGeom prst="rect">
                        <a:avLst/>
                      </a:prstGeom>
                      <a:noFill/>
                      <a:ln>
                        <a:noFill/>
                      </a:ln>
                      <a:effectLst/>
                    </wps:spPr>
                    <wps:txbx>
                      <w:txbxContent>
                        <w:p>
                          <w:pPr>
                            <w:pStyle w:val="39"/>
                          </w:pPr>
                          <w:r>
                            <w:t>167</w:t>
                          </w:r>
                        </w:p>
                      </w:txbxContent>
                    </wps:txbx>
                    <wps:bodyPr wrap="none" lIns="0" tIns="0" rIns="0" bIns="0">
                      <a:spAutoFit/>
                    </wps:bodyPr>
                  </wps:wsp>
                </a:graphicData>
              </a:graphic>
            </wp:anchor>
          </w:drawing>
        </mc:Choice>
        <mc:Fallback>
          <w:pict>
            <v:shape id="Shape 44" o:spid="_x0000_s1026" o:spt="202" type="#_x0000_t202" style="position:absolute;left:0pt;margin-left:678.7pt;margin-top:1069pt;height:10.2pt;width:22.2pt;mso-position-horizontal-relative:page;mso-position-vertical-relative:page;mso-wrap-style:none;z-index:-251648000;mso-width-relative:page;mso-height-relative:page;" filled="f" stroked="f" coordsize="21600,21600" o:gfxdata="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8D8+vZAAAADwEAAA8AAAAAAAAAAQAgAAAAIgAAAGRycy9kb3ducmV2LnhtbFBLAQIU&#10;ABQAAAAIAIdO4kAaO5HeuQEAAJYDAAAOAAAAAAAAAAEAIAAAACgBAABkcnMvZTJvRG9jLnhtbFBL&#10;BQYAAAAABgAGAFkBAABTBQAAAAA=&#10;">
              <v:fill on="f" focussize="0,0"/>
              <v:stroke on="f"/>
              <v:imagedata o:title=""/>
              <o:lock v:ext="edit" aspectratio="f"/>
              <v:textbox inset="0mm,0mm,0mm,0mm" style="mso-fit-shape-to-text:t;">
                <w:txbxContent>
                  <w:p>
                    <w:pPr>
                      <w:pStyle w:val="39"/>
                    </w:pPr>
                    <w:r>
                      <w:t>167</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72</w:t>
                          </w:r>
                          <w:r>
                            <w:fldChar w:fldCharType="end"/>
                          </w:r>
                          <w:r>
                            <w:t xml:space="preserve"> 页</w:t>
                          </w:r>
                        </w:p>
                      </w:txbxContent>
                    </wps:txbx>
                    <wps:bodyPr wrap="none" lIns="0" tIns="0" rIns="0" bIns="0" upright="1">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JbEMd7TAQAApA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72</w:t>
                    </w:r>
                    <w:r>
                      <w:fldChar w:fldCharType="end"/>
                    </w:r>
                    <w: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80</w:t>
                          </w:r>
                          <w:r>
                            <w:fldChar w:fldCharType="end"/>
                          </w:r>
                          <w:r>
                            <w:t xml:space="preserve"> 页</w:t>
                          </w:r>
                        </w:p>
                      </w:txbxContent>
                    </wps:txbx>
                    <wps:bodyPr wrap="none" lIns="0" tIns="0" rIns="0" bIns="0" upright="1">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&#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NJWO7QAAAABQEAAA8AAAAAAAAAAQAgAAAAIgAAAGRy&#10;cy9kb3ducmV2LnhtbFBLAQIUABQAAAAIAIdO4kCoZyxJ1AEAAKQDAAAOAAAAAAAAAAEAIAAAAB8B&#10;AABkcnMvZTJvRG9jLnhtbFBLBQYAAAAABgAGAFkBAABlBQ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80</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81</w:t>
                          </w:r>
                          <w:r>
                            <w:fldChar w:fldCharType="end"/>
                          </w:r>
                          <w:r>
                            <w:t xml:space="preserve"> 页</w:t>
                          </w:r>
                        </w:p>
                      </w:txbxContent>
                    </wps:txbx>
                    <wps:bodyPr wrap="none" lIns="0" tIns="0" rIns="0" bIns="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&#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NJWO7QAAAABQEAAA8AAAAAAAAAAQAgAAAAIgAAAGRy&#10;cy9kb3ducmV2LnhtbFBLAQIUABQAAAAIAIdO4kCin3MP1AEAAKQDAAAOAAAAAAAAAAEAIAAAAB8B&#10;AABkcnMvZTJvRG9jLnhtbFBLBQYAAAAABgAGAFkBAABlBQ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81</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61312" behindDoc="1" locked="0" layoutInCell="1" allowOverlap="1">
              <wp:simplePos x="0" y="0"/>
              <wp:positionH relativeFrom="page">
                <wp:posOffset>1778000</wp:posOffset>
              </wp:positionH>
              <wp:positionV relativeFrom="page">
                <wp:posOffset>13580110</wp:posOffset>
              </wp:positionV>
              <wp:extent cx="274320" cy="129540"/>
              <wp:effectExtent l="0" t="0" r="0" b="0"/>
              <wp:wrapNone/>
              <wp:docPr id="327" name="Shape 27"/>
              <wp:cNvGraphicFramePr/>
              <a:graphic xmlns:a="http://schemas.openxmlformats.org/drawingml/2006/main">
                <a:graphicData uri="http://schemas.microsoft.com/office/word/2010/wordprocessingShape">
                  <wps:wsp>
                    <wps:cNvSpPr txBox="1"/>
                    <wps:spPr>
                      <a:xfrm>
                        <a:off x="0" y="0"/>
                        <a:ext cx="274320" cy="129540"/>
                      </a:xfrm>
                      <a:prstGeom prst="rect">
                        <a:avLst/>
                      </a:prstGeom>
                      <a:noFill/>
                      <a:ln>
                        <a:noFill/>
                      </a:ln>
                      <a:effectLst/>
                    </wps:spPr>
                    <wps:txbx>
                      <w:txbxContent>
                        <w:p>
                          <w:pPr>
                            <w:pStyle w:val="39"/>
                          </w:pPr>
                          <w:r>
                            <w:fldChar w:fldCharType="begin"/>
                          </w:r>
                          <w:r>
                            <w:instrText xml:space="preserve"> PAGE \* MERGEFORMAT </w:instrText>
                          </w:r>
                          <w:r>
                            <w:fldChar w:fldCharType="separate"/>
                          </w:r>
                          <w:r>
                            <w:rPr>
                              <w:i w:val="0"/>
                              <w:iCs w:val="0"/>
                            </w:rPr>
                            <w:t>#</w:t>
                          </w:r>
                          <w:r>
                            <w:rPr>
                              <w:i w:val="0"/>
                              <w:iCs w:val="0"/>
                            </w:rPr>
                            <w:fldChar w:fldCharType="end"/>
                          </w:r>
                        </w:p>
                      </w:txbxContent>
                    </wps:txbx>
                    <wps:bodyPr wrap="none" lIns="0" tIns="0" rIns="0" bIns="0">
                      <a:spAutoFit/>
                    </wps:bodyPr>
                  </wps:wsp>
                </a:graphicData>
              </a:graphic>
            </wp:anchor>
          </w:drawing>
        </mc:Choice>
        <mc:Fallback>
          <w:pict>
            <v:shape id="Shape 27" o:spid="_x0000_s1026" o:spt="202" type="#_x0000_t202" style="position:absolute;left:0pt;margin-left:140pt;margin-top:1069.3pt;height:10.2pt;width:21.6pt;mso-position-horizontal-relative:page;mso-position-vertical-relative:page;mso-wrap-style:none;z-index:-251655168;mso-width-relative:page;mso-height-relative:page;" filled="f" stroked="f" coordsize="21600,21600" o:gfxdata="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MLsH7YAAAADQEAAA8AAAAAAAAAAQAgAAAAIgAAAGRycy9kb3ducmV2LnhtbFBL&#10;AQIUABQAAAAIAIdO4kCe0YJYvQEAAJgDAAAOAAAAAAAAAAEAIAAAACcBAABkcnMvZTJvRG9jLnht&#10;bFBLBQYAAAAABgAGAFkBAABWBQAAAAA=&#10;">
              <v:fill on="f" focussize="0,0"/>
              <v:stroke on="f"/>
              <v:imagedata o:title=""/>
              <o:lock v:ext="edit" aspectratio="f"/>
              <v:textbox inset="0mm,0mm,0mm,0mm" style="mso-fit-shape-to-text:t;">
                <w:txbxContent>
                  <w:p>
                    <w:pPr>
                      <w:pStyle w:val="39"/>
                    </w:pPr>
                    <w:r>
                      <w:fldChar w:fldCharType="begin"/>
                    </w:r>
                    <w:r>
                      <w:instrText xml:space="preserve"> PAGE \* MERGEFORMAT </w:instrText>
                    </w:r>
                    <w:r>
                      <w:fldChar w:fldCharType="separate"/>
                    </w:r>
                    <w:r>
                      <w:rPr>
                        <w:i w:val="0"/>
                        <w:iCs w:val="0"/>
                      </w:rPr>
                      <w:t>#</w:t>
                    </w:r>
                    <w:r>
                      <w:rPr>
                        <w:i w:val="0"/>
                        <w:iCs w:val="0"/>
                      </w:rP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87</w:t>
                          </w:r>
                          <w:r>
                            <w:fldChar w:fldCharType="end"/>
                          </w:r>
                          <w:r>
                            <w:t xml:space="preserve"> 页</w:t>
                          </w:r>
                        </w:p>
                      </w:txbxContent>
                    </wps:txbx>
                    <wps:bodyPr wrap="none" lIns="0" tIns="0" rIns="0" bIns="0" upright="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&#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NJWO7QAAAABQEAAA8AAAAAAAAAAQAgAAAAIgAAAGRy&#10;cy9kb3ducmV2LnhtbFBLAQIUABQAAAAIAIdO4kCNzhw+1AEAAKQDAAAOAAAAAAAAAAEAIAAAAB8B&#10;AABkcnMvZTJvRG9jLnhtbFBLBQYAAAAABgAGAFkBAABlBQ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87</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90</w:t>
                          </w:r>
                          <w:r>
                            <w:fldChar w:fldCharType="end"/>
                          </w:r>
                          <w:r>
                            <w:t xml:space="preserve"> 页</w:t>
                          </w:r>
                        </w:p>
                      </w:txbxContent>
                    </wps:txbx>
                    <wps:bodyPr wrap="none" lIns="0" tIns="0" rIns="0" bIns="0" upright="1">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&#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NJWO7QAAAABQEAAA8AAAAAAAAAAQAgAAAAIgAAAGRy&#10;cy9kb3ducmV2LnhtbFBLAQIUABQAAAAIAIdO4kAX471W1AEAAKQDAAAOAAAAAAAAAAEAIAAAAB8B&#10;AABkcnMvZTJvRG9jLnhtbFBLBQYAAAAABgAGAFkBAABlBQ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90</w:t>
                    </w:r>
                    <w:r>
                      <w:fldChar w:fldCharType="end"/>
                    </w:r>
                    <w: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92</w:t>
                          </w:r>
                          <w:r>
                            <w:fldChar w:fldCharType="end"/>
                          </w:r>
                          <w:r>
                            <w:t xml:space="preserve"> 页</w:t>
                          </w:r>
                        </w:p>
                      </w:txbxContent>
                    </wps:txbx>
                    <wps:bodyPr wrap="none" lIns="0" tIns="0" rIns="0" bIns="0" upright="1">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HlYCIbTAQAApA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92</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63360" behindDoc="1" locked="0" layoutInCell="1" allowOverlap="1">
              <wp:simplePos x="0" y="0"/>
              <wp:positionH relativeFrom="page">
                <wp:posOffset>1761490</wp:posOffset>
              </wp:positionH>
              <wp:positionV relativeFrom="page">
                <wp:posOffset>13616305</wp:posOffset>
              </wp:positionV>
              <wp:extent cx="274320" cy="129540"/>
              <wp:effectExtent l="0" t="0" r="0" b="0"/>
              <wp:wrapNone/>
              <wp:docPr id="333" name="Shape 39"/>
              <wp:cNvGraphicFramePr/>
              <a:graphic xmlns:a="http://schemas.openxmlformats.org/drawingml/2006/main">
                <a:graphicData uri="http://schemas.microsoft.com/office/word/2010/wordprocessingShape">
                  <wps:wsp>
                    <wps:cNvSpPr txBox="1"/>
                    <wps:spPr>
                      <a:xfrm>
                        <a:off x="0" y="0"/>
                        <a:ext cx="274320" cy="129540"/>
                      </a:xfrm>
                      <a:prstGeom prst="rect">
                        <a:avLst/>
                      </a:prstGeom>
                      <a:noFill/>
                      <a:ln>
                        <a:noFill/>
                      </a:ln>
                      <a:effectLst/>
                    </wps:spPr>
                    <wps:txbx>
                      <w:txbxContent>
                        <w:p>
                          <w:pPr>
                            <w:pStyle w:val="39"/>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9" o:spid="_x0000_s1026" o:spt="202" type="#_x0000_t202" style="position:absolute;left:0pt;margin-left:138.7pt;margin-top:1072.15pt;height:10.2pt;width:21.6pt;mso-position-horizontal-relative:page;mso-position-vertical-relative:page;mso-wrap-style:none;z-index:-251653120;mso-width-relative:page;mso-height-relative:page;" filled="f" stroked="f" coordsize="21600,21600" o:gfxdata="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8m8wLYAAAADQEAAA8AAAAAAAAAAQAgAAAAIgAAAGRycy9kb3ducmV2LnhtbFBL&#10;AQIUABQAAAAIAIdO4kAH5rNuvQEAAJgDAAAOAAAAAAAAAAEAIAAAACcBAABkcnMvZTJvRG9jLnht&#10;bFBLBQYAAAAABgAGAFkBAABWBQAAAAA=&#10;">
              <v:fill on="f" focussize="0,0"/>
              <v:stroke on="f"/>
              <v:imagedata o:title=""/>
              <o:lock v:ext="edit" aspectratio="f"/>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97</w:t>
                          </w:r>
                          <w:r>
                            <w:fldChar w:fldCharType="end"/>
                          </w:r>
                          <w:r>
                            <w:t xml:space="preserve"> 页</w:t>
                          </w:r>
                        </w:p>
                      </w:txbxContent>
                    </wps:txbx>
                    <wps:bodyPr wrap="none" lIns="0" tIns="0" rIns="0" bIns="0" upright="1">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LvKKNfTAQAApA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97</w:t>
                    </w:r>
                    <w:r>
                      <w:fldChar w:fldCharType="end"/>
                    </w:r>
                    <w:r>
                      <w:t xml:space="preserve"> 页</w:t>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99</w:t>
                          </w:r>
                          <w:r>
                            <w:fldChar w:fldCharType="end"/>
                          </w:r>
                          <w:r>
                            <w:t xml:space="preserve"> 页</w:t>
                          </w:r>
                        </w:p>
                      </w:txbxContent>
                    </wps:txbx>
                    <wps:bodyPr wrap="none" lIns="0" tIns="0" rIns="0" bIns="0" upright="1">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G/x8atIBAACjAwAADgAAAAAAAAABACAAAAAfAQAA&#10;ZHJzL2Uyb0RvYy54bWxQSwUGAAAAAAYABgBZAQAAYwU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99</w:t>
                    </w:r>
                    <w:r>
                      <w:fldChar w:fldCharType="end"/>
                    </w:r>
                    <w:r>
                      <w:t xml:space="preserve"> 页</w:t>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104</w:t>
                          </w:r>
                          <w:r>
                            <w:fldChar w:fldCharType="end"/>
                          </w:r>
                          <w:r>
                            <w:t xml:space="preserve"> 页</w:t>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G4RIVzTAQAAow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104</w:t>
                    </w:r>
                    <w:r>
                      <w:fldChar w:fldCharType="end"/>
                    </w:r>
                    <w:r>
                      <w:t xml:space="preserve"> 页</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60288" behindDoc="1" locked="0" layoutInCell="1" allowOverlap="1">
              <wp:simplePos x="0" y="0"/>
              <wp:positionH relativeFrom="page">
                <wp:posOffset>1750695</wp:posOffset>
              </wp:positionH>
              <wp:positionV relativeFrom="page">
                <wp:posOffset>13580110</wp:posOffset>
              </wp:positionV>
              <wp:extent cx="274320" cy="129540"/>
              <wp:effectExtent l="0" t="0" r="0" b="0"/>
              <wp:wrapNone/>
              <wp:docPr id="329" name="Shape 31"/>
              <wp:cNvGraphicFramePr/>
              <a:graphic xmlns:a="http://schemas.openxmlformats.org/drawingml/2006/main">
                <a:graphicData uri="http://schemas.microsoft.com/office/word/2010/wordprocessingShape">
                  <wps:wsp>
                    <wps:cNvSpPr txBox="1"/>
                    <wps:spPr>
                      <a:xfrm>
                        <a:off x="0" y="0"/>
                        <a:ext cx="274320" cy="129540"/>
                      </a:xfrm>
                      <a:prstGeom prst="rect">
                        <a:avLst/>
                      </a:prstGeom>
                      <a:noFill/>
                      <a:ln>
                        <a:noFill/>
                      </a:ln>
                      <a:effectLst/>
                    </wps:spPr>
                    <wps:txbx>
                      <w:txbxContent>
                        <w:p>
                          <w:pPr>
                            <w:pStyle w:val="39"/>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1" o:spid="_x0000_s1026" o:spt="202" type="#_x0000_t202" style="position:absolute;left:0pt;margin-left:137.85pt;margin-top:1069.3pt;height:10.2pt;width:21.6pt;mso-position-horizontal-relative:page;mso-position-vertical-relative:page;mso-wrap-style:none;z-index:-251656192;mso-width-relative:page;mso-height-relative:page;" filled="f" stroked="f" coordsize="21600,21600" o:gfxdata="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DQj/qXYAAAADQEAAA8AAAAAAAAAAQAgAAAAIgAAAGRycy9kb3ducmV2LnhtbFBL&#10;AQIUABQAAAAIAIdO4kDZ8bH+vQEAAJgDAAAOAAAAAAAAAAEAIAAAACcBAABkcnMvZTJvRG9jLnht&#10;bFBLBQYAAAAABgAGAFkBAABWBQAAAAA=&#10;">
              <v:fill on="f" focussize="0,0"/>
              <v:stroke on="f"/>
              <v:imagedata o:title=""/>
              <o:lock v:ext="edit" aspectratio="f"/>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106</w:t>
                          </w:r>
                          <w:r>
                            <w:fldChar w:fldCharType="end"/>
                          </w:r>
                          <w:r>
                            <w:t xml:space="preserve"> 页</w:t>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I9O5RdIBAACjAwAADgAAAAAAAAABACAAAAAfAQAA&#10;ZHJzL2Uyb0RvYy54bWxQSwUGAAAAAAYABgBZAQAAYwU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106</w:t>
                    </w:r>
                    <w:r>
                      <w:fldChar w:fldCharType="end"/>
                    </w:r>
                    <w:r>
                      <w:t xml:space="preserve"> 页</w:t>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62336" behindDoc="1" locked="0" layoutInCell="1" allowOverlap="1">
              <wp:simplePos x="0" y="0"/>
              <wp:positionH relativeFrom="page">
                <wp:posOffset>1741170</wp:posOffset>
              </wp:positionH>
              <wp:positionV relativeFrom="page">
                <wp:posOffset>13623290</wp:posOffset>
              </wp:positionV>
              <wp:extent cx="274320" cy="129540"/>
              <wp:effectExtent l="0" t="0" r="0" b="0"/>
              <wp:wrapNone/>
              <wp:docPr id="331" name="Shape 35"/>
              <wp:cNvGraphicFramePr/>
              <a:graphic xmlns:a="http://schemas.openxmlformats.org/drawingml/2006/main">
                <a:graphicData uri="http://schemas.microsoft.com/office/word/2010/wordprocessingShape">
                  <wps:wsp>
                    <wps:cNvSpPr txBox="1"/>
                    <wps:spPr>
                      <a:xfrm>
                        <a:off x="0" y="0"/>
                        <a:ext cx="274320" cy="129540"/>
                      </a:xfrm>
                      <a:prstGeom prst="rect">
                        <a:avLst/>
                      </a:prstGeom>
                      <a:noFill/>
                      <a:ln>
                        <a:noFill/>
                      </a:ln>
                      <a:effectLst/>
                    </wps:spPr>
                    <wps:txbx>
                      <w:txbxContent>
                        <w:p>
                          <w:pPr>
                            <w:pStyle w:val="39"/>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5" o:spid="_x0000_s1026" o:spt="202" type="#_x0000_t202" style="position:absolute;left:0pt;margin-left:137.1pt;margin-top:1072.7pt;height:10.2pt;width:21.6pt;mso-position-horizontal-relative:page;mso-position-vertical-relative:page;mso-wrap-style:none;z-index:-251654144;mso-width-relative:page;mso-height-relative:page;" filled="f" stroked="f" coordsize="21600,21600" o:gfxdata="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1C4tvYAAAADQEAAA8AAAAAAAAAAQAgAAAAIgAAAGRycy9kb3ducmV2LnhtbFBL&#10;AQIUABQAAAAIAIdO4kC7nAVmvQEAAJgDAAAOAAAAAAAAAAEAIAAAACcBAABkcnMvZTJvRG9jLnht&#10;bFBLBQYAAAAABgAGAFkBAABWBQAAAAA=&#10;">
              <v:fill on="f" focussize="0,0"/>
              <v:stroke on="f"/>
              <v:imagedata o:title=""/>
              <o:lock v:ext="edit" aspectratio="f"/>
              <v:textbox inset="0mm,0mm,0mm,0mm" style="mso-fit-shape-to-text:t;">
                <w:txbxContent>
                  <w:p>
                    <w:pPr>
                      <w:pStyle w:val="39"/>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6"/>
                          </w:pPr>
                          <w:r>
                            <w:t xml:space="preserve">第 </w:t>
                          </w:r>
                          <w:r>
                            <w:fldChar w:fldCharType="begin"/>
                          </w:r>
                          <w:r>
                            <w:instrText xml:space="preserve"> PAGE  \* MERGEFORMAT </w:instrText>
                          </w:r>
                          <w:r>
                            <w:fldChar w:fldCharType="separate"/>
                          </w:r>
                          <w:r>
                            <w:t>107</w:t>
                          </w:r>
                          <w:r>
                            <w:fldChar w:fldCharType="end"/>
                          </w:r>
                          <w:r>
                            <w:t xml:space="preserve"> 页</w:t>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JbzshrTAQAAowMAAA4AAAAAAAAAAQAgAAAAHwEA&#10;AGRycy9lMm9Eb2MueG1sUEsFBgAAAAAGAAYAWQEAAGQFAAAAAA==&#10;">
              <v:fill on="f" focussize="0,0"/>
              <v:stroke on="f" weight="0.5pt"/>
              <v:imagedata o:title=""/>
              <o:lock v:ext="edit" aspectratio="f"/>
              <v:textbox inset="0mm,0mm,0mm,0mm" style="mso-fit-shape-to-text:t;">
                <w:txbxContent>
                  <w:p>
                    <w:pPr>
                      <w:pStyle w:val="16"/>
                    </w:pPr>
                    <w:r>
                      <w:t xml:space="preserve">第 </w:t>
                    </w:r>
                    <w:r>
                      <w:fldChar w:fldCharType="begin"/>
                    </w:r>
                    <w:r>
                      <w:instrText xml:space="preserve"> PAGE  \* MERGEFORMAT </w:instrText>
                    </w:r>
                    <w:r>
                      <w:fldChar w:fldCharType="separate"/>
                    </w:r>
                    <w:r>
                      <w:t>107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97C59"/>
    <w:multiLevelType w:val="singleLevel"/>
    <w:tmpl w:val="B2697C59"/>
    <w:lvl w:ilvl="0" w:tentative="0">
      <w:start w:val="1"/>
      <w:numFmt w:val="chineseCounting"/>
      <w:suff w:val="nothing"/>
      <w:lvlText w:val="（%1）"/>
      <w:lvlJc w:val="left"/>
      <w:rPr>
        <w:rFonts w:hint="eastAsia"/>
      </w:rPr>
    </w:lvl>
  </w:abstractNum>
  <w:abstractNum w:abstractNumId="1">
    <w:nsid w:val="209B8852"/>
    <w:multiLevelType w:val="singleLevel"/>
    <w:tmpl w:val="209B8852"/>
    <w:lvl w:ilvl="0" w:tentative="0">
      <w:start w:val="6"/>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hideSpellingErrors/>
  <w:documentProtection w:enforcement="0"/>
  <w:defaultTabStop w:val="420"/>
  <w:displayHorizontalDrawingGridEvery w:val="1"/>
  <w:displayVerticalDrawingGridEvery w:val="1"/>
  <w:noPunctuationKerning w:val="1"/>
  <w:characterSpacingControl w:val="doNotCompress"/>
  <w:hdrShapeDefaults>
    <o:shapelayout v:ext="edit">
      <o:idmap v:ext="edit" data="1"/>
    </o:shapelayout>
  </w:hdrShapeDefaults>
  <w:compat>
    <w:spaceForUL/>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0NDNlYzkwNjU1YzUyYzU5NzQ4NDRjNGY4NDM5MGYifQ=="/>
  </w:docVars>
  <w:rsids>
    <w:rsidRoot w:val="00172A27"/>
    <w:rsid w:val="00045570"/>
    <w:rsid w:val="000C2EB0"/>
    <w:rsid w:val="00172A27"/>
    <w:rsid w:val="0018099E"/>
    <w:rsid w:val="00182FCA"/>
    <w:rsid w:val="001A64C4"/>
    <w:rsid w:val="001B38A8"/>
    <w:rsid w:val="001C048E"/>
    <w:rsid w:val="00270BE1"/>
    <w:rsid w:val="0029286F"/>
    <w:rsid w:val="003659B5"/>
    <w:rsid w:val="004019E2"/>
    <w:rsid w:val="004C10CF"/>
    <w:rsid w:val="004E384B"/>
    <w:rsid w:val="005076B2"/>
    <w:rsid w:val="006311DB"/>
    <w:rsid w:val="006F50CF"/>
    <w:rsid w:val="008855AE"/>
    <w:rsid w:val="009115F7"/>
    <w:rsid w:val="00940BB7"/>
    <w:rsid w:val="00984CAE"/>
    <w:rsid w:val="009F24CC"/>
    <w:rsid w:val="00A053C3"/>
    <w:rsid w:val="00A82715"/>
    <w:rsid w:val="00A87F74"/>
    <w:rsid w:val="00AD470F"/>
    <w:rsid w:val="00AF1618"/>
    <w:rsid w:val="00B16D5D"/>
    <w:rsid w:val="00B2086A"/>
    <w:rsid w:val="00B5424C"/>
    <w:rsid w:val="00BF65EE"/>
    <w:rsid w:val="00D30DD3"/>
    <w:rsid w:val="00D65257"/>
    <w:rsid w:val="00DA5D19"/>
    <w:rsid w:val="00DB6AC4"/>
    <w:rsid w:val="00DD6C35"/>
    <w:rsid w:val="00E15242"/>
    <w:rsid w:val="00E86134"/>
    <w:rsid w:val="00F04603"/>
    <w:rsid w:val="00F1191B"/>
    <w:rsid w:val="00F50CDF"/>
    <w:rsid w:val="00FE7B94"/>
    <w:rsid w:val="01074D0A"/>
    <w:rsid w:val="01213882"/>
    <w:rsid w:val="01395070"/>
    <w:rsid w:val="013B4DE0"/>
    <w:rsid w:val="013D404E"/>
    <w:rsid w:val="019F4F94"/>
    <w:rsid w:val="01A544B3"/>
    <w:rsid w:val="01BB3CD7"/>
    <w:rsid w:val="01CB33C2"/>
    <w:rsid w:val="021B6523"/>
    <w:rsid w:val="02323A76"/>
    <w:rsid w:val="02641C78"/>
    <w:rsid w:val="028440C8"/>
    <w:rsid w:val="02AD14F9"/>
    <w:rsid w:val="02B3421B"/>
    <w:rsid w:val="02FF7BF3"/>
    <w:rsid w:val="03247659"/>
    <w:rsid w:val="03876696"/>
    <w:rsid w:val="038A1AFE"/>
    <w:rsid w:val="03D91C41"/>
    <w:rsid w:val="03FF434E"/>
    <w:rsid w:val="04186D21"/>
    <w:rsid w:val="041B753F"/>
    <w:rsid w:val="04275653"/>
    <w:rsid w:val="044C330C"/>
    <w:rsid w:val="04714E32"/>
    <w:rsid w:val="04A80D87"/>
    <w:rsid w:val="04AA56B0"/>
    <w:rsid w:val="04B213C1"/>
    <w:rsid w:val="04DA2E6D"/>
    <w:rsid w:val="04E47868"/>
    <w:rsid w:val="04F75026"/>
    <w:rsid w:val="051E6A56"/>
    <w:rsid w:val="05524952"/>
    <w:rsid w:val="05684CA0"/>
    <w:rsid w:val="059B1E55"/>
    <w:rsid w:val="05A37394"/>
    <w:rsid w:val="05C463FC"/>
    <w:rsid w:val="05CD222A"/>
    <w:rsid w:val="05F45A09"/>
    <w:rsid w:val="05FC351D"/>
    <w:rsid w:val="06354D62"/>
    <w:rsid w:val="063B3638"/>
    <w:rsid w:val="065E2E82"/>
    <w:rsid w:val="066C5949"/>
    <w:rsid w:val="06B422BE"/>
    <w:rsid w:val="06CB0518"/>
    <w:rsid w:val="06F85085"/>
    <w:rsid w:val="07142474"/>
    <w:rsid w:val="07293490"/>
    <w:rsid w:val="075B71CB"/>
    <w:rsid w:val="0768044E"/>
    <w:rsid w:val="076A0C5F"/>
    <w:rsid w:val="07766587"/>
    <w:rsid w:val="07A31495"/>
    <w:rsid w:val="07A70F85"/>
    <w:rsid w:val="07D846E9"/>
    <w:rsid w:val="08332819"/>
    <w:rsid w:val="08386234"/>
    <w:rsid w:val="08534C69"/>
    <w:rsid w:val="088017D6"/>
    <w:rsid w:val="088D42E6"/>
    <w:rsid w:val="08901A19"/>
    <w:rsid w:val="08AA3EC8"/>
    <w:rsid w:val="08C72A13"/>
    <w:rsid w:val="08CC67C9"/>
    <w:rsid w:val="08D6431D"/>
    <w:rsid w:val="08ED72BF"/>
    <w:rsid w:val="090C3286"/>
    <w:rsid w:val="091B505B"/>
    <w:rsid w:val="091F0FEF"/>
    <w:rsid w:val="092078BD"/>
    <w:rsid w:val="093F64BF"/>
    <w:rsid w:val="09652EA6"/>
    <w:rsid w:val="09A17C56"/>
    <w:rsid w:val="09B90AFC"/>
    <w:rsid w:val="09FE6E56"/>
    <w:rsid w:val="0A00497C"/>
    <w:rsid w:val="0A051F93"/>
    <w:rsid w:val="0A391C3C"/>
    <w:rsid w:val="0A622F41"/>
    <w:rsid w:val="0A8607D0"/>
    <w:rsid w:val="0A88480B"/>
    <w:rsid w:val="0B3B0096"/>
    <w:rsid w:val="0B4C4AD3"/>
    <w:rsid w:val="0B7277C4"/>
    <w:rsid w:val="0B7C6285"/>
    <w:rsid w:val="0B7D1FFD"/>
    <w:rsid w:val="0B7F5D75"/>
    <w:rsid w:val="0B8213C1"/>
    <w:rsid w:val="0B824F7E"/>
    <w:rsid w:val="0C1E558E"/>
    <w:rsid w:val="0C3923C8"/>
    <w:rsid w:val="0CC56726"/>
    <w:rsid w:val="0CCE33C8"/>
    <w:rsid w:val="0CD12600"/>
    <w:rsid w:val="0CE854AF"/>
    <w:rsid w:val="0CFE6088"/>
    <w:rsid w:val="0D1338AF"/>
    <w:rsid w:val="0D192565"/>
    <w:rsid w:val="0DC20170"/>
    <w:rsid w:val="0DD71E98"/>
    <w:rsid w:val="0DDF6F9F"/>
    <w:rsid w:val="0DE93979"/>
    <w:rsid w:val="0DEC4B57"/>
    <w:rsid w:val="0E053B98"/>
    <w:rsid w:val="0E29205D"/>
    <w:rsid w:val="0E2F3A82"/>
    <w:rsid w:val="0E341099"/>
    <w:rsid w:val="0E3B2427"/>
    <w:rsid w:val="0E464928"/>
    <w:rsid w:val="0E4660AC"/>
    <w:rsid w:val="0E482CCF"/>
    <w:rsid w:val="0E5474D9"/>
    <w:rsid w:val="0E6855F4"/>
    <w:rsid w:val="0EB61F53"/>
    <w:rsid w:val="0EEA79A9"/>
    <w:rsid w:val="0F4B3470"/>
    <w:rsid w:val="0F52416A"/>
    <w:rsid w:val="0F563291"/>
    <w:rsid w:val="0F5D461F"/>
    <w:rsid w:val="0F6459AD"/>
    <w:rsid w:val="0F6C4862"/>
    <w:rsid w:val="0F736133"/>
    <w:rsid w:val="0F871BA5"/>
    <w:rsid w:val="0F905397"/>
    <w:rsid w:val="0F9C05C0"/>
    <w:rsid w:val="0FAE4E7B"/>
    <w:rsid w:val="0FB22922"/>
    <w:rsid w:val="0FC149A6"/>
    <w:rsid w:val="0FC96F68"/>
    <w:rsid w:val="10035202"/>
    <w:rsid w:val="102B1891"/>
    <w:rsid w:val="102B4F4A"/>
    <w:rsid w:val="105C6685"/>
    <w:rsid w:val="10B317D5"/>
    <w:rsid w:val="10D64689"/>
    <w:rsid w:val="11070865"/>
    <w:rsid w:val="11145FBB"/>
    <w:rsid w:val="111C6430"/>
    <w:rsid w:val="111D682E"/>
    <w:rsid w:val="112D05B8"/>
    <w:rsid w:val="11463F35"/>
    <w:rsid w:val="11644A63"/>
    <w:rsid w:val="118317AA"/>
    <w:rsid w:val="11931423"/>
    <w:rsid w:val="11B60016"/>
    <w:rsid w:val="12015736"/>
    <w:rsid w:val="12492C39"/>
    <w:rsid w:val="12CF313E"/>
    <w:rsid w:val="12FC5EFD"/>
    <w:rsid w:val="131840F8"/>
    <w:rsid w:val="13392CAD"/>
    <w:rsid w:val="135B2C24"/>
    <w:rsid w:val="136A2E67"/>
    <w:rsid w:val="13830281"/>
    <w:rsid w:val="138655EB"/>
    <w:rsid w:val="1399215F"/>
    <w:rsid w:val="13B306DE"/>
    <w:rsid w:val="13B3480E"/>
    <w:rsid w:val="13B80076"/>
    <w:rsid w:val="13BD568C"/>
    <w:rsid w:val="13D11138"/>
    <w:rsid w:val="13DD64E1"/>
    <w:rsid w:val="13E968AE"/>
    <w:rsid w:val="13EE5846"/>
    <w:rsid w:val="13F81B1B"/>
    <w:rsid w:val="14013B40"/>
    <w:rsid w:val="143F7298"/>
    <w:rsid w:val="144B0EEA"/>
    <w:rsid w:val="14D75A6C"/>
    <w:rsid w:val="14DC5FE6"/>
    <w:rsid w:val="151B1BCE"/>
    <w:rsid w:val="151E03AD"/>
    <w:rsid w:val="15564246"/>
    <w:rsid w:val="159266A5"/>
    <w:rsid w:val="15A37A81"/>
    <w:rsid w:val="15B12FCF"/>
    <w:rsid w:val="15D849FF"/>
    <w:rsid w:val="15E96C0C"/>
    <w:rsid w:val="15EA64E1"/>
    <w:rsid w:val="15F31CC5"/>
    <w:rsid w:val="161C2B3E"/>
    <w:rsid w:val="16262F52"/>
    <w:rsid w:val="16280709"/>
    <w:rsid w:val="16816E45"/>
    <w:rsid w:val="169052DA"/>
    <w:rsid w:val="16921052"/>
    <w:rsid w:val="16921550"/>
    <w:rsid w:val="16947BE6"/>
    <w:rsid w:val="16B05A36"/>
    <w:rsid w:val="16C805D0"/>
    <w:rsid w:val="17035AAC"/>
    <w:rsid w:val="17117359"/>
    <w:rsid w:val="171C0777"/>
    <w:rsid w:val="172B6DB1"/>
    <w:rsid w:val="17343EB7"/>
    <w:rsid w:val="174E322F"/>
    <w:rsid w:val="174F1BF6"/>
    <w:rsid w:val="1757752C"/>
    <w:rsid w:val="17886BE6"/>
    <w:rsid w:val="17E20193"/>
    <w:rsid w:val="187F73B4"/>
    <w:rsid w:val="188D7D23"/>
    <w:rsid w:val="18F30441"/>
    <w:rsid w:val="19134222"/>
    <w:rsid w:val="191A70DD"/>
    <w:rsid w:val="192B4E46"/>
    <w:rsid w:val="192F0DDA"/>
    <w:rsid w:val="1960144C"/>
    <w:rsid w:val="19B52287"/>
    <w:rsid w:val="19F74BF0"/>
    <w:rsid w:val="1A0B4CF3"/>
    <w:rsid w:val="1A0C13E4"/>
    <w:rsid w:val="1A260220"/>
    <w:rsid w:val="1A363E54"/>
    <w:rsid w:val="1A7D5B75"/>
    <w:rsid w:val="1AA17AB6"/>
    <w:rsid w:val="1AA72BF2"/>
    <w:rsid w:val="1AB61BAD"/>
    <w:rsid w:val="1ABF1CEA"/>
    <w:rsid w:val="1ADD6614"/>
    <w:rsid w:val="1B1700BE"/>
    <w:rsid w:val="1B910DA3"/>
    <w:rsid w:val="1B944F25"/>
    <w:rsid w:val="1BB2400C"/>
    <w:rsid w:val="1BDF5CE8"/>
    <w:rsid w:val="1BEE0DC9"/>
    <w:rsid w:val="1BF51661"/>
    <w:rsid w:val="1BFD0D1C"/>
    <w:rsid w:val="1C0C0B80"/>
    <w:rsid w:val="1C167A09"/>
    <w:rsid w:val="1C250273"/>
    <w:rsid w:val="1C363B31"/>
    <w:rsid w:val="1C4C3DE6"/>
    <w:rsid w:val="1C586363"/>
    <w:rsid w:val="1C5A1971"/>
    <w:rsid w:val="1C9571A6"/>
    <w:rsid w:val="1CEE0B2F"/>
    <w:rsid w:val="1D0C4666"/>
    <w:rsid w:val="1D0C6F11"/>
    <w:rsid w:val="1D183933"/>
    <w:rsid w:val="1D210A3A"/>
    <w:rsid w:val="1D807E56"/>
    <w:rsid w:val="1D84721B"/>
    <w:rsid w:val="1D992CC6"/>
    <w:rsid w:val="1DB23D88"/>
    <w:rsid w:val="1DEF19FF"/>
    <w:rsid w:val="1DF1580A"/>
    <w:rsid w:val="1E3824DF"/>
    <w:rsid w:val="1E426EBA"/>
    <w:rsid w:val="1E5C5ADE"/>
    <w:rsid w:val="1E5D0198"/>
    <w:rsid w:val="1E652BA8"/>
    <w:rsid w:val="1E7452A6"/>
    <w:rsid w:val="1E761259"/>
    <w:rsid w:val="1E9B0CC0"/>
    <w:rsid w:val="1EFA59E6"/>
    <w:rsid w:val="1F1E6E7B"/>
    <w:rsid w:val="1F3F1A1D"/>
    <w:rsid w:val="1F6D3CAF"/>
    <w:rsid w:val="1F882FF2"/>
    <w:rsid w:val="1FA871F0"/>
    <w:rsid w:val="1FB43DE7"/>
    <w:rsid w:val="1FB630C3"/>
    <w:rsid w:val="1FC16504"/>
    <w:rsid w:val="1FE50445"/>
    <w:rsid w:val="1FFD5D05"/>
    <w:rsid w:val="1FFE32B4"/>
    <w:rsid w:val="203060ED"/>
    <w:rsid w:val="203211B0"/>
    <w:rsid w:val="20645447"/>
    <w:rsid w:val="206F0270"/>
    <w:rsid w:val="20925CA2"/>
    <w:rsid w:val="2093568E"/>
    <w:rsid w:val="20A976C4"/>
    <w:rsid w:val="20B322F1"/>
    <w:rsid w:val="20D66B08"/>
    <w:rsid w:val="20DE14C4"/>
    <w:rsid w:val="20EA375E"/>
    <w:rsid w:val="210C1A01"/>
    <w:rsid w:val="21380A48"/>
    <w:rsid w:val="216C24A0"/>
    <w:rsid w:val="21D40771"/>
    <w:rsid w:val="22456F79"/>
    <w:rsid w:val="224F429B"/>
    <w:rsid w:val="226D4721"/>
    <w:rsid w:val="22A068A5"/>
    <w:rsid w:val="22CA6849"/>
    <w:rsid w:val="22E22A19"/>
    <w:rsid w:val="23046E34"/>
    <w:rsid w:val="23377209"/>
    <w:rsid w:val="23474F72"/>
    <w:rsid w:val="236118E9"/>
    <w:rsid w:val="237815D0"/>
    <w:rsid w:val="238B2CFD"/>
    <w:rsid w:val="238C0BD7"/>
    <w:rsid w:val="23952561"/>
    <w:rsid w:val="240F3CE2"/>
    <w:rsid w:val="242C4C9C"/>
    <w:rsid w:val="24480FA2"/>
    <w:rsid w:val="248C3BA3"/>
    <w:rsid w:val="24AF301D"/>
    <w:rsid w:val="24BD0A2C"/>
    <w:rsid w:val="24CF3471"/>
    <w:rsid w:val="24EC5DD1"/>
    <w:rsid w:val="25155B2C"/>
    <w:rsid w:val="252235A1"/>
    <w:rsid w:val="254C2D14"/>
    <w:rsid w:val="256829E7"/>
    <w:rsid w:val="2580476C"/>
    <w:rsid w:val="25873D4C"/>
    <w:rsid w:val="258A47E9"/>
    <w:rsid w:val="25D5565D"/>
    <w:rsid w:val="25F30EBE"/>
    <w:rsid w:val="26246FE8"/>
    <w:rsid w:val="26630315"/>
    <w:rsid w:val="26806C48"/>
    <w:rsid w:val="2697330D"/>
    <w:rsid w:val="269C7383"/>
    <w:rsid w:val="26C1503C"/>
    <w:rsid w:val="26C32B62"/>
    <w:rsid w:val="27147861"/>
    <w:rsid w:val="27286E69"/>
    <w:rsid w:val="273A1B83"/>
    <w:rsid w:val="274E52FB"/>
    <w:rsid w:val="277524DD"/>
    <w:rsid w:val="277976C4"/>
    <w:rsid w:val="27BD183F"/>
    <w:rsid w:val="27E2526A"/>
    <w:rsid w:val="28252869"/>
    <w:rsid w:val="282F45B1"/>
    <w:rsid w:val="28320E3C"/>
    <w:rsid w:val="289447B6"/>
    <w:rsid w:val="28C11323"/>
    <w:rsid w:val="28EF1972"/>
    <w:rsid w:val="28F6721F"/>
    <w:rsid w:val="2973234A"/>
    <w:rsid w:val="29746395"/>
    <w:rsid w:val="29D82DC8"/>
    <w:rsid w:val="29D83B67"/>
    <w:rsid w:val="2A5644EE"/>
    <w:rsid w:val="2A64640A"/>
    <w:rsid w:val="2A993665"/>
    <w:rsid w:val="2AE61515"/>
    <w:rsid w:val="2AE72EFF"/>
    <w:rsid w:val="2AEA4B61"/>
    <w:rsid w:val="2B275AF8"/>
    <w:rsid w:val="2B8A2A44"/>
    <w:rsid w:val="2BA07916"/>
    <w:rsid w:val="2BAE3DE1"/>
    <w:rsid w:val="2BB73F18"/>
    <w:rsid w:val="2BCF3D57"/>
    <w:rsid w:val="2BD0245E"/>
    <w:rsid w:val="2C140086"/>
    <w:rsid w:val="2C2440A3"/>
    <w:rsid w:val="2C267E1B"/>
    <w:rsid w:val="2C285B01"/>
    <w:rsid w:val="2C676EB0"/>
    <w:rsid w:val="2C74096C"/>
    <w:rsid w:val="2C8763E0"/>
    <w:rsid w:val="2CEA709A"/>
    <w:rsid w:val="2D031F0A"/>
    <w:rsid w:val="2D614E83"/>
    <w:rsid w:val="2D652BC5"/>
    <w:rsid w:val="2D88240F"/>
    <w:rsid w:val="2D8F7C42"/>
    <w:rsid w:val="2D9312AE"/>
    <w:rsid w:val="2D970F00"/>
    <w:rsid w:val="2DA25319"/>
    <w:rsid w:val="2DB43204"/>
    <w:rsid w:val="2DC94537"/>
    <w:rsid w:val="2DCB1885"/>
    <w:rsid w:val="2DDF4725"/>
    <w:rsid w:val="2E3600BD"/>
    <w:rsid w:val="2E3A5DFF"/>
    <w:rsid w:val="2E6330C4"/>
    <w:rsid w:val="2E6B420B"/>
    <w:rsid w:val="2E7035CF"/>
    <w:rsid w:val="2E76495E"/>
    <w:rsid w:val="2E953036"/>
    <w:rsid w:val="2E9C2616"/>
    <w:rsid w:val="2EA414CB"/>
    <w:rsid w:val="2EAA1167"/>
    <w:rsid w:val="2ED7364E"/>
    <w:rsid w:val="2EEC7C5F"/>
    <w:rsid w:val="2EF81EC8"/>
    <w:rsid w:val="2EFF1B09"/>
    <w:rsid w:val="2F07230D"/>
    <w:rsid w:val="2F0A3A24"/>
    <w:rsid w:val="2F193C67"/>
    <w:rsid w:val="2F2B2B24"/>
    <w:rsid w:val="2F364819"/>
    <w:rsid w:val="2F4D43BD"/>
    <w:rsid w:val="2F9B28CE"/>
    <w:rsid w:val="2FA71273"/>
    <w:rsid w:val="2FB35E69"/>
    <w:rsid w:val="2FC021F3"/>
    <w:rsid w:val="2FD858D0"/>
    <w:rsid w:val="2FD96459"/>
    <w:rsid w:val="30004E27"/>
    <w:rsid w:val="30026A02"/>
    <w:rsid w:val="3038636F"/>
    <w:rsid w:val="305F1B4D"/>
    <w:rsid w:val="30865720"/>
    <w:rsid w:val="309061AB"/>
    <w:rsid w:val="309A4933"/>
    <w:rsid w:val="309D4424"/>
    <w:rsid w:val="30AE4883"/>
    <w:rsid w:val="30B20D73"/>
    <w:rsid w:val="30DA39F7"/>
    <w:rsid w:val="30EE2ED1"/>
    <w:rsid w:val="30F46739"/>
    <w:rsid w:val="3102072B"/>
    <w:rsid w:val="311741D6"/>
    <w:rsid w:val="318A6232"/>
    <w:rsid w:val="3199690D"/>
    <w:rsid w:val="31C2361B"/>
    <w:rsid w:val="31CA2DDC"/>
    <w:rsid w:val="32186458"/>
    <w:rsid w:val="3243161E"/>
    <w:rsid w:val="32590284"/>
    <w:rsid w:val="327334E1"/>
    <w:rsid w:val="327D450D"/>
    <w:rsid w:val="327F5A08"/>
    <w:rsid w:val="32913013"/>
    <w:rsid w:val="329F26D5"/>
    <w:rsid w:val="32AC31F5"/>
    <w:rsid w:val="32DF2AD1"/>
    <w:rsid w:val="330A5695"/>
    <w:rsid w:val="331537EB"/>
    <w:rsid w:val="333A41AC"/>
    <w:rsid w:val="3344327C"/>
    <w:rsid w:val="336D632F"/>
    <w:rsid w:val="337C47C4"/>
    <w:rsid w:val="33883169"/>
    <w:rsid w:val="338C6A4A"/>
    <w:rsid w:val="339715E4"/>
    <w:rsid w:val="33B16C4C"/>
    <w:rsid w:val="33BC72B7"/>
    <w:rsid w:val="33CF0D98"/>
    <w:rsid w:val="33EA3E24"/>
    <w:rsid w:val="33EF4F96"/>
    <w:rsid w:val="33FB33E1"/>
    <w:rsid w:val="342A2472"/>
    <w:rsid w:val="342D0BB1"/>
    <w:rsid w:val="345179FF"/>
    <w:rsid w:val="34591F09"/>
    <w:rsid w:val="34897199"/>
    <w:rsid w:val="349D2C44"/>
    <w:rsid w:val="34A52AB8"/>
    <w:rsid w:val="34B23974"/>
    <w:rsid w:val="34E940DB"/>
    <w:rsid w:val="34ED4076"/>
    <w:rsid w:val="351C642D"/>
    <w:rsid w:val="35492DCC"/>
    <w:rsid w:val="355E1EC5"/>
    <w:rsid w:val="35EE27B6"/>
    <w:rsid w:val="35F1149A"/>
    <w:rsid w:val="36013107"/>
    <w:rsid w:val="36015455"/>
    <w:rsid w:val="360A2E43"/>
    <w:rsid w:val="36211653"/>
    <w:rsid w:val="36323860"/>
    <w:rsid w:val="36392E40"/>
    <w:rsid w:val="364A2958"/>
    <w:rsid w:val="366C1B88"/>
    <w:rsid w:val="367B5207"/>
    <w:rsid w:val="36D6243D"/>
    <w:rsid w:val="36E46146"/>
    <w:rsid w:val="36F31241"/>
    <w:rsid w:val="37377380"/>
    <w:rsid w:val="37BB6401"/>
    <w:rsid w:val="37CE75B8"/>
    <w:rsid w:val="37D33F2C"/>
    <w:rsid w:val="38066D52"/>
    <w:rsid w:val="382B0567"/>
    <w:rsid w:val="38327B47"/>
    <w:rsid w:val="386C0D24"/>
    <w:rsid w:val="387826B4"/>
    <w:rsid w:val="387E31B6"/>
    <w:rsid w:val="38C620B7"/>
    <w:rsid w:val="38D155B2"/>
    <w:rsid w:val="38D35896"/>
    <w:rsid w:val="38F848ED"/>
    <w:rsid w:val="391A0D07"/>
    <w:rsid w:val="39202096"/>
    <w:rsid w:val="393C6ED0"/>
    <w:rsid w:val="39753550"/>
    <w:rsid w:val="399777F9"/>
    <w:rsid w:val="39A93E39"/>
    <w:rsid w:val="39AE76A2"/>
    <w:rsid w:val="39E13E5C"/>
    <w:rsid w:val="39EB6200"/>
    <w:rsid w:val="3A0D1094"/>
    <w:rsid w:val="3A2636DC"/>
    <w:rsid w:val="3A4E724D"/>
    <w:rsid w:val="3A5913BB"/>
    <w:rsid w:val="3A5E2E76"/>
    <w:rsid w:val="3A751F6D"/>
    <w:rsid w:val="3A775CE5"/>
    <w:rsid w:val="3ACF167E"/>
    <w:rsid w:val="3AE01ADD"/>
    <w:rsid w:val="3AE15338"/>
    <w:rsid w:val="3AE25855"/>
    <w:rsid w:val="3AEA64B7"/>
    <w:rsid w:val="3AFB223A"/>
    <w:rsid w:val="3B6B7D37"/>
    <w:rsid w:val="3B81506E"/>
    <w:rsid w:val="3B84690C"/>
    <w:rsid w:val="3B9308FD"/>
    <w:rsid w:val="3BB173A5"/>
    <w:rsid w:val="3BB32D4D"/>
    <w:rsid w:val="3BC211E2"/>
    <w:rsid w:val="3BE06FFF"/>
    <w:rsid w:val="3BE253E0"/>
    <w:rsid w:val="3C1C08F2"/>
    <w:rsid w:val="3C250578"/>
    <w:rsid w:val="3C2679C3"/>
    <w:rsid w:val="3C3027F9"/>
    <w:rsid w:val="3C90774F"/>
    <w:rsid w:val="3CAA23A2"/>
    <w:rsid w:val="3CB31743"/>
    <w:rsid w:val="3CB61E3C"/>
    <w:rsid w:val="3CC209A1"/>
    <w:rsid w:val="3CCA739E"/>
    <w:rsid w:val="3CCF4E2A"/>
    <w:rsid w:val="3CD45671"/>
    <w:rsid w:val="3CE9331F"/>
    <w:rsid w:val="3CEF24AB"/>
    <w:rsid w:val="3CF61143"/>
    <w:rsid w:val="3D484A54"/>
    <w:rsid w:val="3D5A3DC8"/>
    <w:rsid w:val="3D793B23"/>
    <w:rsid w:val="3D856028"/>
    <w:rsid w:val="3D92499B"/>
    <w:rsid w:val="3D960B78"/>
    <w:rsid w:val="3E01267E"/>
    <w:rsid w:val="3E344619"/>
    <w:rsid w:val="3E3C34CE"/>
    <w:rsid w:val="3E8135D7"/>
    <w:rsid w:val="3E8D5AD7"/>
    <w:rsid w:val="3EA23BA4"/>
    <w:rsid w:val="3F0C11DC"/>
    <w:rsid w:val="3F115748"/>
    <w:rsid w:val="3F3E3276"/>
    <w:rsid w:val="3F4E170B"/>
    <w:rsid w:val="3F60143E"/>
    <w:rsid w:val="3F9904AC"/>
    <w:rsid w:val="3F9A32B7"/>
    <w:rsid w:val="3FA0183A"/>
    <w:rsid w:val="3FB17EB7"/>
    <w:rsid w:val="3FCA68B7"/>
    <w:rsid w:val="3FD95530"/>
    <w:rsid w:val="4024083B"/>
    <w:rsid w:val="404C5455"/>
    <w:rsid w:val="40C70712"/>
    <w:rsid w:val="40E21DA2"/>
    <w:rsid w:val="40E8793D"/>
    <w:rsid w:val="40F77B80"/>
    <w:rsid w:val="40FA41AB"/>
    <w:rsid w:val="410C362B"/>
    <w:rsid w:val="412A1D04"/>
    <w:rsid w:val="412A3AB2"/>
    <w:rsid w:val="412F1132"/>
    <w:rsid w:val="414032D5"/>
    <w:rsid w:val="414210F7"/>
    <w:rsid w:val="415274D3"/>
    <w:rsid w:val="41594D78"/>
    <w:rsid w:val="417E7959"/>
    <w:rsid w:val="41886A2A"/>
    <w:rsid w:val="41961147"/>
    <w:rsid w:val="41AF2209"/>
    <w:rsid w:val="41C061C4"/>
    <w:rsid w:val="41E21E95"/>
    <w:rsid w:val="41F27C60"/>
    <w:rsid w:val="42206C63"/>
    <w:rsid w:val="423D5A66"/>
    <w:rsid w:val="42470693"/>
    <w:rsid w:val="425C5EED"/>
    <w:rsid w:val="42752198"/>
    <w:rsid w:val="429B2728"/>
    <w:rsid w:val="42A47894"/>
    <w:rsid w:val="42CE4911"/>
    <w:rsid w:val="42EA6DFF"/>
    <w:rsid w:val="43087A30"/>
    <w:rsid w:val="43291081"/>
    <w:rsid w:val="435A7F52"/>
    <w:rsid w:val="435B012E"/>
    <w:rsid w:val="435D6A69"/>
    <w:rsid w:val="43615785"/>
    <w:rsid w:val="43993170"/>
    <w:rsid w:val="43A322E2"/>
    <w:rsid w:val="43F81C45"/>
    <w:rsid w:val="44625EBC"/>
    <w:rsid w:val="44663C80"/>
    <w:rsid w:val="449776B0"/>
    <w:rsid w:val="449A0F4E"/>
    <w:rsid w:val="44A43B7B"/>
    <w:rsid w:val="44EE7717"/>
    <w:rsid w:val="44EF7376"/>
    <w:rsid w:val="44F92119"/>
    <w:rsid w:val="450B1E4C"/>
    <w:rsid w:val="450B59A8"/>
    <w:rsid w:val="45362927"/>
    <w:rsid w:val="453E2817"/>
    <w:rsid w:val="455671FE"/>
    <w:rsid w:val="4568104C"/>
    <w:rsid w:val="458B6AE9"/>
    <w:rsid w:val="45D91F5D"/>
    <w:rsid w:val="46152F8B"/>
    <w:rsid w:val="461B0E79"/>
    <w:rsid w:val="461D300E"/>
    <w:rsid w:val="46203170"/>
    <w:rsid w:val="463177EE"/>
    <w:rsid w:val="46696E2A"/>
    <w:rsid w:val="46712183"/>
    <w:rsid w:val="46A11D57"/>
    <w:rsid w:val="46C83D2F"/>
    <w:rsid w:val="46D45844"/>
    <w:rsid w:val="46D71FE6"/>
    <w:rsid w:val="47305B9A"/>
    <w:rsid w:val="474653BD"/>
    <w:rsid w:val="476475F1"/>
    <w:rsid w:val="478D4176"/>
    <w:rsid w:val="479903C6"/>
    <w:rsid w:val="479C322F"/>
    <w:rsid w:val="47BF6BE7"/>
    <w:rsid w:val="47D8286F"/>
    <w:rsid w:val="481A3A9E"/>
    <w:rsid w:val="48270C9F"/>
    <w:rsid w:val="48474F49"/>
    <w:rsid w:val="485E04E5"/>
    <w:rsid w:val="48873598"/>
    <w:rsid w:val="48986C44"/>
    <w:rsid w:val="489F1A9F"/>
    <w:rsid w:val="48AC2FFE"/>
    <w:rsid w:val="48BD16AF"/>
    <w:rsid w:val="48C77E38"/>
    <w:rsid w:val="48EE7ABB"/>
    <w:rsid w:val="48FA1EAB"/>
    <w:rsid w:val="49064E04"/>
    <w:rsid w:val="492D6347"/>
    <w:rsid w:val="49376B9C"/>
    <w:rsid w:val="49804BB7"/>
    <w:rsid w:val="49825388"/>
    <w:rsid w:val="49A95790"/>
    <w:rsid w:val="49B900C8"/>
    <w:rsid w:val="49CB134B"/>
    <w:rsid w:val="4A814186"/>
    <w:rsid w:val="4A993A56"/>
    <w:rsid w:val="4AA05231"/>
    <w:rsid w:val="4AAA7A11"/>
    <w:rsid w:val="4AB77738"/>
    <w:rsid w:val="4AC74AE9"/>
    <w:rsid w:val="4AE90539"/>
    <w:rsid w:val="4AE922E8"/>
    <w:rsid w:val="4B15132F"/>
    <w:rsid w:val="4B290A61"/>
    <w:rsid w:val="4B2C55D8"/>
    <w:rsid w:val="4B5104CE"/>
    <w:rsid w:val="4B630235"/>
    <w:rsid w:val="4BA17066"/>
    <w:rsid w:val="4BCB3861"/>
    <w:rsid w:val="4C35155C"/>
    <w:rsid w:val="4C593195"/>
    <w:rsid w:val="4C883D82"/>
    <w:rsid w:val="4C8D1398"/>
    <w:rsid w:val="4C9364CA"/>
    <w:rsid w:val="4CA96713"/>
    <w:rsid w:val="4CB136A7"/>
    <w:rsid w:val="4CF51418"/>
    <w:rsid w:val="4D523F6D"/>
    <w:rsid w:val="4D583A52"/>
    <w:rsid w:val="4D6C6F43"/>
    <w:rsid w:val="4D7C2AB9"/>
    <w:rsid w:val="4D82166B"/>
    <w:rsid w:val="4DA8765B"/>
    <w:rsid w:val="4DAE5A6A"/>
    <w:rsid w:val="4DD202D7"/>
    <w:rsid w:val="4DDD3C5A"/>
    <w:rsid w:val="4DFE42FC"/>
    <w:rsid w:val="4E395334"/>
    <w:rsid w:val="4E5A39BF"/>
    <w:rsid w:val="4E600B13"/>
    <w:rsid w:val="4E760336"/>
    <w:rsid w:val="4E916F1E"/>
    <w:rsid w:val="4E992277"/>
    <w:rsid w:val="4EA416E7"/>
    <w:rsid w:val="4EBB21ED"/>
    <w:rsid w:val="4EBD7D4D"/>
    <w:rsid w:val="4EE2777A"/>
    <w:rsid w:val="4F0A0A7E"/>
    <w:rsid w:val="4F0C1C10"/>
    <w:rsid w:val="4F2E7660"/>
    <w:rsid w:val="4F400944"/>
    <w:rsid w:val="4F5F3B48"/>
    <w:rsid w:val="4FA42819"/>
    <w:rsid w:val="4FA7451F"/>
    <w:rsid w:val="4FB05ACA"/>
    <w:rsid w:val="4FD86DCF"/>
    <w:rsid w:val="4FEE65F2"/>
    <w:rsid w:val="4FF65C4A"/>
    <w:rsid w:val="506F4906"/>
    <w:rsid w:val="507813C6"/>
    <w:rsid w:val="50834F8C"/>
    <w:rsid w:val="50846F35"/>
    <w:rsid w:val="50903205"/>
    <w:rsid w:val="50973136"/>
    <w:rsid w:val="50AC58B8"/>
    <w:rsid w:val="50B923F3"/>
    <w:rsid w:val="50E7551B"/>
    <w:rsid w:val="51114346"/>
    <w:rsid w:val="513444D8"/>
    <w:rsid w:val="51413CD0"/>
    <w:rsid w:val="51417051"/>
    <w:rsid w:val="515F522B"/>
    <w:rsid w:val="51786C05"/>
    <w:rsid w:val="518965D2"/>
    <w:rsid w:val="51AD23AB"/>
    <w:rsid w:val="51D0752F"/>
    <w:rsid w:val="51DE1435"/>
    <w:rsid w:val="523A5B1F"/>
    <w:rsid w:val="523A78CD"/>
    <w:rsid w:val="52BD45AC"/>
    <w:rsid w:val="52D054FF"/>
    <w:rsid w:val="530A1F9F"/>
    <w:rsid w:val="533802B0"/>
    <w:rsid w:val="5349426B"/>
    <w:rsid w:val="537D3F15"/>
    <w:rsid w:val="5382393B"/>
    <w:rsid w:val="53AA2130"/>
    <w:rsid w:val="53B35B89"/>
    <w:rsid w:val="53D051D1"/>
    <w:rsid w:val="53D33B35"/>
    <w:rsid w:val="540168F4"/>
    <w:rsid w:val="540F44B7"/>
    <w:rsid w:val="54531D4B"/>
    <w:rsid w:val="547215A0"/>
    <w:rsid w:val="54A80623"/>
    <w:rsid w:val="54AB5F5C"/>
    <w:rsid w:val="54AC1CC0"/>
    <w:rsid w:val="54DC2EBD"/>
    <w:rsid w:val="54DF0561"/>
    <w:rsid w:val="54F767BE"/>
    <w:rsid w:val="55004DFD"/>
    <w:rsid w:val="553625CD"/>
    <w:rsid w:val="554A7DEE"/>
    <w:rsid w:val="555148AC"/>
    <w:rsid w:val="5572737D"/>
    <w:rsid w:val="55A75279"/>
    <w:rsid w:val="55B32BE8"/>
    <w:rsid w:val="55B6176B"/>
    <w:rsid w:val="55BE4C42"/>
    <w:rsid w:val="55D3606E"/>
    <w:rsid w:val="55DF007A"/>
    <w:rsid w:val="56326065"/>
    <w:rsid w:val="563D6370"/>
    <w:rsid w:val="564309EB"/>
    <w:rsid w:val="56464A92"/>
    <w:rsid w:val="566D64C3"/>
    <w:rsid w:val="56737851"/>
    <w:rsid w:val="56867733"/>
    <w:rsid w:val="56CB273B"/>
    <w:rsid w:val="56CB4C99"/>
    <w:rsid w:val="57435475"/>
    <w:rsid w:val="578255CE"/>
    <w:rsid w:val="57C62F3F"/>
    <w:rsid w:val="57D23A02"/>
    <w:rsid w:val="57D63C5E"/>
    <w:rsid w:val="58150BC0"/>
    <w:rsid w:val="581A4428"/>
    <w:rsid w:val="58421289"/>
    <w:rsid w:val="587578B0"/>
    <w:rsid w:val="58C919AA"/>
    <w:rsid w:val="591460E1"/>
    <w:rsid w:val="59154BEF"/>
    <w:rsid w:val="59232064"/>
    <w:rsid w:val="592B4EA9"/>
    <w:rsid w:val="593A0E1B"/>
    <w:rsid w:val="594C3C63"/>
    <w:rsid w:val="595C281E"/>
    <w:rsid w:val="5963595B"/>
    <w:rsid w:val="59B15C12"/>
    <w:rsid w:val="59BC1DD2"/>
    <w:rsid w:val="59C4289D"/>
    <w:rsid w:val="59C77C98"/>
    <w:rsid w:val="59DB7BE7"/>
    <w:rsid w:val="59E135B0"/>
    <w:rsid w:val="59FD190B"/>
    <w:rsid w:val="5A0C1B4F"/>
    <w:rsid w:val="5A517EA9"/>
    <w:rsid w:val="5A551748"/>
    <w:rsid w:val="5A594395"/>
    <w:rsid w:val="5A6835B3"/>
    <w:rsid w:val="5A753B98"/>
    <w:rsid w:val="5A7F2D25"/>
    <w:rsid w:val="5A8838A1"/>
    <w:rsid w:val="5AA12AF6"/>
    <w:rsid w:val="5AB04179"/>
    <w:rsid w:val="5AC71F19"/>
    <w:rsid w:val="5AD703AE"/>
    <w:rsid w:val="5B5318C2"/>
    <w:rsid w:val="5B57329D"/>
    <w:rsid w:val="5B5C08B4"/>
    <w:rsid w:val="5B6360E6"/>
    <w:rsid w:val="5B9A6F42"/>
    <w:rsid w:val="5BB4249E"/>
    <w:rsid w:val="5BB43B62"/>
    <w:rsid w:val="5BFD3E45"/>
    <w:rsid w:val="5C007491"/>
    <w:rsid w:val="5C142F3C"/>
    <w:rsid w:val="5C2E2250"/>
    <w:rsid w:val="5C5F68AD"/>
    <w:rsid w:val="5C611BAE"/>
    <w:rsid w:val="5C796266"/>
    <w:rsid w:val="5C7B0D78"/>
    <w:rsid w:val="5C9127DF"/>
    <w:rsid w:val="5CB14C2F"/>
    <w:rsid w:val="5CD64696"/>
    <w:rsid w:val="5CE45005"/>
    <w:rsid w:val="5CE80706"/>
    <w:rsid w:val="5D2E07B3"/>
    <w:rsid w:val="5D3254A4"/>
    <w:rsid w:val="5D970078"/>
    <w:rsid w:val="5DB06D69"/>
    <w:rsid w:val="5DCF1811"/>
    <w:rsid w:val="5DDB1F64"/>
    <w:rsid w:val="5DDD16DD"/>
    <w:rsid w:val="5DDE1A54"/>
    <w:rsid w:val="5DE35C37"/>
    <w:rsid w:val="5DF272AD"/>
    <w:rsid w:val="5DFC31B0"/>
    <w:rsid w:val="5E420235"/>
    <w:rsid w:val="5E740CAF"/>
    <w:rsid w:val="5E7B72A3"/>
    <w:rsid w:val="5E9D190F"/>
    <w:rsid w:val="5ED21D1B"/>
    <w:rsid w:val="5F1D65AC"/>
    <w:rsid w:val="5F296CFF"/>
    <w:rsid w:val="5F41673E"/>
    <w:rsid w:val="5F8609B3"/>
    <w:rsid w:val="5FFC08B7"/>
    <w:rsid w:val="60085718"/>
    <w:rsid w:val="604F6CED"/>
    <w:rsid w:val="60540293"/>
    <w:rsid w:val="60561D75"/>
    <w:rsid w:val="6067103B"/>
    <w:rsid w:val="608E0E50"/>
    <w:rsid w:val="60B63F08"/>
    <w:rsid w:val="60DB04CD"/>
    <w:rsid w:val="60E3046B"/>
    <w:rsid w:val="61333069"/>
    <w:rsid w:val="613C7EFA"/>
    <w:rsid w:val="6146003C"/>
    <w:rsid w:val="619F27FC"/>
    <w:rsid w:val="625422E5"/>
    <w:rsid w:val="625D412A"/>
    <w:rsid w:val="62726C0F"/>
    <w:rsid w:val="62DB2A06"/>
    <w:rsid w:val="62F15D85"/>
    <w:rsid w:val="631657EC"/>
    <w:rsid w:val="632223E3"/>
    <w:rsid w:val="63352B22"/>
    <w:rsid w:val="634458AE"/>
    <w:rsid w:val="63506F50"/>
    <w:rsid w:val="63727777"/>
    <w:rsid w:val="63C20B3C"/>
    <w:rsid w:val="63C811DC"/>
    <w:rsid w:val="63DA0F0F"/>
    <w:rsid w:val="63F444C1"/>
    <w:rsid w:val="63F44780"/>
    <w:rsid w:val="640970FF"/>
    <w:rsid w:val="641849EA"/>
    <w:rsid w:val="64223687"/>
    <w:rsid w:val="64524F4A"/>
    <w:rsid w:val="6461518D"/>
    <w:rsid w:val="649D58E8"/>
    <w:rsid w:val="649F39B1"/>
    <w:rsid w:val="64AD2180"/>
    <w:rsid w:val="64CC0858"/>
    <w:rsid w:val="64CF659A"/>
    <w:rsid w:val="64E8140A"/>
    <w:rsid w:val="64FC4B6A"/>
    <w:rsid w:val="6529123F"/>
    <w:rsid w:val="652A3E03"/>
    <w:rsid w:val="657D7DA4"/>
    <w:rsid w:val="658E3D60"/>
    <w:rsid w:val="65CA4229"/>
    <w:rsid w:val="65D52658"/>
    <w:rsid w:val="65E63B9C"/>
    <w:rsid w:val="65E6594A"/>
    <w:rsid w:val="65EA1882"/>
    <w:rsid w:val="6649596B"/>
    <w:rsid w:val="664A412A"/>
    <w:rsid w:val="666B22F3"/>
    <w:rsid w:val="66916FB4"/>
    <w:rsid w:val="66CD4D5B"/>
    <w:rsid w:val="66DE0D17"/>
    <w:rsid w:val="66E16111"/>
    <w:rsid w:val="67103C55"/>
    <w:rsid w:val="67104708"/>
    <w:rsid w:val="67252EEC"/>
    <w:rsid w:val="674E0D9C"/>
    <w:rsid w:val="675863D3"/>
    <w:rsid w:val="67746ECA"/>
    <w:rsid w:val="67753429"/>
    <w:rsid w:val="67B37ECB"/>
    <w:rsid w:val="67B97A73"/>
    <w:rsid w:val="67BA52E0"/>
    <w:rsid w:val="67E1461B"/>
    <w:rsid w:val="67FA0C0D"/>
    <w:rsid w:val="681D4BB4"/>
    <w:rsid w:val="681D7251"/>
    <w:rsid w:val="684670AF"/>
    <w:rsid w:val="686239C2"/>
    <w:rsid w:val="6870599E"/>
    <w:rsid w:val="68727109"/>
    <w:rsid w:val="688B573A"/>
    <w:rsid w:val="688D02FE"/>
    <w:rsid w:val="68953CA0"/>
    <w:rsid w:val="68A1024E"/>
    <w:rsid w:val="68A85133"/>
    <w:rsid w:val="68D93544"/>
    <w:rsid w:val="68F05AD4"/>
    <w:rsid w:val="690F3409"/>
    <w:rsid w:val="691A2DC5"/>
    <w:rsid w:val="691E364C"/>
    <w:rsid w:val="69201173"/>
    <w:rsid w:val="6966210D"/>
    <w:rsid w:val="697A298C"/>
    <w:rsid w:val="698E2580"/>
    <w:rsid w:val="69AE677E"/>
    <w:rsid w:val="69AF0748"/>
    <w:rsid w:val="69B12439"/>
    <w:rsid w:val="69B95123"/>
    <w:rsid w:val="69DB32BB"/>
    <w:rsid w:val="69EC6364"/>
    <w:rsid w:val="69F525FF"/>
    <w:rsid w:val="6A162576"/>
    <w:rsid w:val="6A3F39DB"/>
    <w:rsid w:val="6A4470E3"/>
    <w:rsid w:val="6A6A4BA8"/>
    <w:rsid w:val="6A7F45BF"/>
    <w:rsid w:val="6A7F636D"/>
    <w:rsid w:val="6A962C17"/>
    <w:rsid w:val="6AA16147"/>
    <w:rsid w:val="6AA53FB3"/>
    <w:rsid w:val="6AB26742"/>
    <w:rsid w:val="6AE82164"/>
    <w:rsid w:val="6B2534C0"/>
    <w:rsid w:val="6B947BF6"/>
    <w:rsid w:val="6B9F4EA6"/>
    <w:rsid w:val="6C0516E7"/>
    <w:rsid w:val="6C07661A"/>
    <w:rsid w:val="6C2E3BA6"/>
    <w:rsid w:val="6C343264"/>
    <w:rsid w:val="6C6F6FCE"/>
    <w:rsid w:val="6C727F37"/>
    <w:rsid w:val="6C960A99"/>
    <w:rsid w:val="6C9F3DCD"/>
    <w:rsid w:val="6CA13C29"/>
    <w:rsid w:val="6CDB5FFD"/>
    <w:rsid w:val="6D1F7993"/>
    <w:rsid w:val="6D4A4A10"/>
    <w:rsid w:val="6D505D9E"/>
    <w:rsid w:val="6D521B17"/>
    <w:rsid w:val="6D57712D"/>
    <w:rsid w:val="6DAA3701"/>
    <w:rsid w:val="6DD72B83"/>
    <w:rsid w:val="6DF46E10"/>
    <w:rsid w:val="6E072901"/>
    <w:rsid w:val="6E133EA4"/>
    <w:rsid w:val="6E5B49FB"/>
    <w:rsid w:val="6E687E67"/>
    <w:rsid w:val="6EA45A91"/>
    <w:rsid w:val="6EBA6FC6"/>
    <w:rsid w:val="6ED00F45"/>
    <w:rsid w:val="6EF55F95"/>
    <w:rsid w:val="6F0B01CF"/>
    <w:rsid w:val="6F205B4F"/>
    <w:rsid w:val="6F2D45E9"/>
    <w:rsid w:val="6F3516F0"/>
    <w:rsid w:val="6F3A0AB4"/>
    <w:rsid w:val="6F430D98"/>
    <w:rsid w:val="6F631DB9"/>
    <w:rsid w:val="6F9401C4"/>
    <w:rsid w:val="6FC7059A"/>
    <w:rsid w:val="6FCC14A6"/>
    <w:rsid w:val="6FCC795E"/>
    <w:rsid w:val="6FD17CF0"/>
    <w:rsid w:val="700A0487"/>
    <w:rsid w:val="70196898"/>
    <w:rsid w:val="70232A34"/>
    <w:rsid w:val="70331185"/>
    <w:rsid w:val="703C0F56"/>
    <w:rsid w:val="70AB3A18"/>
    <w:rsid w:val="70B71578"/>
    <w:rsid w:val="70E85996"/>
    <w:rsid w:val="70F57389"/>
    <w:rsid w:val="70FC24C5"/>
    <w:rsid w:val="71025602"/>
    <w:rsid w:val="710E21F8"/>
    <w:rsid w:val="71303F5E"/>
    <w:rsid w:val="71483C97"/>
    <w:rsid w:val="716821A6"/>
    <w:rsid w:val="71BE59CD"/>
    <w:rsid w:val="71E12284"/>
    <w:rsid w:val="720E5936"/>
    <w:rsid w:val="723034E9"/>
    <w:rsid w:val="724B08B6"/>
    <w:rsid w:val="726A5B3D"/>
    <w:rsid w:val="726E11A1"/>
    <w:rsid w:val="727D60AE"/>
    <w:rsid w:val="728E1843"/>
    <w:rsid w:val="72AE77EF"/>
    <w:rsid w:val="72CE60E3"/>
    <w:rsid w:val="72D164E9"/>
    <w:rsid w:val="731A4E85"/>
    <w:rsid w:val="73441F01"/>
    <w:rsid w:val="7375655F"/>
    <w:rsid w:val="738B7B30"/>
    <w:rsid w:val="739015EB"/>
    <w:rsid w:val="73AA445A"/>
    <w:rsid w:val="73B2330F"/>
    <w:rsid w:val="73B36D4C"/>
    <w:rsid w:val="73BE4472"/>
    <w:rsid w:val="73DD28F5"/>
    <w:rsid w:val="7412568B"/>
    <w:rsid w:val="742C1313"/>
    <w:rsid w:val="74714F78"/>
    <w:rsid w:val="74890514"/>
    <w:rsid w:val="748D1686"/>
    <w:rsid w:val="749E11D9"/>
    <w:rsid w:val="75521B92"/>
    <w:rsid w:val="756A5E7A"/>
    <w:rsid w:val="75711A3B"/>
    <w:rsid w:val="75B85909"/>
    <w:rsid w:val="760F4A49"/>
    <w:rsid w:val="76283D5C"/>
    <w:rsid w:val="76373F9F"/>
    <w:rsid w:val="763B379D"/>
    <w:rsid w:val="76BF3ED8"/>
    <w:rsid w:val="76F510B4"/>
    <w:rsid w:val="76F53C3E"/>
    <w:rsid w:val="771A18F7"/>
    <w:rsid w:val="77291B3A"/>
    <w:rsid w:val="773F2F9D"/>
    <w:rsid w:val="774A5C62"/>
    <w:rsid w:val="777059BB"/>
    <w:rsid w:val="77A13A95"/>
    <w:rsid w:val="77C655DB"/>
    <w:rsid w:val="77DA4BE2"/>
    <w:rsid w:val="77E048EF"/>
    <w:rsid w:val="77F101E9"/>
    <w:rsid w:val="77FC7AB0"/>
    <w:rsid w:val="781225CE"/>
    <w:rsid w:val="782B3690"/>
    <w:rsid w:val="783B7D77"/>
    <w:rsid w:val="788039DC"/>
    <w:rsid w:val="79020895"/>
    <w:rsid w:val="79075EAB"/>
    <w:rsid w:val="7992712A"/>
    <w:rsid w:val="79A82583"/>
    <w:rsid w:val="79AB64CC"/>
    <w:rsid w:val="79DA536E"/>
    <w:rsid w:val="7A053E54"/>
    <w:rsid w:val="7A1E34AC"/>
    <w:rsid w:val="7A2C24E2"/>
    <w:rsid w:val="7A462A03"/>
    <w:rsid w:val="7A7B2E7E"/>
    <w:rsid w:val="7A9C5DCD"/>
    <w:rsid w:val="7ABC4A73"/>
    <w:rsid w:val="7AD95625"/>
    <w:rsid w:val="7B123AEB"/>
    <w:rsid w:val="7B1623D5"/>
    <w:rsid w:val="7B21171B"/>
    <w:rsid w:val="7B3D7962"/>
    <w:rsid w:val="7B4C22BA"/>
    <w:rsid w:val="7B785837"/>
    <w:rsid w:val="7BA57C9B"/>
    <w:rsid w:val="7BBF0CBF"/>
    <w:rsid w:val="7BD50B21"/>
    <w:rsid w:val="7BDD2EF3"/>
    <w:rsid w:val="7BEE3352"/>
    <w:rsid w:val="7BF81ADB"/>
    <w:rsid w:val="7C2E1D59"/>
    <w:rsid w:val="7C801D81"/>
    <w:rsid w:val="7CA0289E"/>
    <w:rsid w:val="7CAF663E"/>
    <w:rsid w:val="7CDC4F4D"/>
    <w:rsid w:val="7CF61B4A"/>
    <w:rsid w:val="7D146DE8"/>
    <w:rsid w:val="7D1B7D8D"/>
    <w:rsid w:val="7D470F6C"/>
    <w:rsid w:val="7D6F401F"/>
    <w:rsid w:val="7D935F5F"/>
    <w:rsid w:val="7DBB54B6"/>
    <w:rsid w:val="7DE40569"/>
    <w:rsid w:val="7E655B4E"/>
    <w:rsid w:val="7E9D3AAE"/>
    <w:rsid w:val="7EA1645A"/>
    <w:rsid w:val="7EB1766C"/>
    <w:rsid w:val="7EDB7D0A"/>
    <w:rsid w:val="7F052E8D"/>
    <w:rsid w:val="7F1135E0"/>
    <w:rsid w:val="7F160BF6"/>
    <w:rsid w:val="7F2257ED"/>
    <w:rsid w:val="7F361DF0"/>
    <w:rsid w:val="7F4A6AF1"/>
    <w:rsid w:val="7F565496"/>
    <w:rsid w:val="7F741DC0"/>
    <w:rsid w:val="7FAA7590"/>
    <w:rsid w:val="7FD52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autoRedefine/>
    <w:qFormat/>
    <w:uiPriority w:val="0"/>
    <w:pPr>
      <w:keepNext/>
      <w:keepLines/>
      <w:spacing w:line="576" w:lineRule="auto"/>
      <w:outlineLvl w:val="0"/>
    </w:pPr>
    <w:rPr>
      <w:b/>
      <w:kern w:val="44"/>
      <w:sz w:val="44"/>
    </w:rPr>
  </w:style>
  <w:style w:type="paragraph" w:styleId="3">
    <w:name w:val="heading 2"/>
    <w:basedOn w:val="1"/>
    <w:next w:val="4"/>
    <w:autoRedefine/>
    <w:qFormat/>
    <w:uiPriority w:val="0"/>
    <w:pPr>
      <w:keepNext/>
      <w:keepLines/>
      <w:outlineLvl w:val="1"/>
    </w:pPr>
    <w:rPr>
      <w:rFonts w:eastAsia="黑体"/>
      <w:b/>
      <w:sz w:val="32"/>
      <w:szCs w:val="32"/>
    </w:rPr>
  </w:style>
  <w:style w:type="paragraph" w:styleId="7">
    <w:name w:val="heading 3"/>
    <w:basedOn w:val="1"/>
    <w:next w:val="1"/>
    <w:autoRedefine/>
    <w:qFormat/>
    <w:uiPriority w:val="0"/>
    <w:pPr>
      <w:keepNext/>
      <w:keepLines/>
      <w:spacing w:before="260" w:after="260" w:line="416" w:lineRule="auto"/>
      <w:outlineLvl w:val="2"/>
    </w:pPr>
    <w:rPr>
      <w:b/>
      <w:bCs/>
      <w:sz w:val="32"/>
      <w:szCs w:val="32"/>
    </w:rPr>
  </w:style>
  <w:style w:type="paragraph" w:styleId="8">
    <w:name w:val="heading 4"/>
    <w:basedOn w:val="1"/>
    <w:next w:val="1"/>
    <w:autoRedefine/>
    <w:qFormat/>
    <w:uiPriority w:val="0"/>
    <w:pPr>
      <w:keepNext/>
      <w:keepLines/>
      <w:spacing w:before="280" w:after="290" w:line="376" w:lineRule="auto"/>
      <w:outlineLvl w:val="3"/>
    </w:pPr>
    <w:rPr>
      <w:rFonts w:eastAsia="黑体"/>
      <w:b/>
      <w:bCs/>
      <w:sz w:val="28"/>
      <w:szCs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4">
    <w:name w:val="Body Text First Indent"/>
    <w:basedOn w:val="5"/>
    <w:next w:val="6"/>
    <w:autoRedefine/>
    <w:qFormat/>
    <w:uiPriority w:val="0"/>
    <w:pPr>
      <w:spacing w:after="120" w:line="240" w:lineRule="auto"/>
      <w:ind w:firstLine="420" w:firstLineChars="100"/>
    </w:pPr>
    <w:rPr>
      <w:sz w:val="24"/>
    </w:rPr>
  </w:style>
  <w:style w:type="paragraph" w:styleId="5">
    <w:name w:val="Body Text"/>
    <w:basedOn w:val="1"/>
    <w:next w:val="4"/>
    <w:autoRedefine/>
    <w:qFormat/>
    <w:uiPriority w:val="0"/>
    <w:pPr>
      <w:spacing w:line="300" w:lineRule="auto"/>
    </w:pPr>
    <w:rPr>
      <w:sz w:val="28"/>
      <w:szCs w:val="20"/>
    </w:rPr>
  </w:style>
  <w:style w:type="paragraph" w:styleId="6">
    <w:name w:val="toc 6"/>
    <w:basedOn w:val="1"/>
    <w:next w:val="1"/>
    <w:autoRedefine/>
    <w:qFormat/>
    <w:uiPriority w:val="39"/>
    <w:pPr>
      <w:ind w:left="2100" w:leftChars="1000"/>
    </w:pPr>
  </w:style>
  <w:style w:type="paragraph" w:styleId="9">
    <w:name w:val="Normal Indent"/>
    <w:basedOn w:val="1"/>
    <w:autoRedefine/>
    <w:qFormat/>
    <w:uiPriority w:val="0"/>
    <w:pPr>
      <w:ind w:firstLine="488"/>
    </w:pPr>
    <w:rPr>
      <w:sz w:val="24"/>
      <w:szCs w:val="20"/>
    </w:rPr>
  </w:style>
  <w:style w:type="paragraph" w:styleId="10">
    <w:name w:val="annotation text"/>
    <w:basedOn w:val="1"/>
    <w:autoRedefine/>
    <w:qFormat/>
    <w:uiPriority w:val="0"/>
  </w:style>
  <w:style w:type="paragraph" w:styleId="11">
    <w:name w:val="Body Text Indent"/>
    <w:basedOn w:val="1"/>
    <w:next w:val="1"/>
    <w:autoRedefine/>
    <w:qFormat/>
    <w:uiPriority w:val="0"/>
    <w:pPr>
      <w:ind w:left="420" w:leftChars="200"/>
    </w:pPr>
  </w:style>
  <w:style w:type="paragraph" w:styleId="12">
    <w:name w:val="toc 3"/>
    <w:basedOn w:val="1"/>
    <w:next w:val="1"/>
    <w:autoRedefine/>
    <w:qFormat/>
    <w:uiPriority w:val="0"/>
    <w:pPr>
      <w:ind w:left="840" w:leftChars="400"/>
    </w:pPr>
  </w:style>
  <w:style w:type="paragraph" w:styleId="13">
    <w:name w:val="Plain Text"/>
    <w:basedOn w:val="1"/>
    <w:autoRedefine/>
    <w:qFormat/>
    <w:uiPriority w:val="0"/>
    <w:rPr>
      <w:rFonts w:ascii="Courier New" w:hAnsi="Courier New" w:eastAsia="微软雅黑"/>
      <w:szCs w:val="20"/>
    </w:rPr>
  </w:style>
  <w:style w:type="paragraph" w:styleId="14">
    <w:name w:val="Body Text Indent 2"/>
    <w:basedOn w:val="1"/>
    <w:autoRedefine/>
    <w:qFormat/>
    <w:uiPriority w:val="0"/>
    <w:pPr>
      <w:spacing w:after="120" w:line="480" w:lineRule="auto"/>
      <w:ind w:left="420" w:leftChars="200"/>
    </w:pPr>
  </w:style>
  <w:style w:type="paragraph" w:styleId="15">
    <w:name w:val="Balloon Text"/>
    <w:basedOn w:val="1"/>
    <w:link w:val="49"/>
    <w:autoRedefine/>
    <w:qFormat/>
    <w:uiPriority w:val="0"/>
    <w:rPr>
      <w:sz w:val="18"/>
      <w:szCs w:val="18"/>
    </w:rPr>
  </w:style>
  <w:style w:type="paragraph" w:styleId="16">
    <w:name w:val="footer"/>
    <w:basedOn w:val="1"/>
    <w:autoRedefine/>
    <w:qFormat/>
    <w:uiPriority w:val="0"/>
    <w:pPr>
      <w:tabs>
        <w:tab w:val="center" w:pos="4153"/>
        <w:tab w:val="right" w:pos="8306"/>
      </w:tabs>
    </w:pPr>
    <w:rPr>
      <w:sz w:val="18"/>
    </w:rPr>
  </w:style>
  <w:style w:type="paragraph" w:styleId="17">
    <w:name w:val="header"/>
    <w:basedOn w:val="1"/>
    <w:link w:val="50"/>
    <w:autoRedefine/>
    <w:qFormat/>
    <w:uiPriority w:val="0"/>
    <w:pPr>
      <w:pBdr>
        <w:bottom w:val="single" w:color="auto" w:sz="6" w:space="1"/>
      </w:pBdr>
      <w:tabs>
        <w:tab w:val="center" w:pos="4153"/>
        <w:tab w:val="right" w:pos="8306"/>
      </w:tabs>
      <w:jc w:val="center"/>
    </w:pPr>
    <w:rPr>
      <w:sz w:val="18"/>
      <w:szCs w:val="18"/>
    </w:rPr>
  </w:style>
  <w:style w:type="paragraph" w:styleId="18">
    <w:name w:val="toc 1"/>
    <w:basedOn w:val="1"/>
    <w:next w:val="1"/>
    <w:autoRedefine/>
    <w:qFormat/>
    <w:uiPriority w:val="0"/>
    <w:pPr>
      <w:spacing w:before="120" w:after="120" w:line="360" w:lineRule="auto"/>
      <w:jc w:val="center"/>
    </w:pPr>
    <w:rPr>
      <w:rFonts w:ascii="Calibri" w:hAnsi="Calibri"/>
      <w:b/>
      <w:bCs/>
      <w:caps/>
      <w:sz w:val="20"/>
      <w:szCs w:val="20"/>
    </w:rPr>
  </w:style>
  <w:style w:type="paragraph" w:styleId="19">
    <w:name w:val="toc 2"/>
    <w:basedOn w:val="1"/>
    <w:next w:val="1"/>
    <w:autoRedefine/>
    <w:qFormat/>
    <w:uiPriority w:val="0"/>
    <w:pPr>
      <w:ind w:left="420" w:leftChars="200"/>
    </w:pPr>
  </w:style>
  <w:style w:type="paragraph" w:styleId="20">
    <w:name w:val="Normal (Web)"/>
    <w:basedOn w:val="1"/>
    <w:autoRedefine/>
    <w:qFormat/>
    <w:uiPriority w:val="0"/>
    <w:pPr>
      <w:spacing w:before="100" w:beforeAutospacing="1" w:after="100" w:afterAutospacing="1"/>
    </w:pPr>
    <w:rPr>
      <w:rFonts w:cs="Times New Roman"/>
      <w:sz w:val="24"/>
    </w:rPr>
  </w:style>
  <w:style w:type="paragraph" w:styleId="21">
    <w:name w:val="Body Text First Indent 2"/>
    <w:basedOn w:val="11"/>
    <w:autoRedefine/>
    <w:qFormat/>
    <w:uiPriority w:val="0"/>
    <w:pPr>
      <w:ind w:left="200" w:firstLine="200" w:firstLineChars="200"/>
    </w:p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FollowedHyperlink"/>
    <w:basedOn w:val="24"/>
    <w:autoRedefine/>
    <w:qFormat/>
    <w:uiPriority w:val="0"/>
    <w:rPr>
      <w:color w:val="333333"/>
      <w:u w:val="none"/>
    </w:rPr>
  </w:style>
  <w:style w:type="character" w:styleId="26">
    <w:name w:val="Hyperlink"/>
    <w:basedOn w:val="24"/>
    <w:autoRedefine/>
    <w:qFormat/>
    <w:uiPriority w:val="0"/>
    <w:rPr>
      <w:color w:val="333333"/>
      <w:u w:val="none"/>
    </w:rPr>
  </w:style>
  <w:style w:type="paragraph" w:customStyle="1" w:styleId="27">
    <w:name w:val="章正文"/>
    <w:basedOn w:val="1"/>
    <w:autoRedefine/>
    <w:qFormat/>
    <w:uiPriority w:val="0"/>
    <w:pPr>
      <w:spacing w:beforeLines="50" w:after="120" w:line="300" w:lineRule="auto"/>
      <w:ind w:firstLine="480"/>
    </w:pPr>
    <w:rPr>
      <w:rFonts w:ascii="Helvetica" w:hAnsi="Helvetica"/>
      <w:sz w:val="24"/>
      <w:szCs w:val="24"/>
    </w:rPr>
  </w:style>
  <w:style w:type="table" w:customStyle="1" w:styleId="28">
    <w:name w:val="Table Normal"/>
    <w:autoRedefine/>
    <w:semiHidden/>
    <w:unhideWhenUsed/>
    <w:qFormat/>
    <w:uiPriority w:val="0"/>
    <w:tblPr>
      <w:tblCellMar>
        <w:top w:w="0" w:type="dxa"/>
        <w:left w:w="0" w:type="dxa"/>
        <w:bottom w:w="0" w:type="dxa"/>
        <w:right w:w="0" w:type="dxa"/>
      </w:tblCellMar>
    </w:tblPr>
  </w:style>
  <w:style w:type="paragraph" w:customStyle="1" w:styleId="2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0">
    <w:name w:val="Body text|1"/>
    <w:basedOn w:val="1"/>
    <w:autoRedefine/>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customStyle="1" w:styleId="31">
    <w:name w:val="Body text|3"/>
    <w:basedOn w:val="1"/>
    <w:autoRedefine/>
    <w:qFormat/>
    <w:uiPriority w:val="0"/>
    <w:pPr>
      <w:widowControl w:val="0"/>
      <w:kinsoku/>
      <w:autoSpaceDE/>
      <w:autoSpaceDN/>
      <w:adjustRightInd/>
      <w:snapToGrid/>
      <w:spacing w:after="1330"/>
      <w:textAlignment w:val="auto"/>
    </w:pPr>
    <w:rPr>
      <w:rFonts w:ascii="宋体" w:hAnsi="宋体" w:eastAsia="宋体" w:cs="宋体"/>
      <w:snapToGrid/>
      <w:sz w:val="38"/>
      <w:szCs w:val="38"/>
      <w:lang w:val="zh-TW" w:eastAsia="zh-TW" w:bidi="zh-TW"/>
    </w:rPr>
  </w:style>
  <w:style w:type="paragraph" w:customStyle="1" w:styleId="32">
    <w:name w:val="Heading #1|1"/>
    <w:basedOn w:val="1"/>
    <w:autoRedefine/>
    <w:qFormat/>
    <w:uiPriority w:val="0"/>
    <w:pPr>
      <w:widowControl w:val="0"/>
      <w:kinsoku/>
      <w:autoSpaceDE/>
      <w:autoSpaceDN/>
      <w:adjustRightInd/>
      <w:snapToGrid/>
      <w:spacing w:after="450"/>
      <w:textAlignment w:val="auto"/>
      <w:outlineLvl w:val="0"/>
    </w:pPr>
    <w:rPr>
      <w:rFonts w:ascii="宋体" w:hAnsi="宋体" w:eastAsia="宋体" w:cs="宋体"/>
      <w:snapToGrid/>
      <w:sz w:val="38"/>
      <w:szCs w:val="38"/>
      <w:lang w:val="zh-TW" w:eastAsia="zh-TW" w:bidi="zh-TW"/>
    </w:rPr>
  </w:style>
  <w:style w:type="paragraph" w:customStyle="1" w:styleId="33">
    <w:name w:val="Heading #2|1"/>
    <w:basedOn w:val="1"/>
    <w:autoRedefine/>
    <w:qFormat/>
    <w:uiPriority w:val="0"/>
    <w:pPr>
      <w:widowControl w:val="0"/>
      <w:kinsoku/>
      <w:autoSpaceDE/>
      <w:autoSpaceDN/>
      <w:adjustRightInd/>
      <w:snapToGrid/>
      <w:spacing w:after="860"/>
      <w:textAlignment w:val="auto"/>
      <w:outlineLvl w:val="1"/>
    </w:pPr>
    <w:rPr>
      <w:rFonts w:ascii="宋体" w:hAnsi="宋体" w:eastAsia="宋体" w:cs="宋体"/>
      <w:snapToGrid/>
      <w:sz w:val="38"/>
      <w:szCs w:val="38"/>
      <w:lang w:val="zh-TW" w:eastAsia="zh-TW" w:bidi="zh-TW"/>
    </w:rPr>
  </w:style>
  <w:style w:type="paragraph" w:customStyle="1" w:styleId="34">
    <w:name w:val="Body text|2"/>
    <w:basedOn w:val="1"/>
    <w:autoRedefine/>
    <w:qFormat/>
    <w:uiPriority w:val="0"/>
    <w:pPr>
      <w:widowControl w:val="0"/>
      <w:kinsoku/>
      <w:autoSpaceDE/>
      <w:autoSpaceDN/>
      <w:adjustRightInd/>
      <w:snapToGrid/>
      <w:spacing w:after="400" w:line="480" w:lineRule="exact"/>
      <w:textAlignment w:val="auto"/>
    </w:pPr>
    <w:rPr>
      <w:rFonts w:ascii="宋体" w:hAnsi="宋体" w:eastAsia="宋体" w:cs="宋体"/>
      <w:snapToGrid/>
      <w:sz w:val="28"/>
      <w:szCs w:val="28"/>
      <w:lang w:val="zh-TW" w:eastAsia="zh-TW" w:bidi="zh-TW"/>
    </w:rPr>
  </w:style>
  <w:style w:type="paragraph" w:customStyle="1" w:styleId="35">
    <w:name w:val="Table caption|1"/>
    <w:basedOn w:val="1"/>
    <w:autoRedefine/>
    <w:qFormat/>
    <w:uiPriority w:val="0"/>
    <w:pPr>
      <w:widowControl w:val="0"/>
      <w:kinsoku/>
      <w:autoSpaceDE/>
      <w:autoSpaceDN/>
      <w:adjustRightInd/>
      <w:snapToGrid/>
      <w:textAlignment w:val="auto"/>
    </w:pPr>
    <w:rPr>
      <w:rFonts w:ascii="宋体" w:hAnsi="宋体" w:eastAsia="宋体" w:cs="宋体"/>
      <w:snapToGrid/>
      <w:sz w:val="28"/>
      <w:szCs w:val="28"/>
      <w:lang w:val="zh-TW" w:eastAsia="zh-TW" w:bidi="zh-TW"/>
    </w:rPr>
  </w:style>
  <w:style w:type="paragraph" w:customStyle="1" w:styleId="36">
    <w:name w:val="Other|1"/>
    <w:basedOn w:val="1"/>
    <w:autoRedefine/>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styleId="37">
    <w:name w:val="List Paragraph"/>
    <w:basedOn w:val="1"/>
    <w:autoRedefine/>
    <w:unhideWhenUsed/>
    <w:qFormat/>
    <w:uiPriority w:val="99"/>
    <w:pPr>
      <w:ind w:firstLine="420" w:firstLineChars="200"/>
    </w:pPr>
  </w:style>
  <w:style w:type="paragraph" w:customStyle="1" w:styleId="38">
    <w:name w:val="Body text|7"/>
    <w:basedOn w:val="1"/>
    <w:autoRedefine/>
    <w:qFormat/>
    <w:uiPriority w:val="0"/>
    <w:pPr>
      <w:widowControl w:val="0"/>
      <w:kinsoku/>
      <w:autoSpaceDE/>
      <w:autoSpaceDN/>
      <w:adjustRightInd/>
      <w:snapToGrid/>
      <w:spacing w:after="380"/>
      <w:textAlignment w:val="auto"/>
    </w:pPr>
    <w:rPr>
      <w:rFonts w:ascii="宋体" w:hAnsi="宋体" w:eastAsia="宋体" w:cs="宋体"/>
      <w:snapToGrid/>
      <w:sz w:val="44"/>
      <w:szCs w:val="44"/>
      <w:lang w:val="zh-TW" w:eastAsia="zh-TW" w:bidi="zh-TW"/>
    </w:rPr>
  </w:style>
  <w:style w:type="paragraph" w:customStyle="1" w:styleId="39">
    <w:name w:val="Header or footer|1"/>
    <w:basedOn w:val="1"/>
    <w:autoRedefine/>
    <w:qFormat/>
    <w:uiPriority w:val="0"/>
    <w:pPr>
      <w:widowControl w:val="0"/>
      <w:kinsoku/>
      <w:autoSpaceDE/>
      <w:autoSpaceDN/>
      <w:adjustRightInd/>
      <w:snapToGrid/>
      <w:textAlignment w:val="auto"/>
    </w:pPr>
    <w:rPr>
      <w:rFonts w:ascii="Times New Roman" w:hAnsi="Times New Roman" w:eastAsia="Times New Roman" w:cs="Times New Roman"/>
      <w:i/>
      <w:iCs/>
      <w:snapToGrid/>
      <w:sz w:val="30"/>
      <w:szCs w:val="30"/>
      <w:lang w:val="zh-TW" w:eastAsia="zh-TW" w:bidi="zh-TW"/>
    </w:rPr>
  </w:style>
  <w:style w:type="paragraph" w:customStyle="1" w:styleId="40">
    <w:name w:val="Body text|8"/>
    <w:basedOn w:val="1"/>
    <w:autoRedefine/>
    <w:qFormat/>
    <w:uiPriority w:val="0"/>
    <w:pPr>
      <w:widowControl w:val="0"/>
      <w:kinsoku/>
      <w:autoSpaceDE/>
      <w:autoSpaceDN/>
      <w:adjustRightInd/>
      <w:snapToGrid/>
      <w:spacing w:line="216" w:lineRule="auto"/>
      <w:ind w:hanging="1960"/>
      <w:textAlignment w:val="auto"/>
    </w:pPr>
    <w:rPr>
      <w:rFonts w:ascii="Times New Roman" w:hAnsi="Times New Roman" w:eastAsia="Times New Roman" w:cs="Times New Roman"/>
      <w:b/>
      <w:bCs/>
      <w:snapToGrid/>
      <w:sz w:val="38"/>
      <w:szCs w:val="38"/>
      <w:lang w:val="zh-CN" w:eastAsia="en-US" w:bidi="en-US"/>
    </w:rPr>
  </w:style>
  <w:style w:type="paragraph" w:customStyle="1" w:styleId="41">
    <w:name w:val="Body text|5"/>
    <w:basedOn w:val="1"/>
    <w:autoRedefine/>
    <w:qFormat/>
    <w:uiPriority w:val="0"/>
    <w:pPr>
      <w:widowControl w:val="0"/>
      <w:kinsoku/>
      <w:autoSpaceDE/>
      <w:autoSpaceDN/>
      <w:adjustRightInd/>
      <w:snapToGrid/>
      <w:spacing w:after="800" w:line="273" w:lineRule="exact"/>
      <w:ind w:firstLine="1380"/>
      <w:textAlignment w:val="auto"/>
    </w:pPr>
    <w:rPr>
      <w:rFonts w:ascii="宋体" w:hAnsi="宋体" w:eastAsia="宋体" w:cs="宋体"/>
      <w:snapToGrid/>
      <w:sz w:val="19"/>
      <w:szCs w:val="19"/>
      <w:lang w:val="zh-TW" w:eastAsia="zh-TW" w:bidi="zh-TW"/>
    </w:rPr>
  </w:style>
  <w:style w:type="paragraph" w:customStyle="1" w:styleId="42">
    <w:name w:val="Body text|4"/>
    <w:basedOn w:val="1"/>
    <w:autoRedefine/>
    <w:qFormat/>
    <w:uiPriority w:val="0"/>
    <w:pPr>
      <w:widowControl w:val="0"/>
      <w:kinsoku/>
      <w:autoSpaceDE/>
      <w:autoSpaceDN/>
      <w:adjustRightInd/>
      <w:snapToGrid/>
      <w:spacing w:after="70" w:line="360" w:lineRule="auto"/>
      <w:textAlignment w:val="auto"/>
    </w:pPr>
    <w:rPr>
      <w:rFonts w:ascii="Times New Roman" w:hAnsi="Times New Roman" w:eastAsia="Times New Roman" w:cs="Times New Roman"/>
      <w:b/>
      <w:bCs/>
      <w:snapToGrid/>
      <w:sz w:val="32"/>
      <w:szCs w:val="32"/>
      <w:lang w:val="zh-TW" w:eastAsia="zh-TW" w:bidi="zh-TW"/>
    </w:rPr>
  </w:style>
  <w:style w:type="paragraph" w:customStyle="1" w:styleId="43">
    <w:name w:val="Heading #5|1"/>
    <w:basedOn w:val="1"/>
    <w:autoRedefine/>
    <w:qFormat/>
    <w:uiPriority w:val="0"/>
    <w:pPr>
      <w:widowControl w:val="0"/>
      <w:kinsoku/>
      <w:autoSpaceDE/>
      <w:autoSpaceDN/>
      <w:adjustRightInd/>
      <w:snapToGrid/>
      <w:spacing w:after="680"/>
      <w:ind w:firstLine="810"/>
      <w:textAlignment w:val="auto"/>
      <w:outlineLvl w:val="4"/>
    </w:pPr>
    <w:rPr>
      <w:rFonts w:ascii="宋体" w:hAnsi="宋体" w:eastAsia="宋体" w:cs="宋体"/>
      <w:snapToGrid/>
      <w:sz w:val="34"/>
      <w:szCs w:val="34"/>
      <w:lang w:val="zh-TW" w:eastAsia="zh-TW" w:bidi="zh-TW"/>
    </w:rPr>
  </w:style>
  <w:style w:type="paragraph" w:customStyle="1" w:styleId="44">
    <w:name w:val="样式 标题 3 + (中文) 黑体 小四 非加粗 段前: 7.8 磅 段后: 0 磅 行距: 固定值 20 磅"/>
    <w:basedOn w:val="7"/>
    <w:autoRedefine/>
    <w:qFormat/>
    <w:uiPriority w:val="0"/>
    <w:pPr>
      <w:spacing w:before="0" w:after="0" w:line="400" w:lineRule="exact"/>
    </w:pPr>
    <w:rPr>
      <w:rFonts w:eastAsia="黑体" w:cs="宋体"/>
      <w:b w:val="0"/>
      <w:bCs w:val="0"/>
      <w:sz w:val="24"/>
      <w:szCs w:val="20"/>
    </w:rPr>
  </w:style>
  <w:style w:type="character" w:customStyle="1" w:styleId="45">
    <w:name w:val="标题 2 Char"/>
    <w:autoRedefine/>
    <w:qFormat/>
    <w:locked/>
    <w:uiPriority w:val="0"/>
    <w:rPr>
      <w:rFonts w:ascii="Arial" w:hAnsi="Arial" w:eastAsia="黑体"/>
      <w:bCs/>
      <w:kern w:val="2"/>
      <w:sz w:val="24"/>
      <w:szCs w:val="32"/>
      <w:lang w:val="en-US" w:eastAsia="zh-CN" w:bidi="ar-SA"/>
    </w:rPr>
  </w:style>
  <w:style w:type="character" w:customStyle="1" w:styleId="46">
    <w:name w:val="标题 2 Char Char"/>
    <w:autoRedefine/>
    <w:qFormat/>
    <w:uiPriority w:val="0"/>
    <w:rPr>
      <w:rFonts w:ascii="Arial" w:hAnsi="Arial" w:eastAsia="黑体"/>
      <w:bCs/>
      <w:kern w:val="2"/>
      <w:sz w:val="24"/>
      <w:szCs w:val="32"/>
      <w:lang w:val="en-US" w:eastAsia="zh-CN" w:bidi="ar-SA"/>
    </w:rPr>
  </w:style>
  <w:style w:type="paragraph" w:customStyle="1" w:styleId="47">
    <w:name w:val="正文_0"/>
    <w:next w:val="48"/>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8">
    <w:name w:val="标题 1_0"/>
    <w:basedOn w:val="47"/>
    <w:next w:val="47"/>
    <w:autoRedefine/>
    <w:qFormat/>
    <w:uiPriority w:val="0"/>
    <w:pPr>
      <w:keepNext/>
      <w:keepLines/>
      <w:spacing w:before="340" w:after="330" w:line="578" w:lineRule="auto"/>
      <w:jc w:val="center"/>
      <w:outlineLvl w:val="0"/>
    </w:pPr>
    <w:rPr>
      <w:b/>
      <w:bCs/>
      <w:kern w:val="44"/>
      <w:sz w:val="44"/>
      <w:szCs w:val="44"/>
    </w:rPr>
  </w:style>
  <w:style w:type="character" w:customStyle="1" w:styleId="49">
    <w:name w:val="批注框文本 Char"/>
    <w:basedOn w:val="24"/>
    <w:link w:val="15"/>
    <w:autoRedefine/>
    <w:qFormat/>
    <w:uiPriority w:val="0"/>
    <w:rPr>
      <w:rFonts w:ascii="Arial" w:hAnsi="Arial" w:eastAsia="Arial" w:cs="Arial"/>
      <w:snapToGrid w:val="0"/>
      <w:color w:val="000000"/>
      <w:sz w:val="18"/>
      <w:szCs w:val="18"/>
    </w:rPr>
  </w:style>
  <w:style w:type="character" w:customStyle="1" w:styleId="50">
    <w:name w:val="页眉 Char"/>
    <w:basedOn w:val="24"/>
    <w:link w:val="17"/>
    <w:autoRedefine/>
    <w:qFormat/>
    <w:uiPriority w:val="0"/>
    <w:rPr>
      <w:rFonts w:ascii="Arial" w:hAnsi="Arial" w:eastAsia="Arial" w:cs="Arial"/>
      <w:snapToGrid w:val="0"/>
      <w:color w:val="000000"/>
      <w:sz w:val="18"/>
      <w:szCs w:val="18"/>
    </w:rPr>
  </w:style>
  <w:style w:type="paragraph" w:customStyle="1" w:styleId="51">
    <w:name w:val="正文，首行缩进:"/>
    <w:basedOn w:val="1"/>
    <w:autoRedefine/>
    <w:qFormat/>
    <w:uiPriority w:val="0"/>
    <w:pPr>
      <w:spacing w:line="460" w:lineRule="exact"/>
      <w:ind w:firstLine="480" w:firstLineChars="200"/>
    </w:pPr>
    <w:rPr>
      <w:rFonts w:ascii="宋体" w:hAnsi="宋体" w:cs="宋体"/>
    </w:rPr>
  </w:style>
  <w:style w:type="paragraph" w:customStyle="1" w:styleId="52">
    <w:name w:val="Table Text"/>
    <w:basedOn w:val="1"/>
    <w:autoRedefine/>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footer" Target="footer2.xml"/><Relationship Id="rId49" Type="http://schemas.openxmlformats.org/officeDocument/2006/relationships/customXml" Target="../customXml/item1.xml"/><Relationship Id="rId48" Type="http://schemas.openxmlformats.org/officeDocument/2006/relationships/theme" Target="theme/theme1.xml"/><Relationship Id="rId47" Type="http://schemas.openxmlformats.org/officeDocument/2006/relationships/footer" Target="footer38.xml"/><Relationship Id="rId46" Type="http://schemas.openxmlformats.org/officeDocument/2006/relationships/footer" Target="footer37.xml"/><Relationship Id="rId45" Type="http://schemas.openxmlformats.org/officeDocument/2006/relationships/footer" Target="footer36.xml"/><Relationship Id="rId44" Type="http://schemas.openxmlformats.org/officeDocument/2006/relationships/footer" Target="footer35.xml"/><Relationship Id="rId43" Type="http://schemas.openxmlformats.org/officeDocument/2006/relationships/footer" Target="footer34.xml"/><Relationship Id="rId42" Type="http://schemas.openxmlformats.org/officeDocument/2006/relationships/footer" Target="footer33.xml"/><Relationship Id="rId41" Type="http://schemas.openxmlformats.org/officeDocument/2006/relationships/header" Target="header7.xml"/><Relationship Id="rId40" Type="http://schemas.openxmlformats.org/officeDocument/2006/relationships/footer" Target="footer32.xml"/><Relationship Id="rId4" Type="http://schemas.openxmlformats.org/officeDocument/2006/relationships/footer" Target="footer1.xml"/><Relationship Id="rId39" Type="http://schemas.openxmlformats.org/officeDocument/2006/relationships/footer" Target="footer31.xml"/><Relationship Id="rId38" Type="http://schemas.openxmlformats.org/officeDocument/2006/relationships/footer" Target="footer30.xml"/><Relationship Id="rId37" Type="http://schemas.openxmlformats.org/officeDocument/2006/relationships/footer" Target="footer29.xml"/><Relationship Id="rId36" Type="http://schemas.openxmlformats.org/officeDocument/2006/relationships/footer" Target="footer28.xml"/><Relationship Id="rId35" Type="http://schemas.openxmlformats.org/officeDocument/2006/relationships/header" Target="header6.xml"/><Relationship Id="rId34" Type="http://schemas.openxmlformats.org/officeDocument/2006/relationships/footer" Target="footer27.xml"/><Relationship Id="rId33" Type="http://schemas.openxmlformats.org/officeDocument/2006/relationships/footer" Target="footer26.xml"/><Relationship Id="rId32" Type="http://schemas.openxmlformats.org/officeDocument/2006/relationships/footer" Target="footer25.xml"/><Relationship Id="rId31" Type="http://schemas.openxmlformats.org/officeDocument/2006/relationships/footer" Target="footer24.xml"/><Relationship Id="rId30" Type="http://schemas.openxmlformats.org/officeDocument/2006/relationships/footer" Target="footer23.xml"/><Relationship Id="rId3" Type="http://schemas.openxmlformats.org/officeDocument/2006/relationships/header" Target="header1.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header" Target="header5.xml"/><Relationship Id="rId22" Type="http://schemas.openxmlformats.org/officeDocument/2006/relationships/header" Target="header4.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header" Target="header3.xml"/><Relationship Id="rId17" Type="http://schemas.openxmlformats.org/officeDocument/2006/relationships/footer" Target="footer13.xml"/><Relationship Id="rId16" Type="http://schemas.openxmlformats.org/officeDocument/2006/relationships/header" Target="header2.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111</Pages>
  <Words>9176</Words>
  <Characters>52307</Characters>
  <Lines>435</Lines>
  <Paragraphs>122</Paragraphs>
  <TotalTime>24</TotalTime>
  <ScaleCrop>false</ScaleCrop>
  <LinksUpToDate>false</LinksUpToDate>
  <CharactersWithSpaces>61361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2023-02-15T11:40:00Z</dcterms:created>
  <dc:creator>Anonymous</dc:creator>
  <cp:lastModifiedBy>必胜</cp:lastModifiedBy>
  <cp:lastPrinted>2023-10-18T02:35:00Z</cp:lastPrinted>
  <dcterms:modified xsi:type="dcterms:W3CDTF">2024-01-16T09:13:47Z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2023-03-24T15:04:16Z</vt:filetime>
  </property>
  <property fmtid="{D5CDD505-2E9C-101B-9397-08002B2CF9AE}" pid="4" name="KSOProductBuildVer">
    <vt:lpwstr>2052-12.1.0.16120</vt:lpwstr>
  </property>
  <property fmtid="{D5CDD505-2E9C-101B-9397-08002B2CF9AE}" pid="5" name="ICV">
    <vt:lpwstr>D2DBAEDCC64A4A74BA394B60A69388B5_13</vt:lpwstr>
  </property>
</Properties>
</file>