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646"/>
        </w:tabs>
        <w:spacing w:before="117" w:line="240" w:lineRule="auto"/>
        <w:jc w:val="center"/>
        <w:rPr>
          <w:rFonts w:hint="eastAsia" w:ascii="宋体" w:hAnsi="宋体" w:eastAsia="宋体" w:cs="宋体"/>
          <w:b/>
          <w:bCs/>
          <w:color w:val="auto"/>
          <w:spacing w:val="-2"/>
          <w:sz w:val="40"/>
          <w:szCs w:val="40"/>
          <w:highlight w:val="none"/>
          <w:u w:val="none" w:color="auto"/>
          <w:lang w:val="en-US" w:eastAsia="zh-CN"/>
        </w:rPr>
      </w:pPr>
    </w:p>
    <w:p>
      <w:pPr>
        <w:pStyle w:val="2"/>
        <w:ind w:left="0" w:leftChars="0" w:firstLine="0" w:firstLineChars="0"/>
        <w:rPr>
          <w:rFonts w:hint="eastAsia" w:ascii="宋体" w:hAnsi="宋体" w:eastAsia="宋体" w:cs="宋体"/>
          <w:b/>
          <w:bCs/>
          <w:color w:val="auto"/>
          <w:spacing w:val="-2"/>
          <w:sz w:val="21"/>
          <w:szCs w:val="21"/>
          <w:highlight w:val="none"/>
          <w:u w:val="none" w:color="auto"/>
          <w:lang w:val="en-US" w:eastAsia="zh-CN"/>
        </w:rPr>
      </w:pPr>
    </w:p>
    <w:p>
      <w:pPr>
        <w:tabs>
          <w:tab w:val="left" w:pos="2646"/>
        </w:tabs>
        <w:spacing w:before="117" w:line="240" w:lineRule="auto"/>
        <w:jc w:val="center"/>
        <w:rPr>
          <w:rFonts w:hint="eastAsia" w:ascii="宋体" w:hAnsi="宋体" w:eastAsia="宋体" w:cs="宋体"/>
          <w:b/>
          <w:bCs/>
          <w:color w:val="auto"/>
          <w:spacing w:val="-2"/>
          <w:sz w:val="40"/>
          <w:szCs w:val="40"/>
          <w:highlight w:val="none"/>
          <w:u w:val="none" w:color="auto"/>
          <w:lang w:val="en-US" w:eastAsia="zh-CN"/>
        </w:rPr>
      </w:pPr>
      <w:bookmarkStart w:id="0" w:name="_Toc19300"/>
      <w:bookmarkStart w:id="1" w:name="_Toc11585"/>
      <w:bookmarkStart w:id="2" w:name="_Toc30457"/>
      <w:bookmarkStart w:id="3" w:name="_Toc7662"/>
      <w:r>
        <w:rPr>
          <w:rFonts w:hint="eastAsia" w:ascii="宋体" w:hAnsi="宋体" w:eastAsia="宋体" w:cs="宋体"/>
          <w:b/>
          <w:bCs/>
          <w:color w:val="auto"/>
          <w:spacing w:val="-2"/>
          <w:sz w:val="40"/>
          <w:szCs w:val="40"/>
          <w:highlight w:val="none"/>
          <w:u w:val="none" w:color="auto"/>
          <w:lang w:val="en-US" w:eastAsia="zh-CN"/>
        </w:rPr>
        <w:t>嵊州市三溪水库配套工程</w:t>
      </w:r>
    </w:p>
    <w:p>
      <w:pPr>
        <w:tabs>
          <w:tab w:val="left" w:pos="2646"/>
        </w:tabs>
        <w:spacing w:before="117" w:line="240" w:lineRule="auto"/>
        <w:jc w:val="center"/>
        <w:rPr>
          <w:rFonts w:hint="eastAsia" w:ascii="宋体" w:hAnsi="宋体" w:eastAsia="宋体" w:cs="宋体"/>
          <w:b/>
          <w:bCs/>
          <w:color w:val="auto"/>
          <w:spacing w:val="-2"/>
          <w:sz w:val="40"/>
          <w:szCs w:val="40"/>
          <w:highlight w:val="none"/>
          <w:u w:val="none" w:color="auto"/>
          <w:lang w:val="en-US" w:eastAsia="zh-CN"/>
        </w:rPr>
      </w:pPr>
      <w:r>
        <w:rPr>
          <w:rFonts w:hint="eastAsia" w:ascii="宋体" w:hAnsi="宋体" w:eastAsia="宋体" w:cs="宋体"/>
          <w:b/>
          <w:bCs/>
          <w:color w:val="auto"/>
          <w:spacing w:val="-2"/>
          <w:sz w:val="40"/>
          <w:szCs w:val="40"/>
          <w:highlight w:val="none"/>
          <w:u w:val="none" w:color="auto"/>
          <w:lang w:val="en-US" w:eastAsia="zh-CN"/>
        </w:rPr>
        <w:t>（上竹线楼家-三溪段道路改建工程）</w:t>
      </w:r>
    </w:p>
    <w:p>
      <w:pPr>
        <w:pStyle w:val="2"/>
        <w:ind w:left="0" w:leftChars="0" w:firstLine="0" w:firstLineChars="0"/>
        <w:rPr>
          <w:rFonts w:hint="eastAsia" w:ascii="宋体" w:hAnsi="宋体" w:eastAsia="宋体" w:cs="宋体"/>
          <w:b/>
          <w:bCs/>
          <w:color w:val="auto"/>
          <w:spacing w:val="-2"/>
          <w:sz w:val="40"/>
          <w:szCs w:val="40"/>
          <w:highlight w:val="none"/>
          <w:u w:val="none" w:color="auto"/>
          <w:lang w:val="en-US" w:eastAsia="zh-CN"/>
        </w:rPr>
      </w:pPr>
    </w:p>
    <w:p>
      <w:pPr>
        <w:pStyle w:val="2"/>
        <w:rPr>
          <w:rFonts w:hint="eastAsia" w:ascii="宋体" w:hAnsi="宋体" w:eastAsia="宋体" w:cs="宋体"/>
          <w:b/>
          <w:bCs/>
          <w:color w:val="auto"/>
          <w:spacing w:val="-2"/>
          <w:sz w:val="40"/>
          <w:szCs w:val="40"/>
          <w:highlight w:val="none"/>
          <w:u w:val="none" w:color="auto"/>
          <w:lang w:val="en-US" w:eastAsia="zh-CN"/>
        </w:rPr>
      </w:pPr>
    </w:p>
    <w:p>
      <w:pPr>
        <w:spacing w:before="234" w:line="223" w:lineRule="auto"/>
        <w:jc w:val="center"/>
        <w:outlineLvl w:val="9"/>
        <w:rPr>
          <w:rFonts w:hint="eastAsia" w:ascii="宋体" w:hAnsi="宋体" w:eastAsia="宋体" w:cs="宋体"/>
          <w:color w:val="auto"/>
          <w:sz w:val="56"/>
          <w:szCs w:val="56"/>
          <w:highlight w:val="none"/>
          <w:lang w:val="en-US" w:eastAsia="zh-CN"/>
          <w14:textOutline w14:w="13062" w14:cap="flat" w14:cmpd="sng">
            <w14:solidFill>
              <w14:srgbClr w14:val="000000"/>
            </w14:solidFill>
            <w14:prstDash w14:val="solid"/>
            <w14:bevel/>
          </w14:textOutline>
        </w:rPr>
      </w:pPr>
      <w:r>
        <w:rPr>
          <w:rFonts w:hint="eastAsia" w:ascii="宋体" w:hAnsi="宋体" w:eastAsia="宋体" w:cs="宋体"/>
          <w:color w:val="auto"/>
          <w:sz w:val="56"/>
          <w:szCs w:val="56"/>
          <w:highlight w:val="none"/>
          <w:lang w:val="en-US" w:eastAsia="zh-CN"/>
          <w14:textOutline w14:w="13062" w14:cap="flat" w14:cmpd="sng">
            <w14:solidFill>
              <w14:srgbClr w14:val="000000"/>
            </w14:solidFill>
            <w14:prstDash w14:val="solid"/>
            <w14:bevel/>
          </w14:textOutline>
        </w:rPr>
        <w:t>施</w:t>
      </w:r>
    </w:p>
    <w:p>
      <w:pPr>
        <w:spacing w:before="234" w:line="223" w:lineRule="auto"/>
        <w:jc w:val="center"/>
        <w:outlineLvl w:val="9"/>
        <w:rPr>
          <w:rFonts w:hint="eastAsia" w:ascii="宋体" w:hAnsi="宋体" w:eastAsia="宋体" w:cs="宋体"/>
          <w:color w:val="auto"/>
          <w:sz w:val="56"/>
          <w:szCs w:val="56"/>
          <w:highlight w:val="none"/>
          <w:lang w:val="en-US" w:eastAsia="zh-CN"/>
          <w14:textOutline w14:w="13062" w14:cap="flat" w14:cmpd="sng">
            <w14:solidFill>
              <w14:srgbClr w14:val="000000"/>
            </w14:solidFill>
            <w14:prstDash w14:val="solid"/>
            <w14:bevel/>
          </w14:textOutline>
        </w:rPr>
      </w:pPr>
      <w:r>
        <w:rPr>
          <w:rFonts w:hint="eastAsia" w:ascii="宋体" w:hAnsi="宋体" w:eastAsia="宋体" w:cs="宋体"/>
          <w:color w:val="auto"/>
          <w:sz w:val="56"/>
          <w:szCs w:val="56"/>
          <w:highlight w:val="none"/>
          <w:lang w:val="en-US" w:eastAsia="zh-CN"/>
          <w14:textOutline w14:w="13062" w14:cap="flat" w14:cmpd="sng">
            <w14:solidFill>
              <w14:srgbClr w14:val="000000"/>
            </w14:solidFill>
            <w14:prstDash w14:val="solid"/>
            <w14:bevel/>
          </w14:textOutline>
        </w:rPr>
        <w:t>工</w:t>
      </w:r>
    </w:p>
    <w:p>
      <w:pPr>
        <w:spacing w:before="234" w:line="223" w:lineRule="auto"/>
        <w:jc w:val="center"/>
        <w:outlineLvl w:val="9"/>
        <w:rPr>
          <w:rFonts w:hint="eastAsia" w:ascii="宋体" w:hAnsi="宋体" w:eastAsia="宋体" w:cs="宋体"/>
          <w:color w:val="auto"/>
          <w:sz w:val="56"/>
          <w:szCs w:val="56"/>
          <w:highlight w:val="none"/>
          <w:lang w:val="en-US" w:eastAsia="zh-CN"/>
          <w14:textOutline w14:w="13062" w14:cap="flat" w14:cmpd="sng">
            <w14:solidFill>
              <w14:srgbClr w14:val="000000"/>
            </w14:solidFill>
            <w14:prstDash w14:val="solid"/>
            <w14:bevel/>
          </w14:textOutline>
        </w:rPr>
      </w:pPr>
      <w:r>
        <w:rPr>
          <w:rFonts w:hint="eastAsia" w:ascii="宋体" w:hAnsi="宋体" w:eastAsia="宋体" w:cs="宋体"/>
          <w:color w:val="auto"/>
          <w:sz w:val="56"/>
          <w:szCs w:val="56"/>
          <w:highlight w:val="none"/>
          <w:lang w:val="en-US" w:eastAsia="zh-CN"/>
          <w14:textOutline w14:w="13062" w14:cap="flat" w14:cmpd="sng">
            <w14:solidFill>
              <w14:srgbClr w14:val="000000"/>
            </w14:solidFill>
            <w14:prstDash w14:val="solid"/>
            <w14:bevel/>
          </w14:textOutline>
        </w:rPr>
        <w:t>招</w:t>
      </w:r>
    </w:p>
    <w:p>
      <w:pPr>
        <w:spacing w:before="234" w:line="223" w:lineRule="auto"/>
        <w:jc w:val="center"/>
        <w:outlineLvl w:val="9"/>
        <w:rPr>
          <w:rFonts w:hint="eastAsia" w:ascii="宋体" w:hAnsi="宋体" w:eastAsia="宋体" w:cs="宋体"/>
          <w:color w:val="auto"/>
          <w:spacing w:val="1"/>
          <w:sz w:val="56"/>
          <w:szCs w:val="56"/>
          <w:highlight w:val="none"/>
          <w14:textOutline w14:w="13062" w14:cap="flat" w14:cmpd="sng">
            <w14:solidFill>
              <w14:srgbClr w14:val="000000"/>
            </w14:solidFill>
            <w14:prstDash w14:val="solid"/>
            <w14:bevel/>
          </w14:textOutline>
        </w:rPr>
      </w:pPr>
      <w:r>
        <w:rPr>
          <w:rFonts w:hint="eastAsia" w:ascii="宋体" w:hAnsi="宋体" w:eastAsia="宋体" w:cs="宋体"/>
          <w:color w:val="auto"/>
          <w:spacing w:val="1"/>
          <w:sz w:val="56"/>
          <w:szCs w:val="56"/>
          <w:highlight w:val="none"/>
          <w14:textOutline w14:w="13062" w14:cap="flat" w14:cmpd="sng">
            <w14:solidFill>
              <w14:srgbClr w14:val="000000"/>
            </w14:solidFill>
            <w14:prstDash w14:val="solid"/>
            <w14:bevel/>
          </w14:textOutline>
        </w:rPr>
        <w:t>标</w:t>
      </w:r>
    </w:p>
    <w:p>
      <w:pPr>
        <w:spacing w:before="234" w:line="223" w:lineRule="auto"/>
        <w:jc w:val="center"/>
        <w:rPr>
          <w:rFonts w:hint="eastAsia" w:ascii="宋体" w:hAnsi="宋体" w:eastAsia="宋体" w:cs="宋体"/>
          <w:color w:val="auto"/>
          <w:sz w:val="56"/>
          <w:szCs w:val="56"/>
          <w:highlight w:val="none"/>
          <w14:textOutline w14:w="13062" w14:cap="flat" w14:cmpd="sng">
            <w14:solidFill>
              <w14:srgbClr w14:val="000000"/>
            </w14:solidFill>
            <w14:prstDash w14:val="solid"/>
            <w14:bevel/>
          </w14:textOutline>
        </w:rPr>
      </w:pPr>
      <w:r>
        <w:rPr>
          <w:rFonts w:hint="eastAsia" w:ascii="宋体" w:hAnsi="宋体" w:eastAsia="宋体" w:cs="宋体"/>
          <w:color w:val="auto"/>
          <w:sz w:val="56"/>
          <w:szCs w:val="56"/>
          <w:highlight w:val="none"/>
          <w14:textOutline w14:w="13062" w14:cap="flat" w14:cmpd="sng">
            <w14:solidFill>
              <w14:srgbClr w14:val="000000"/>
            </w14:solidFill>
            <w14:prstDash w14:val="solid"/>
            <w14:bevel/>
          </w14:textOutline>
        </w:rPr>
        <w:t>文</w:t>
      </w:r>
    </w:p>
    <w:p>
      <w:pPr>
        <w:spacing w:before="234" w:line="223" w:lineRule="auto"/>
        <w:jc w:val="center"/>
        <w:outlineLvl w:val="9"/>
        <w:rPr>
          <w:rFonts w:hint="eastAsia" w:ascii="宋体" w:hAnsi="宋体" w:eastAsia="宋体" w:cs="宋体"/>
          <w:color w:val="auto"/>
          <w:sz w:val="56"/>
          <w:szCs w:val="56"/>
          <w:highlight w:val="none"/>
        </w:rPr>
      </w:pPr>
      <w:r>
        <w:rPr>
          <w:rFonts w:hint="eastAsia" w:ascii="宋体" w:hAnsi="宋体" w:eastAsia="宋体" w:cs="宋体"/>
          <w:color w:val="auto"/>
          <w:sz w:val="56"/>
          <w:szCs w:val="56"/>
          <w:highlight w:val="none"/>
          <w14:textOutline w14:w="13062" w14:cap="flat" w14:cmpd="sng">
            <w14:solidFill>
              <w14:srgbClr w14:val="000000"/>
            </w14:solidFill>
            <w14:prstDash w14:val="solid"/>
            <w14:bevel/>
          </w14:textOutline>
        </w:rPr>
        <w:t>件</w:t>
      </w:r>
    </w:p>
    <w:p>
      <w:pPr>
        <w:spacing w:line="251" w:lineRule="auto"/>
        <w:rPr>
          <w:rFonts w:ascii="Arial"/>
          <w:color w:val="auto"/>
          <w:sz w:val="21"/>
          <w:highlight w:val="none"/>
        </w:rPr>
      </w:pPr>
    </w:p>
    <w:p>
      <w:pPr>
        <w:spacing w:line="251" w:lineRule="auto"/>
        <w:rPr>
          <w:rFonts w:ascii="Arial"/>
          <w:color w:val="auto"/>
          <w:sz w:val="21"/>
          <w:highlight w:val="none"/>
        </w:rPr>
      </w:pPr>
    </w:p>
    <w:p>
      <w:pPr>
        <w:spacing w:line="251" w:lineRule="auto"/>
        <w:outlineLvl w:val="9"/>
        <w:rPr>
          <w:rFonts w:ascii="Arial"/>
          <w:color w:val="auto"/>
          <w:sz w:val="21"/>
          <w:highlight w:val="none"/>
        </w:rPr>
      </w:pPr>
    </w:p>
    <w:p>
      <w:pPr>
        <w:spacing w:line="251" w:lineRule="auto"/>
        <w:outlineLvl w:val="9"/>
        <w:rPr>
          <w:rFonts w:ascii="Arial"/>
          <w:color w:val="auto"/>
          <w:sz w:val="21"/>
          <w:highlight w:val="none"/>
        </w:rPr>
      </w:pPr>
    </w:p>
    <w:p>
      <w:pPr>
        <w:spacing w:line="251" w:lineRule="auto"/>
        <w:outlineLvl w:val="9"/>
        <w:rPr>
          <w:rFonts w:ascii="Arial"/>
          <w:color w:val="auto"/>
          <w:sz w:val="21"/>
          <w:highlight w:val="none"/>
        </w:rPr>
      </w:pPr>
    </w:p>
    <w:p>
      <w:pPr>
        <w:spacing w:line="251" w:lineRule="auto"/>
        <w:outlineLvl w:val="9"/>
        <w:rPr>
          <w:rFonts w:ascii="Arial"/>
          <w:color w:val="auto"/>
          <w:sz w:val="21"/>
          <w:highlight w:val="none"/>
        </w:rPr>
      </w:pPr>
    </w:p>
    <w:p>
      <w:pPr>
        <w:spacing w:line="251" w:lineRule="auto"/>
        <w:outlineLvl w:val="9"/>
        <w:rPr>
          <w:rFonts w:ascii="Arial"/>
          <w:color w:val="auto"/>
          <w:sz w:val="21"/>
          <w:highlight w:val="none"/>
        </w:rPr>
      </w:pPr>
    </w:p>
    <w:p>
      <w:pPr>
        <w:spacing w:line="251" w:lineRule="auto"/>
        <w:outlineLvl w:val="9"/>
        <w:rPr>
          <w:rFonts w:ascii="Arial"/>
          <w:color w:val="auto"/>
          <w:sz w:val="21"/>
          <w:highlight w:val="none"/>
        </w:rPr>
      </w:pPr>
    </w:p>
    <w:p>
      <w:pPr>
        <w:spacing w:before="117" w:line="212" w:lineRule="auto"/>
        <w:jc w:val="center"/>
        <w:outlineLvl w:val="9"/>
        <w:rPr>
          <w:rFonts w:hint="eastAsia" w:ascii="宋体" w:hAnsi="宋体" w:eastAsia="宋体" w:cs="宋体"/>
          <w:color w:val="auto"/>
          <w:sz w:val="32"/>
          <w:szCs w:val="32"/>
          <w:highlight w:val="none"/>
          <w:u w:val="none"/>
        </w:rPr>
      </w:pPr>
      <w:bookmarkStart w:id="4" w:name="_Toc1112"/>
      <w:bookmarkStart w:id="5" w:name="_Toc21993"/>
      <w:bookmarkStart w:id="6" w:name="_Toc19882"/>
      <w:bookmarkStart w:id="7" w:name="_Toc24869"/>
      <w:r>
        <w:rPr>
          <w:rFonts w:hint="eastAsia" w:ascii="宋体" w:hAnsi="宋体" w:eastAsia="宋体" w:cs="宋体"/>
          <w:color w:val="auto"/>
          <w:spacing w:val="-10"/>
          <w:sz w:val="32"/>
          <w:szCs w:val="32"/>
          <w:highlight w:val="none"/>
        </w:rPr>
        <w:t>招</w:t>
      </w:r>
      <w:r>
        <w:rPr>
          <w:rFonts w:hint="eastAsia" w:ascii="宋体" w:hAnsi="宋体" w:eastAsia="宋体" w:cs="宋体"/>
          <w:color w:val="auto"/>
          <w:spacing w:val="-10"/>
          <w:sz w:val="32"/>
          <w:szCs w:val="32"/>
          <w:highlight w:val="none"/>
          <w:lang w:val="en-US" w:eastAsia="zh-CN"/>
        </w:rPr>
        <w:t xml:space="preserve"> </w:t>
      </w:r>
      <w:r>
        <w:rPr>
          <w:rFonts w:hint="eastAsia" w:ascii="宋体" w:hAnsi="宋体" w:eastAsia="宋体" w:cs="宋体"/>
          <w:color w:val="auto"/>
          <w:spacing w:val="-6"/>
          <w:sz w:val="32"/>
          <w:szCs w:val="32"/>
          <w:highlight w:val="none"/>
        </w:rPr>
        <w:t>标</w:t>
      </w:r>
      <w:r>
        <w:rPr>
          <w:rFonts w:hint="eastAsia" w:ascii="宋体" w:hAnsi="宋体" w:eastAsia="宋体" w:cs="宋体"/>
          <w:color w:val="auto"/>
          <w:spacing w:val="-6"/>
          <w:sz w:val="32"/>
          <w:szCs w:val="32"/>
          <w:highlight w:val="none"/>
          <w:lang w:val="en-US" w:eastAsia="zh-CN"/>
        </w:rPr>
        <w:t xml:space="preserve"> </w:t>
      </w:r>
      <w:r>
        <w:rPr>
          <w:rFonts w:hint="eastAsia" w:ascii="宋体" w:hAnsi="宋体" w:eastAsia="宋体" w:cs="宋体"/>
          <w:color w:val="auto"/>
          <w:spacing w:val="-5"/>
          <w:sz w:val="32"/>
          <w:szCs w:val="32"/>
          <w:highlight w:val="none"/>
        </w:rPr>
        <w:t>人：</w:t>
      </w:r>
      <w:r>
        <w:rPr>
          <w:rFonts w:hint="eastAsia" w:ascii="宋体" w:hAnsi="宋体" w:eastAsia="宋体" w:cs="宋体"/>
          <w:color w:val="auto"/>
          <w:spacing w:val="-10"/>
          <w:sz w:val="32"/>
          <w:szCs w:val="32"/>
          <w:highlight w:val="none"/>
          <w:u w:val="none"/>
          <w:lang w:val="en-US" w:eastAsia="zh-CN"/>
        </w:rPr>
        <w:t>嵊州市交通投资发展集团有限公司</w:t>
      </w:r>
      <w:bookmarkEnd w:id="4"/>
      <w:bookmarkEnd w:id="5"/>
      <w:bookmarkEnd w:id="6"/>
      <w:bookmarkEnd w:id="7"/>
    </w:p>
    <w:p>
      <w:pPr>
        <w:spacing w:before="285" w:line="212" w:lineRule="auto"/>
        <w:ind w:firstLine="1708" w:firstLineChars="700"/>
        <w:jc w:val="both"/>
        <w:outlineLvl w:val="9"/>
        <w:rPr>
          <w:rFonts w:hint="eastAsia" w:ascii="宋体" w:hAnsi="宋体" w:eastAsia="宋体" w:cs="宋体"/>
          <w:color w:val="auto"/>
          <w:sz w:val="32"/>
          <w:szCs w:val="32"/>
          <w:highlight w:val="none"/>
          <w:u w:val="none"/>
          <w:lang w:val="en-US" w:eastAsia="zh-CN"/>
        </w:rPr>
      </w:pPr>
      <w:bookmarkStart w:id="8" w:name="_Toc21115"/>
      <w:bookmarkStart w:id="9" w:name="_Toc30046"/>
      <w:r>
        <w:rPr>
          <w:rFonts w:hint="eastAsia" w:ascii="宋体" w:hAnsi="宋体" w:eastAsia="宋体" w:cs="宋体"/>
          <w:color w:val="auto"/>
          <w:spacing w:val="-38"/>
          <w:sz w:val="32"/>
          <w:szCs w:val="32"/>
          <w:highlight w:val="none"/>
          <w:u w:val="none"/>
        </w:rPr>
        <w:t>招</w:t>
      </w:r>
      <w:r>
        <w:rPr>
          <w:rFonts w:hint="eastAsia" w:ascii="宋体" w:hAnsi="宋体" w:eastAsia="宋体" w:cs="宋体"/>
          <w:color w:val="auto"/>
          <w:spacing w:val="-25"/>
          <w:sz w:val="32"/>
          <w:szCs w:val="32"/>
          <w:highlight w:val="none"/>
          <w:u w:val="none"/>
        </w:rPr>
        <w:t>标</w:t>
      </w:r>
      <w:r>
        <w:rPr>
          <w:rFonts w:hint="eastAsia" w:ascii="宋体" w:hAnsi="宋体" w:eastAsia="宋体" w:cs="宋体"/>
          <w:color w:val="auto"/>
          <w:spacing w:val="-19"/>
          <w:sz w:val="32"/>
          <w:szCs w:val="32"/>
          <w:highlight w:val="none"/>
          <w:u w:val="none"/>
        </w:rPr>
        <w:t>代理：</w:t>
      </w:r>
      <w:bookmarkEnd w:id="8"/>
      <w:bookmarkEnd w:id="9"/>
      <w:r>
        <w:rPr>
          <w:rFonts w:hint="eastAsia" w:ascii="宋体" w:hAnsi="宋体" w:eastAsia="宋体" w:cs="宋体"/>
          <w:b w:val="0"/>
          <w:bCs w:val="0"/>
          <w:color w:val="auto"/>
          <w:spacing w:val="-19"/>
          <w:sz w:val="32"/>
          <w:szCs w:val="32"/>
          <w:highlight w:val="none"/>
          <w:u w:val="none"/>
          <w:lang w:val="en-US" w:eastAsia="zh-CN"/>
        </w:rPr>
        <w:t>浙江华耀建设咨询有限公司</w:t>
      </w:r>
    </w:p>
    <w:p>
      <w:pPr>
        <w:spacing w:before="287" w:line="212" w:lineRule="auto"/>
        <w:ind w:firstLine="1704" w:firstLineChars="600"/>
        <w:jc w:val="both"/>
        <w:outlineLvl w:val="9"/>
        <w:rPr>
          <w:rFonts w:hint="eastAsia" w:ascii="宋体" w:hAnsi="宋体" w:eastAsia="宋体" w:cs="宋体"/>
          <w:color w:val="auto"/>
          <w:spacing w:val="-10"/>
          <w:sz w:val="32"/>
          <w:szCs w:val="32"/>
          <w:highlight w:val="none"/>
          <w:u w:val="none"/>
          <w:lang w:val="en-US" w:eastAsia="zh-CN"/>
        </w:rPr>
      </w:pPr>
      <w:bookmarkStart w:id="10" w:name="_Toc25330"/>
      <w:bookmarkStart w:id="11" w:name="_Toc6302"/>
      <w:bookmarkStart w:id="12" w:name="_Toc20665"/>
      <w:bookmarkStart w:id="13" w:name="_Toc3781"/>
      <w:r>
        <w:rPr>
          <w:rFonts w:hint="eastAsia" w:ascii="宋体" w:hAnsi="宋体" w:eastAsia="宋体" w:cs="宋体"/>
          <w:color w:val="auto"/>
          <w:spacing w:val="-18"/>
          <w:sz w:val="32"/>
          <w:szCs w:val="32"/>
          <w:highlight w:val="none"/>
          <w:u w:val="none"/>
        </w:rPr>
        <w:t>日</w:t>
      </w:r>
      <w:r>
        <w:rPr>
          <w:rFonts w:hint="eastAsia" w:ascii="宋体" w:hAnsi="宋体" w:eastAsia="宋体" w:cs="宋体"/>
          <w:color w:val="auto"/>
          <w:spacing w:val="-10"/>
          <w:sz w:val="32"/>
          <w:szCs w:val="32"/>
          <w:highlight w:val="none"/>
          <w:u w:val="none"/>
        </w:rPr>
        <w:t xml:space="preserve"> </w:t>
      </w:r>
      <w:r>
        <w:rPr>
          <w:rFonts w:hint="eastAsia" w:ascii="宋体" w:hAnsi="宋体" w:eastAsia="宋体" w:cs="宋体"/>
          <w:color w:val="auto"/>
          <w:spacing w:val="-9"/>
          <w:sz w:val="32"/>
          <w:szCs w:val="32"/>
          <w:highlight w:val="none"/>
          <w:u w:val="none"/>
        </w:rPr>
        <w:t xml:space="preserve">   期：</w:t>
      </w:r>
      <w:r>
        <w:rPr>
          <w:rFonts w:hint="eastAsia" w:ascii="宋体" w:hAnsi="宋体" w:eastAsia="宋体" w:cs="宋体"/>
          <w:color w:val="auto"/>
          <w:spacing w:val="-10"/>
          <w:sz w:val="32"/>
          <w:szCs w:val="32"/>
          <w:highlight w:val="none"/>
          <w:u w:val="none"/>
          <w:lang w:val="en-US" w:eastAsia="zh-CN"/>
        </w:rPr>
        <w:t>2023年5月</w:t>
      </w:r>
      <w:bookmarkEnd w:id="10"/>
      <w:bookmarkEnd w:id="11"/>
      <w:bookmarkEnd w:id="12"/>
      <w:bookmarkEnd w:id="13"/>
    </w:p>
    <w:p>
      <w:pPr>
        <w:outlineLvl w:val="9"/>
        <w:rPr>
          <w:color w:val="auto"/>
          <w:highlight w:val="none"/>
        </w:rPr>
        <w:sectPr>
          <w:headerReference r:id="rId5" w:type="default"/>
          <w:footerReference r:id="rId6" w:type="default"/>
          <w:pgSz w:w="11900" w:h="16840"/>
          <w:pgMar w:top="1332" w:right="1185" w:bottom="1332" w:left="1134" w:header="883" w:footer="1234" w:gutter="0"/>
          <w:pgNumType w:fmt="decimal"/>
          <w:cols w:space="720" w:num="1"/>
        </w:sectPr>
      </w:pPr>
    </w:p>
    <w:p>
      <w:pPr>
        <w:jc w:val="center"/>
        <w:rPr>
          <w:rFonts w:hint="eastAsia" w:ascii="宋体" w:hAnsi="宋体" w:eastAsia="宋体" w:cs="宋体"/>
          <w:b w:val="0"/>
          <w:bCs w:val="0"/>
          <w:color w:val="auto"/>
          <w:sz w:val="22"/>
          <w:szCs w:val="22"/>
          <w:highlight w:val="none"/>
          <w:lang w:val="en-US" w:eastAsia="zh-CN"/>
        </w:rPr>
      </w:pPr>
    </w:p>
    <w:p>
      <w:pPr>
        <w:jc w:val="center"/>
        <w:rPr>
          <w:rFonts w:hint="eastAsia" w:ascii="宋体" w:hAnsi="宋体" w:eastAsia="宋体" w:cs="宋体"/>
          <w:b w:val="0"/>
          <w:bCs w:val="0"/>
          <w:color w:val="auto"/>
          <w:sz w:val="36"/>
          <w:szCs w:val="36"/>
          <w:highlight w:val="none"/>
          <w:lang w:val="en-US" w:eastAsia="zh-CN"/>
        </w:rPr>
      </w:pPr>
      <w:r>
        <w:rPr>
          <w:rFonts w:hint="eastAsia" w:ascii="宋体" w:hAnsi="宋体" w:eastAsia="宋体" w:cs="宋体"/>
          <w:b w:val="0"/>
          <w:bCs w:val="0"/>
          <w:color w:val="auto"/>
          <w:sz w:val="36"/>
          <w:szCs w:val="36"/>
          <w:highlight w:val="none"/>
          <w:lang w:val="en-US" w:eastAsia="zh-CN"/>
        </w:rPr>
        <w:t>嵊州市三溪水库配套工程</w:t>
      </w:r>
    </w:p>
    <w:p>
      <w:pPr>
        <w:jc w:val="center"/>
        <w:rPr>
          <w:rFonts w:hint="eastAsia" w:ascii="宋体" w:hAnsi="宋体" w:eastAsia="宋体" w:cs="宋体"/>
          <w:b w:val="0"/>
          <w:bCs w:val="0"/>
          <w:color w:val="auto"/>
          <w:sz w:val="36"/>
          <w:szCs w:val="36"/>
          <w:highlight w:val="none"/>
          <w:lang w:val="en-US" w:eastAsia="zh-CN"/>
        </w:rPr>
      </w:pPr>
      <w:r>
        <w:rPr>
          <w:rFonts w:hint="eastAsia" w:ascii="宋体" w:hAnsi="宋体" w:eastAsia="宋体" w:cs="宋体"/>
          <w:b w:val="0"/>
          <w:bCs w:val="0"/>
          <w:color w:val="auto"/>
          <w:sz w:val="36"/>
          <w:szCs w:val="36"/>
          <w:highlight w:val="none"/>
          <w:lang w:val="en-US" w:eastAsia="zh-CN"/>
        </w:rPr>
        <w:t>（上竹线楼家-三溪段道路改建工程）</w:t>
      </w:r>
    </w:p>
    <w:p>
      <w:pPr>
        <w:jc w:val="center"/>
        <w:rPr>
          <w:rFonts w:hint="eastAsia" w:ascii="宋体" w:hAnsi="宋体" w:eastAsia="宋体" w:cs="宋体"/>
          <w:b w:val="0"/>
          <w:bCs w:val="0"/>
          <w:color w:val="auto"/>
          <w:sz w:val="32"/>
          <w:szCs w:val="22"/>
          <w:highlight w:val="none"/>
        </w:rPr>
      </w:pPr>
      <w:r>
        <w:rPr>
          <w:rFonts w:hint="eastAsia" w:ascii="宋体" w:hAnsi="宋体" w:eastAsia="宋体" w:cs="宋体"/>
          <w:b w:val="0"/>
          <w:bCs w:val="0"/>
          <w:color w:val="auto"/>
          <w:sz w:val="36"/>
          <w:szCs w:val="36"/>
          <w:highlight w:val="none"/>
        </w:rPr>
        <w:t>招标文件</w:t>
      </w:r>
    </w:p>
    <w:p>
      <w:pPr>
        <w:jc w:val="center"/>
        <w:rPr>
          <w:rFonts w:hint="eastAsia" w:ascii="宋体" w:hAnsi="宋体" w:eastAsia="宋体" w:cs="宋体"/>
          <w:color w:val="auto"/>
          <w:sz w:val="32"/>
          <w:szCs w:val="28"/>
          <w:highlight w:val="none"/>
        </w:rPr>
      </w:pPr>
    </w:p>
    <w:p>
      <w:pPr>
        <w:jc w:val="center"/>
        <w:rPr>
          <w:rFonts w:hint="eastAsia" w:ascii="宋体" w:hAnsi="宋体" w:eastAsia="宋体" w:cs="宋体"/>
          <w:color w:val="auto"/>
          <w:sz w:val="32"/>
          <w:szCs w:val="28"/>
          <w:highlight w:val="none"/>
        </w:rPr>
      </w:pPr>
      <w:r>
        <w:rPr>
          <w:rFonts w:hint="eastAsia" w:ascii="宋体" w:hAnsi="宋体" w:eastAsia="宋体" w:cs="宋体"/>
          <w:color w:val="auto"/>
          <w:sz w:val="32"/>
          <w:szCs w:val="28"/>
          <w:highlight w:val="none"/>
        </w:rPr>
        <w:t>（</w:t>
      </w:r>
      <w:r>
        <w:rPr>
          <w:rFonts w:hint="eastAsia" w:ascii="宋体" w:hAnsi="宋体" w:eastAsia="宋体" w:cs="宋体"/>
          <w:color w:val="auto"/>
          <w:sz w:val="30"/>
          <w:szCs w:val="30"/>
          <w:highlight w:val="none"/>
        </w:rPr>
        <w:t>项目编号：</w:t>
      </w:r>
      <w:r>
        <w:rPr>
          <w:rFonts w:hint="eastAsia" w:ascii="宋体" w:hAnsi="宋体" w:eastAsia="宋体" w:cs="宋体"/>
          <w:color w:val="auto"/>
          <w:sz w:val="30"/>
          <w:szCs w:val="30"/>
          <w:highlight w:val="none"/>
          <w:lang w:val="en-US" w:eastAsia="zh-CN"/>
        </w:rPr>
        <w:t>A3303270430001423001</w:t>
      </w:r>
      <w:r>
        <w:rPr>
          <w:rFonts w:hint="eastAsia" w:ascii="宋体" w:hAnsi="宋体" w:eastAsia="宋体" w:cs="宋体"/>
          <w:color w:val="auto"/>
          <w:sz w:val="32"/>
          <w:szCs w:val="28"/>
          <w:highlight w:val="none"/>
        </w:rPr>
        <w:t>）</w:t>
      </w:r>
    </w:p>
    <w:p>
      <w:pPr>
        <w:spacing w:line="680" w:lineRule="exact"/>
        <w:rPr>
          <w:rFonts w:hint="eastAsia" w:ascii="宋体" w:hAnsi="宋体" w:eastAsia="宋体" w:cs="宋体"/>
          <w:color w:val="auto"/>
          <w:sz w:val="32"/>
          <w:szCs w:val="28"/>
          <w:highlight w:val="none"/>
        </w:rPr>
      </w:pPr>
    </w:p>
    <w:p>
      <w:pPr>
        <w:spacing w:line="700" w:lineRule="exact"/>
        <w:ind w:firstLine="280" w:firstLineChars="1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招标人：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eastAsia="zh-CN"/>
        </w:rPr>
        <w:t>嵊州市交通投资发展集团有限公司</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（盖章）</w:t>
      </w:r>
    </w:p>
    <w:p>
      <w:pPr>
        <w:spacing w:line="700" w:lineRule="exact"/>
        <w:ind w:firstLine="280" w:firstLineChars="1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招标人法定代表人或授权委托人：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（签字或盖章）</w:t>
      </w:r>
    </w:p>
    <w:p>
      <w:pPr>
        <w:spacing w:line="700" w:lineRule="exact"/>
        <w:ind w:firstLine="280" w:firstLineChars="1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招标人地址：</w:t>
      </w:r>
      <w:r>
        <w:rPr>
          <w:rFonts w:hint="eastAsia" w:ascii="宋体" w:hAnsi="宋体" w:eastAsia="宋体" w:cs="宋体"/>
          <w:color w:val="auto"/>
          <w:sz w:val="28"/>
          <w:szCs w:val="28"/>
          <w:highlight w:val="none"/>
          <w:u w:val="single"/>
        </w:rPr>
        <w:t xml:space="preserve"> 嵊州市浦口街道华发南路88号</w:t>
      </w:r>
    </w:p>
    <w:p>
      <w:pPr>
        <w:spacing w:line="700" w:lineRule="exact"/>
        <w:ind w:firstLine="280" w:firstLineChars="1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邮政编码：</w:t>
      </w:r>
      <w:r>
        <w:rPr>
          <w:rFonts w:hint="eastAsia" w:ascii="宋体" w:hAnsi="宋体" w:eastAsia="宋体" w:cs="宋体"/>
          <w:color w:val="auto"/>
          <w:sz w:val="28"/>
          <w:szCs w:val="28"/>
          <w:highlight w:val="none"/>
          <w:u w:val="single"/>
        </w:rPr>
        <w:t xml:space="preserve">    312400　   </w:t>
      </w:r>
    </w:p>
    <w:p>
      <w:pPr>
        <w:spacing w:line="700" w:lineRule="exact"/>
        <w:ind w:firstLine="280" w:firstLineChars="1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联系电话：</w:t>
      </w:r>
      <w:r>
        <w:rPr>
          <w:rFonts w:hint="eastAsia" w:ascii="宋体" w:hAnsi="宋体" w:eastAsia="宋体" w:cs="宋体"/>
          <w:color w:val="auto"/>
          <w:sz w:val="28"/>
          <w:szCs w:val="28"/>
          <w:highlight w:val="none"/>
          <w:u w:val="single"/>
        </w:rPr>
        <w:t xml:space="preserve"> 0575-8</w:t>
      </w:r>
      <w:r>
        <w:rPr>
          <w:rFonts w:hint="eastAsia" w:ascii="宋体" w:hAnsi="宋体" w:eastAsia="宋体" w:cs="宋体"/>
          <w:color w:val="auto"/>
          <w:sz w:val="28"/>
          <w:szCs w:val="28"/>
          <w:highlight w:val="none"/>
          <w:u w:val="single"/>
          <w:lang w:val="en-US" w:eastAsia="zh-CN"/>
        </w:rPr>
        <w:t xml:space="preserve">3298607     </w:t>
      </w: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传真：</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w:t>
      </w:r>
      <w:r>
        <w:rPr>
          <w:rFonts w:hint="eastAsia" w:ascii="宋体" w:hAnsi="宋体" w:eastAsia="宋体" w:cs="宋体"/>
          <w:color w:val="auto"/>
          <w:sz w:val="28"/>
          <w:szCs w:val="28"/>
          <w:highlight w:val="none"/>
          <w:u w:val="single"/>
        </w:rPr>
        <w:t xml:space="preserve">        </w:t>
      </w:r>
    </w:p>
    <w:p>
      <w:pPr>
        <w:spacing w:line="700" w:lineRule="exact"/>
        <w:ind w:firstLine="280" w:firstLineChars="1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联 系 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屠浙锋</w:t>
      </w:r>
      <w:r>
        <w:rPr>
          <w:rFonts w:hint="eastAsia" w:ascii="宋体" w:hAnsi="宋体" w:eastAsia="宋体" w:cs="宋体"/>
          <w:color w:val="auto"/>
          <w:sz w:val="28"/>
          <w:szCs w:val="28"/>
          <w:highlight w:val="none"/>
          <w:u w:val="single"/>
        </w:rPr>
        <w:t xml:space="preserve">   </w:t>
      </w:r>
    </w:p>
    <w:p>
      <w:pPr>
        <w:spacing w:line="700" w:lineRule="exact"/>
        <w:rPr>
          <w:rFonts w:hint="eastAsia" w:ascii="宋体" w:hAnsi="宋体" w:eastAsia="宋体" w:cs="宋体"/>
          <w:color w:val="auto"/>
          <w:highlight w:val="none"/>
        </w:rPr>
      </w:pPr>
      <w:r>
        <w:rPr>
          <w:rFonts w:hint="eastAsia" w:ascii="宋体" w:hAnsi="宋体" w:eastAsia="宋体" w:cs="宋体"/>
          <w:color w:val="auto"/>
          <w:sz w:val="28"/>
          <w:szCs w:val="28"/>
          <w:highlight w:val="none"/>
        </w:rPr>
        <w:t xml:space="preserve"> </w:t>
      </w:r>
    </w:p>
    <w:p>
      <w:pPr>
        <w:spacing w:line="700" w:lineRule="exact"/>
        <w:ind w:firstLine="280" w:firstLineChars="1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招标代理机构名称：</w:t>
      </w:r>
      <w:r>
        <w:rPr>
          <w:rFonts w:hint="eastAsia" w:ascii="宋体" w:hAnsi="宋体" w:eastAsia="宋体" w:cs="宋体"/>
          <w:color w:val="auto"/>
          <w:sz w:val="28"/>
          <w:szCs w:val="28"/>
          <w:highlight w:val="none"/>
          <w:u w:val="single"/>
          <w:lang w:eastAsia="zh-CN"/>
        </w:rPr>
        <w:t>浙江华耀建设咨询有限公司</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（盖章）</w:t>
      </w:r>
    </w:p>
    <w:p>
      <w:pPr>
        <w:tabs>
          <w:tab w:val="left" w:pos="6300"/>
        </w:tabs>
        <w:spacing w:line="700" w:lineRule="exact"/>
        <w:ind w:firstLine="280" w:firstLineChars="1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法定代表人或授权委托人：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（签字或盖章）</w:t>
      </w:r>
    </w:p>
    <w:p>
      <w:pPr>
        <w:spacing w:line="700" w:lineRule="exact"/>
        <w:ind w:firstLine="280" w:firstLineChars="100"/>
        <w:rPr>
          <w:rFonts w:hint="eastAsia" w:ascii="宋体" w:hAnsi="宋体" w:eastAsia="宋体" w:cs="宋体"/>
          <w:color w:val="auto"/>
          <w:sz w:val="28"/>
          <w:szCs w:val="28"/>
          <w:highlight w:val="none"/>
          <w:u w:val="single"/>
          <w:lang w:eastAsia="zh-CN"/>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lang w:eastAsia="zh-CN"/>
        </w:rPr>
        <w:t xml:space="preserve">嵊州市新悦路88号君悦大厦七楼 </w:t>
      </w:r>
    </w:p>
    <w:p>
      <w:pPr>
        <w:spacing w:line="700" w:lineRule="exact"/>
        <w:ind w:firstLine="280" w:firstLineChars="1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邮政编码：</w:t>
      </w:r>
      <w:r>
        <w:rPr>
          <w:rFonts w:hint="eastAsia" w:ascii="宋体" w:hAnsi="宋体" w:eastAsia="宋体" w:cs="宋体"/>
          <w:color w:val="auto"/>
          <w:sz w:val="28"/>
          <w:szCs w:val="28"/>
          <w:highlight w:val="none"/>
          <w:u w:val="single"/>
        </w:rPr>
        <w:t xml:space="preserve">    312400    </w:t>
      </w:r>
    </w:p>
    <w:p>
      <w:pPr>
        <w:spacing w:line="700" w:lineRule="exact"/>
        <w:ind w:firstLine="280" w:firstLineChars="1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联系电话：</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 xml:space="preserve">0575-81392050  </w:t>
      </w:r>
      <w:r>
        <w:rPr>
          <w:rFonts w:hint="eastAsia" w:ascii="宋体" w:hAnsi="宋体" w:eastAsia="宋体" w:cs="宋体"/>
          <w:color w:val="auto"/>
          <w:sz w:val="28"/>
          <w:szCs w:val="28"/>
          <w:highlight w:val="none"/>
          <w:u w:val="none"/>
          <w:lang w:val="en-US" w:eastAsia="zh-CN"/>
        </w:rPr>
        <w:t xml:space="preserve">  </w:t>
      </w:r>
      <w:r>
        <w:rPr>
          <w:rFonts w:hint="eastAsia" w:ascii="宋体" w:hAnsi="宋体" w:eastAsia="宋体" w:cs="宋体"/>
          <w:color w:val="auto"/>
          <w:sz w:val="28"/>
          <w:szCs w:val="28"/>
          <w:highlight w:val="none"/>
        </w:rPr>
        <w:t>传真：</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w:t>
      </w:r>
      <w:r>
        <w:rPr>
          <w:rFonts w:hint="eastAsia" w:ascii="宋体" w:hAnsi="宋体" w:eastAsia="宋体" w:cs="宋体"/>
          <w:color w:val="auto"/>
          <w:sz w:val="28"/>
          <w:szCs w:val="28"/>
          <w:highlight w:val="none"/>
          <w:u w:val="single"/>
        </w:rPr>
        <w:t xml:space="preserve">       </w:t>
      </w:r>
    </w:p>
    <w:p>
      <w:pPr>
        <w:spacing w:line="700" w:lineRule="exact"/>
        <w:ind w:firstLine="280" w:firstLineChars="1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联 系 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eastAsia="zh-CN"/>
        </w:rPr>
        <w:t>黄平</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pPr>
        <w:spacing w:line="700" w:lineRule="exact"/>
        <w:ind w:firstLine="280" w:firstLineChars="100"/>
        <w:rPr>
          <w:rFonts w:hint="eastAsia" w:ascii="宋体" w:hAnsi="宋体" w:eastAsia="宋体" w:cs="宋体"/>
          <w:color w:val="auto"/>
          <w:sz w:val="28"/>
          <w:szCs w:val="28"/>
          <w:highlight w:val="none"/>
        </w:rPr>
      </w:pPr>
    </w:p>
    <w:p>
      <w:pPr>
        <w:spacing w:line="700" w:lineRule="exact"/>
        <w:ind w:firstLine="280" w:firstLineChars="1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签发日期：</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3</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lang w:val="en-US" w:eastAsia="zh-CN"/>
        </w:rPr>
        <w:t xml:space="preserve"> 5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lang w:val="en-US" w:eastAsia="zh-CN"/>
        </w:rPr>
        <w:t>24</w:t>
      </w:r>
      <w:r>
        <w:rPr>
          <w:rFonts w:hint="eastAsia" w:ascii="宋体" w:hAnsi="宋体" w:eastAsia="宋体" w:cs="宋体"/>
          <w:color w:val="auto"/>
          <w:sz w:val="28"/>
          <w:szCs w:val="28"/>
          <w:highlight w:val="none"/>
        </w:rPr>
        <w:t>日</w:t>
      </w:r>
    </w:p>
    <w:p>
      <w:pPr>
        <w:spacing w:before="222" w:line="184" w:lineRule="auto"/>
        <w:ind w:firstLine="3175"/>
        <w:rPr>
          <w:rFonts w:hint="eastAsia" w:ascii="宋体" w:hAnsi="宋体" w:eastAsia="宋体" w:cs="宋体"/>
          <w:color w:val="auto"/>
          <w:spacing w:val="-17"/>
          <w:sz w:val="44"/>
          <w:szCs w:val="44"/>
          <w:highlight w:val="none"/>
        </w:rPr>
        <w:sectPr>
          <w:pgSz w:w="11907" w:h="16841"/>
          <w:pgMar w:top="1304" w:right="1417" w:bottom="1304" w:left="1417" w:header="881" w:footer="890" w:gutter="0"/>
          <w:pgBorders>
            <w:top w:val="none" w:sz="0" w:space="0"/>
            <w:left w:val="none" w:sz="0" w:space="0"/>
            <w:bottom w:val="none" w:sz="0" w:space="0"/>
            <w:right w:val="none" w:sz="0" w:space="0"/>
          </w:pgBorders>
          <w:pgNumType w:start="1"/>
          <w:cols w:space="720" w:num="1"/>
        </w:sectPr>
      </w:pPr>
    </w:p>
    <w:bookmarkEnd w:id="0"/>
    <w:bookmarkEnd w:id="1"/>
    <w:bookmarkEnd w:id="2"/>
    <w:bookmarkEnd w:id="3"/>
    <w:p>
      <w:pPr>
        <w:keepNext w:val="0"/>
        <w:keepLines w:val="0"/>
        <w:pageBreakBefore w:val="0"/>
        <w:widowControl/>
        <w:kinsoku w:val="0"/>
        <w:wordWrap/>
        <w:overflowPunct/>
        <w:topLinePunct w:val="0"/>
        <w:autoSpaceDE w:val="0"/>
        <w:autoSpaceDN w:val="0"/>
        <w:bidi w:val="0"/>
        <w:adjustRightInd w:val="0"/>
        <w:snapToGrid w:val="0"/>
        <w:spacing w:before="328" w:line="221" w:lineRule="auto"/>
        <w:jc w:val="center"/>
        <w:textAlignment w:val="baseline"/>
        <w:outlineLvl w:val="9"/>
        <w:rPr>
          <w:rFonts w:hint="eastAsia" w:ascii="宋体" w:hAnsi="宋体" w:eastAsia="宋体" w:cs="宋体"/>
          <w:color w:val="auto"/>
          <w:spacing w:val="0"/>
          <w:sz w:val="21"/>
          <w:highlight w:val="none"/>
        </w:rPr>
      </w:pPr>
      <w:bookmarkStart w:id="14" w:name="_bookmark20"/>
      <w:bookmarkEnd w:id="14"/>
      <w:bookmarkStart w:id="15" w:name="_bookmark1"/>
      <w:bookmarkEnd w:id="15"/>
      <w:r>
        <w:rPr>
          <w:rFonts w:hint="eastAsia" w:ascii="宋体" w:hAnsi="宋体" w:eastAsia="宋体" w:cs="宋体"/>
          <w:color w:val="auto"/>
          <w:spacing w:val="0"/>
          <w:sz w:val="48"/>
          <w:szCs w:val="48"/>
          <w:highlight w:val="none"/>
        </w:rPr>
        <w:t>说 明</w:t>
      </w:r>
    </w:p>
    <w:p>
      <w:pPr>
        <w:keepNext w:val="0"/>
        <w:keepLines w:val="0"/>
        <w:pageBreakBefore w:val="0"/>
        <w:widowControl/>
        <w:kinsoku w:val="0"/>
        <w:wordWrap/>
        <w:overflowPunct/>
        <w:topLinePunct w:val="0"/>
        <w:autoSpaceDE w:val="0"/>
        <w:autoSpaceDN w:val="0"/>
        <w:bidi w:val="0"/>
        <w:adjustRightInd w:val="0"/>
        <w:snapToGrid w:val="0"/>
        <w:spacing w:before="65" w:line="500" w:lineRule="exact"/>
        <w:ind w:firstLine="420" w:firstLineChars="200"/>
        <w:jc w:val="lef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一、</w:t>
      </w:r>
      <w:r>
        <w:rPr>
          <w:rFonts w:hint="eastAsia" w:ascii="宋体" w:hAnsi="宋体" w:eastAsia="宋体" w:cs="宋体"/>
          <w:color w:val="auto"/>
          <w:spacing w:val="0"/>
          <w:sz w:val="21"/>
          <w:szCs w:val="21"/>
          <w:highlight w:val="none"/>
          <w:u w:val="single"/>
          <w:lang w:val="en-US" w:eastAsia="zh-CN"/>
        </w:rPr>
        <w:t xml:space="preserve"> 嵊州市三溪水库配套工程（上竹线楼家-三溪段道路改建工程） </w:t>
      </w:r>
      <w:r>
        <w:rPr>
          <w:rFonts w:hint="eastAsia" w:ascii="宋体" w:hAnsi="宋体" w:eastAsia="宋体" w:cs="宋体"/>
          <w:color w:val="auto"/>
          <w:spacing w:val="0"/>
          <w:sz w:val="21"/>
          <w:szCs w:val="21"/>
          <w:highlight w:val="none"/>
        </w:rPr>
        <w:t>(项目名称) 施工招标文件以《中华人民共和国招标投标法》、《中华人民共和国招标投标法实施条例》、《浙江省招标投标条例》</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rPr>
        <w:t>中华人民共和国《标准施工招标文件》(2007年版)、交通运输部《公路工程标准施工招标文件》(2018年版)及《浙江省公路工程施工招标文件示范文本》(2022年版)为依据，结合本项目的特点和实际需要编制而成。</w:t>
      </w:r>
    </w:p>
    <w:p>
      <w:pPr>
        <w:keepNext w:val="0"/>
        <w:keepLines w:val="0"/>
        <w:pageBreakBefore w:val="0"/>
        <w:widowControl/>
        <w:kinsoku w:val="0"/>
        <w:wordWrap/>
        <w:overflowPunct/>
        <w:topLinePunct w:val="0"/>
        <w:autoSpaceDE w:val="0"/>
        <w:autoSpaceDN w:val="0"/>
        <w:bidi w:val="0"/>
        <w:adjustRightInd w:val="0"/>
        <w:snapToGrid w:val="0"/>
        <w:spacing w:before="1" w:line="500" w:lineRule="exact"/>
        <w:ind w:right="70" w:firstLine="420" w:firstLineChars="200"/>
        <w:jc w:val="lef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招标文件引用了《标准施工招标文件》和《公路工程标准施工招标文件》中的“投标人须知”</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rPr>
        <w:t>“评标办法”、“通用合同条款”、“A.公路工程专用合同条款”正文。</w:t>
      </w: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before="1" w:line="500" w:lineRule="exact"/>
        <w:ind w:right="66" w:firstLine="420" w:firstLineChars="200"/>
        <w:jc w:val="lef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《标准施工招标文件》、《公路工程标准施工招标文件》中“投标人须知”</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rPr>
        <w:t>“评标办法”、“通用合同条款”、“A.公路工程专用合同条款”是必须遵循的通用条款和规定，针对本项目的具体特点和实际情况：</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 w:line="500" w:lineRule="exact"/>
        <w:ind w:right="66" w:rightChars="0" w:firstLine="420" w:firstLineChars="200"/>
        <w:jc w:val="lef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在“投标人须知前附表”和“评标办法前附表”中对“投标人须知”、“评标办法”进行了补充、细化。</w:t>
      </w:r>
    </w:p>
    <w:p>
      <w:pPr>
        <w:keepNext w:val="0"/>
        <w:keepLines w:val="0"/>
        <w:pageBreakBefore w:val="0"/>
        <w:widowControl/>
        <w:kinsoku w:val="0"/>
        <w:wordWrap/>
        <w:overflowPunct/>
        <w:topLinePunct w:val="0"/>
        <w:autoSpaceDE w:val="0"/>
        <w:autoSpaceDN w:val="0"/>
        <w:bidi w:val="0"/>
        <w:adjustRightInd w:val="0"/>
        <w:snapToGrid w:val="0"/>
        <w:spacing w:before="161" w:line="500" w:lineRule="exact"/>
        <w:ind w:right="68" w:firstLine="420" w:firstLineChars="200"/>
        <w:jc w:val="lef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在“B.项目专用合同条款”中，对“通用合同条款”、“A.公路工程专用合同条款”进行了补充细化或约定。</w:t>
      </w:r>
    </w:p>
    <w:p>
      <w:pPr>
        <w:keepNext w:val="0"/>
        <w:keepLines w:val="0"/>
        <w:pageBreakBefore w:val="0"/>
        <w:widowControl/>
        <w:kinsoku w:val="0"/>
        <w:wordWrap/>
        <w:overflowPunct/>
        <w:topLinePunct w:val="0"/>
        <w:autoSpaceDE w:val="0"/>
        <w:autoSpaceDN w:val="0"/>
        <w:bidi w:val="0"/>
        <w:adjustRightInd w:val="0"/>
        <w:snapToGrid w:val="0"/>
        <w:spacing w:before="1" w:line="500" w:lineRule="exact"/>
        <w:ind w:right="68" w:firstLine="420" w:firstLineChars="200"/>
        <w:jc w:val="lef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三、招标文件中的“通用技术规范”直接引用了《公路工程标准施工招标文件》(2018年版·第二册) 技术规范。根据本项目的具体特点和实际需要，在“项目专用技术规范”中对“通用技术规范”进行了补充和修改。</w:t>
      </w:r>
    </w:p>
    <w:p>
      <w:pPr>
        <w:keepNext w:val="0"/>
        <w:keepLines w:val="0"/>
        <w:pageBreakBefore w:val="0"/>
        <w:widowControl/>
        <w:kinsoku w:val="0"/>
        <w:wordWrap/>
        <w:overflowPunct/>
        <w:topLinePunct w:val="0"/>
        <w:autoSpaceDE w:val="0"/>
        <w:autoSpaceDN w:val="0"/>
        <w:bidi w:val="0"/>
        <w:adjustRightInd w:val="0"/>
        <w:snapToGrid w:val="0"/>
        <w:spacing w:before="2" w:line="500" w:lineRule="exact"/>
        <w:ind w:right="17" w:firstLine="420" w:firstLineChars="200"/>
        <w:jc w:val="lef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四、“工程量清单计量规则”按照浙江省地方标准《交通建设工程工程量清单计价规范第1部分：公路工程》(DB33/T628.1—2021)编制。</w:t>
      </w:r>
    </w:p>
    <w:p>
      <w:pPr>
        <w:keepNext w:val="0"/>
        <w:keepLines w:val="0"/>
        <w:pageBreakBefore w:val="0"/>
        <w:widowControl/>
        <w:kinsoku w:val="0"/>
        <w:wordWrap/>
        <w:overflowPunct/>
        <w:topLinePunct w:val="0"/>
        <w:autoSpaceDE w:val="0"/>
        <w:autoSpaceDN w:val="0"/>
        <w:bidi w:val="0"/>
        <w:adjustRightInd w:val="0"/>
        <w:snapToGrid w:val="0"/>
        <w:spacing w:before="1" w:line="500" w:lineRule="exact"/>
        <w:ind w:right="73" w:firstLine="420" w:firstLineChars="200"/>
        <w:jc w:val="lef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五、投标人应按招标文件的要求认真编制投标文件，完整地响应招标文件的规定和内容，避免投标文件因不能通过评审而被拒绝。</w:t>
      </w:r>
    </w:p>
    <w:p>
      <w:pPr>
        <w:keepNext w:val="0"/>
        <w:keepLines w:val="0"/>
        <w:pageBreakBefore w:val="0"/>
        <w:widowControl/>
        <w:tabs>
          <w:tab w:val="left" w:pos="115"/>
        </w:tabs>
        <w:kinsoku w:val="0"/>
        <w:wordWrap/>
        <w:overflowPunct/>
        <w:topLinePunct w:val="0"/>
        <w:autoSpaceDE w:val="0"/>
        <w:autoSpaceDN w:val="0"/>
        <w:bidi w:val="0"/>
        <w:adjustRightInd w:val="0"/>
        <w:snapToGrid w:val="0"/>
        <w:spacing w:before="1" w:line="500" w:lineRule="exact"/>
        <w:ind w:right="73" w:firstLine="420" w:firstLineChars="200"/>
        <w:jc w:val="left"/>
        <w:textAlignment w:val="baseline"/>
        <w:rPr>
          <w:rFonts w:hint="eastAsia" w:ascii="宋体" w:hAnsi="宋体" w:eastAsia="宋体" w:cs="宋体"/>
          <w:color w:val="auto"/>
          <w:spacing w:val="0"/>
          <w:sz w:val="21"/>
          <w:highlight w:val="none"/>
        </w:rPr>
        <w:sectPr>
          <w:footerReference r:id="rId7" w:type="default"/>
          <w:pgSz w:w="11900" w:h="16840"/>
          <w:pgMar w:top="1160" w:right="1054" w:bottom="1448" w:left="1020" w:header="883" w:footer="1234" w:gutter="0"/>
          <w:pgNumType w:fmt="decimal" w:start="1"/>
          <w:cols w:space="720" w:num="1"/>
        </w:sectPr>
      </w:pPr>
      <w:r>
        <w:rPr>
          <w:rFonts w:hint="eastAsia" w:ascii="宋体" w:hAnsi="宋体" w:eastAsia="宋体" w:cs="宋体"/>
          <w:color w:val="auto"/>
          <w:spacing w:val="0"/>
          <w:sz w:val="21"/>
          <w:szCs w:val="21"/>
          <w:highlight w:val="none"/>
        </w:rPr>
        <w:t>六、《标准施工招标文件》、《公路工程标准施工招标文件》、《交通建设工程工程量清单计价规范第1部分：公路工程》(DB33/T628.1-2021)、《浙江省公路工程施工招标文件示范文本》(</w:t>
      </w:r>
      <w:r>
        <w:rPr>
          <w:rFonts w:hint="eastAsia" w:ascii="宋体" w:hAnsi="宋体" w:eastAsia="宋体" w:cs="宋体"/>
          <w:color w:val="auto"/>
          <w:spacing w:val="0"/>
          <w:sz w:val="21"/>
          <w:szCs w:val="21"/>
          <w:highlight w:val="none"/>
          <w:lang w:val="en-US" w:eastAsia="zh-CN"/>
        </w:rPr>
        <w:t>2022年</w:t>
      </w:r>
      <w:r>
        <w:rPr>
          <w:rFonts w:hint="eastAsia" w:ascii="宋体" w:hAnsi="宋体" w:eastAsia="宋体" w:cs="宋体"/>
          <w:color w:val="auto"/>
          <w:spacing w:val="0"/>
          <w:sz w:val="21"/>
          <w:szCs w:val="21"/>
          <w:highlight w:val="none"/>
        </w:rPr>
        <w:t>版)由投标人自备。</w:t>
      </w:r>
    </w:p>
    <w:p>
      <w:pPr>
        <w:tabs>
          <w:tab w:val="left" w:pos="6422"/>
        </w:tabs>
        <w:spacing w:before="0" w:beforeLines="0" w:after="0" w:afterLines="0" w:line="240" w:lineRule="auto"/>
        <w:ind w:left="0" w:leftChars="0" w:right="0" w:rightChars="0" w:firstLine="0" w:firstLineChars="0"/>
        <w:jc w:val="both"/>
        <w:outlineLvl w:val="0"/>
        <w:rPr>
          <w:rFonts w:hint="eastAsia" w:ascii="宋体" w:hAnsi="宋体" w:eastAsia="宋体"/>
          <w:b/>
          <w:bCs/>
          <w:i w:val="0"/>
          <w:iCs w:val="0"/>
          <w:color w:val="auto"/>
          <w:sz w:val="44"/>
          <w:szCs w:val="44"/>
          <w:highlight w:val="none"/>
          <w:lang w:eastAsia="zh-CN"/>
        </w:rPr>
      </w:pPr>
      <w:r>
        <w:rPr>
          <w:rFonts w:hint="eastAsia" w:ascii="宋体" w:hAnsi="宋体" w:eastAsia="宋体"/>
          <w:b/>
          <w:bCs/>
          <w:i w:val="0"/>
          <w:iCs w:val="0"/>
          <w:color w:val="auto"/>
          <w:sz w:val="44"/>
          <w:szCs w:val="44"/>
          <w:highlight w:val="none"/>
          <w:lang w:eastAsia="zh-CN"/>
        </w:rPr>
        <w:tab/>
      </w:r>
    </w:p>
    <w:p>
      <w:pPr>
        <w:pStyle w:val="2"/>
        <w:rPr>
          <w:color w:val="auto"/>
          <w:highlight w:val="none"/>
        </w:rPr>
      </w:pPr>
    </w:p>
    <w:sdt>
      <w:sdtPr>
        <w:rPr>
          <w:rFonts w:hint="eastAsia" w:ascii="宋体" w:hAnsi="宋体" w:eastAsia="宋体" w:cs="宋体"/>
          <w:snapToGrid w:val="0"/>
          <w:color w:val="auto"/>
          <w:kern w:val="0"/>
          <w:sz w:val="28"/>
          <w:szCs w:val="28"/>
          <w:highlight w:val="none"/>
        </w:rPr>
        <w:id w:val="147452366"/>
        <w15:color w:val="DBDBDB"/>
        <w:docPartObj>
          <w:docPartGallery w:val="Table of Contents"/>
          <w:docPartUnique/>
        </w:docPartObj>
      </w:sdtPr>
      <w:sdtEndPr>
        <w:rPr>
          <w:rFonts w:hint="eastAsia" w:ascii="Calibri" w:hAnsi="Calibri" w:eastAsia="宋体" w:cs="Arial"/>
          <w:b/>
          <w:bCs/>
          <w:snapToGrid w:val="0"/>
          <w:color w:val="auto"/>
          <w:kern w:val="0"/>
          <w:sz w:val="21"/>
          <w:szCs w:val="22"/>
          <w:highlight w:val="none"/>
        </w:rPr>
      </w:sdtEndPr>
      <w:sdtContent>
        <w:p>
          <w:pPr>
            <w:keepNext w:val="0"/>
            <w:keepLines w:val="0"/>
            <w:pageBreakBefore w:val="0"/>
            <w:wordWrap/>
            <w:overflowPunct/>
            <w:topLinePunct w:val="0"/>
            <w:bidi w:val="0"/>
            <w:spacing w:before="0" w:beforeLines="0" w:after="0" w:afterLines="0" w:line="800" w:lineRule="exact"/>
            <w:ind w:left="0" w:leftChars="0" w:right="0" w:rightChars="0" w:firstLine="0" w:firstLineChars="0"/>
            <w:jc w:val="center"/>
            <w:rPr>
              <w:rFonts w:hint="eastAsia" w:ascii="宋体" w:hAnsi="宋体" w:eastAsia="宋体" w:cs="宋体"/>
              <w:b/>
              <w:bCs/>
              <w:color w:val="auto"/>
              <w:sz w:val="30"/>
              <w:szCs w:val="30"/>
              <w:highlight w:val="none"/>
            </w:rPr>
          </w:pPr>
          <w:r>
            <w:rPr>
              <w:rFonts w:hint="eastAsia" w:ascii="宋体" w:hAnsi="宋体" w:eastAsia="宋体" w:cs="宋体"/>
              <w:b w:val="0"/>
              <w:bCs w:val="0"/>
              <w:color w:val="auto"/>
              <w:sz w:val="56"/>
              <w:szCs w:val="56"/>
              <w:highlight w:val="none"/>
            </w:rPr>
            <w:t>目</w:t>
          </w:r>
          <w:r>
            <w:rPr>
              <w:rFonts w:hint="eastAsia" w:ascii="宋体" w:hAnsi="宋体" w:eastAsia="宋体" w:cs="宋体"/>
              <w:b w:val="0"/>
              <w:bCs w:val="0"/>
              <w:color w:val="auto"/>
              <w:sz w:val="56"/>
              <w:szCs w:val="56"/>
              <w:highlight w:val="none"/>
              <w:lang w:val="en-US" w:eastAsia="zh-CN"/>
            </w:rPr>
            <w:t xml:space="preserve"> </w:t>
          </w:r>
          <w:r>
            <w:rPr>
              <w:rFonts w:hint="eastAsia" w:ascii="宋体" w:hAnsi="宋体" w:eastAsia="宋体" w:cs="宋体"/>
              <w:b w:val="0"/>
              <w:bCs w:val="0"/>
              <w:color w:val="auto"/>
              <w:sz w:val="56"/>
              <w:szCs w:val="56"/>
              <w:highlight w:val="none"/>
            </w:rPr>
            <w:t>录</w:t>
          </w:r>
          <w:r>
            <w:rPr>
              <w:rFonts w:hint="eastAsia" w:ascii="宋体" w:hAnsi="宋体" w:eastAsia="宋体" w:cs="宋体"/>
              <w:b/>
              <w:bCs/>
              <w:snapToGrid w:val="0"/>
              <w:color w:val="auto"/>
              <w:kern w:val="0"/>
              <w:sz w:val="30"/>
              <w:szCs w:val="30"/>
              <w:highlight w:val="none"/>
            </w:rPr>
            <w:fldChar w:fldCharType="begin"/>
          </w:r>
          <w:r>
            <w:rPr>
              <w:rFonts w:hint="eastAsia" w:ascii="宋体" w:hAnsi="宋体" w:eastAsia="宋体" w:cs="宋体"/>
              <w:b/>
              <w:bCs/>
              <w:snapToGrid w:val="0"/>
              <w:color w:val="auto"/>
              <w:kern w:val="0"/>
              <w:sz w:val="30"/>
              <w:szCs w:val="30"/>
              <w:highlight w:val="none"/>
            </w:rPr>
            <w:instrText xml:space="preserve">TOC \o "1-1" \h \u </w:instrText>
          </w:r>
          <w:r>
            <w:rPr>
              <w:rFonts w:hint="eastAsia" w:ascii="宋体" w:hAnsi="宋体" w:eastAsia="宋体" w:cs="宋体"/>
              <w:b/>
              <w:bCs/>
              <w:snapToGrid w:val="0"/>
              <w:color w:val="auto"/>
              <w:kern w:val="0"/>
              <w:sz w:val="30"/>
              <w:szCs w:val="30"/>
              <w:highlight w:val="none"/>
            </w:rPr>
            <w:fldChar w:fldCharType="separate"/>
          </w:r>
        </w:p>
        <w:p>
          <w:pPr>
            <w:pStyle w:val="32"/>
            <w:keepNext w:val="0"/>
            <w:keepLines w:val="0"/>
            <w:pageBreakBefore w:val="0"/>
            <w:tabs>
              <w:tab w:val="right" w:leader="dot" w:pos="8782"/>
            </w:tabs>
            <w:wordWrap/>
            <w:overflowPunct/>
            <w:topLinePunct w:val="0"/>
            <w:bidi w:val="0"/>
            <w:spacing w:line="800" w:lineRule="exact"/>
            <w:rPr>
              <w:rFonts w:hint="eastAsia" w:ascii="宋体" w:hAnsi="宋体" w:eastAsia="宋体" w:cs="宋体"/>
              <w:b/>
              <w:bCs/>
              <w:color w:val="auto"/>
              <w:sz w:val="30"/>
              <w:szCs w:val="30"/>
              <w:highlight w:val="none"/>
            </w:rPr>
          </w:pPr>
          <w:r>
            <w:rPr>
              <w:rFonts w:hint="eastAsia" w:ascii="宋体" w:hAnsi="宋体" w:eastAsia="宋体" w:cs="宋体"/>
              <w:b/>
              <w:bCs/>
              <w:snapToGrid w:val="0"/>
              <w:color w:val="auto"/>
              <w:kern w:val="0"/>
              <w:sz w:val="30"/>
              <w:szCs w:val="30"/>
              <w:highlight w:val="none"/>
            </w:rPr>
            <w:fldChar w:fldCharType="begin"/>
          </w:r>
          <w:r>
            <w:rPr>
              <w:rFonts w:hint="eastAsia" w:ascii="宋体" w:hAnsi="宋体" w:eastAsia="宋体" w:cs="宋体"/>
              <w:b/>
              <w:bCs/>
              <w:snapToGrid w:val="0"/>
              <w:color w:val="auto"/>
              <w:kern w:val="0"/>
              <w:sz w:val="30"/>
              <w:szCs w:val="30"/>
              <w:highlight w:val="none"/>
            </w:rPr>
            <w:instrText xml:space="preserve"> HYPERLINK \l _Toc21310 </w:instrText>
          </w:r>
          <w:r>
            <w:rPr>
              <w:rFonts w:hint="eastAsia" w:ascii="宋体" w:hAnsi="宋体" w:eastAsia="宋体" w:cs="宋体"/>
              <w:b/>
              <w:bCs/>
              <w:snapToGrid w:val="0"/>
              <w:color w:val="auto"/>
              <w:kern w:val="0"/>
              <w:sz w:val="30"/>
              <w:szCs w:val="30"/>
              <w:highlight w:val="none"/>
            </w:rPr>
            <w:fldChar w:fldCharType="separate"/>
          </w:r>
          <w:r>
            <w:rPr>
              <w:rFonts w:hint="eastAsia" w:ascii="宋体" w:hAnsi="宋体" w:eastAsia="宋体" w:cs="宋体"/>
              <w:b/>
              <w:bCs/>
              <w:color w:val="auto"/>
              <w:spacing w:val="5"/>
              <w:sz w:val="30"/>
              <w:szCs w:val="30"/>
              <w:highlight w:val="none"/>
            </w:rPr>
            <w:t>第</w:t>
          </w:r>
          <w:r>
            <w:rPr>
              <w:rFonts w:hint="eastAsia" w:ascii="宋体" w:hAnsi="宋体" w:eastAsia="宋体" w:cs="宋体"/>
              <w:b/>
              <w:bCs/>
              <w:color w:val="auto"/>
              <w:spacing w:val="4"/>
              <w:sz w:val="30"/>
              <w:szCs w:val="30"/>
              <w:highlight w:val="none"/>
            </w:rPr>
            <w:t>一卷</w:t>
          </w:r>
          <w:r>
            <w:rPr>
              <w:rFonts w:hint="eastAsia" w:ascii="宋体" w:hAnsi="宋体" w:eastAsia="宋体" w:cs="宋体"/>
              <w:b/>
              <w:bCs/>
              <w:color w:val="auto"/>
              <w:sz w:val="30"/>
              <w:szCs w:val="30"/>
              <w:highlight w:val="none"/>
            </w:rPr>
            <w:tab/>
          </w:r>
          <w:r>
            <w:rPr>
              <w:rFonts w:hint="eastAsia" w:ascii="宋体" w:hAnsi="宋体" w:eastAsia="宋体" w:cs="宋体"/>
              <w:b/>
              <w:bCs/>
              <w:color w:val="auto"/>
              <w:sz w:val="30"/>
              <w:szCs w:val="30"/>
              <w:highlight w:val="none"/>
            </w:rPr>
            <w:fldChar w:fldCharType="begin"/>
          </w:r>
          <w:r>
            <w:rPr>
              <w:rFonts w:hint="eastAsia" w:ascii="宋体" w:hAnsi="宋体" w:eastAsia="宋体" w:cs="宋体"/>
              <w:b/>
              <w:bCs/>
              <w:color w:val="auto"/>
              <w:sz w:val="30"/>
              <w:szCs w:val="30"/>
              <w:highlight w:val="none"/>
            </w:rPr>
            <w:instrText xml:space="preserve"> PAGEREF _Toc21310 \h </w:instrText>
          </w:r>
          <w:r>
            <w:rPr>
              <w:rFonts w:hint="eastAsia" w:ascii="宋体" w:hAnsi="宋体" w:eastAsia="宋体" w:cs="宋体"/>
              <w:b/>
              <w:bCs/>
              <w:color w:val="auto"/>
              <w:sz w:val="30"/>
              <w:szCs w:val="30"/>
              <w:highlight w:val="none"/>
            </w:rPr>
            <w:fldChar w:fldCharType="separate"/>
          </w:r>
          <w:r>
            <w:rPr>
              <w:rFonts w:hint="eastAsia" w:ascii="宋体" w:hAnsi="宋体" w:eastAsia="宋体" w:cs="宋体"/>
              <w:b/>
              <w:bCs/>
              <w:color w:val="auto"/>
              <w:sz w:val="30"/>
              <w:szCs w:val="30"/>
              <w:highlight w:val="none"/>
            </w:rPr>
            <w:t>3</w:t>
          </w:r>
          <w:r>
            <w:rPr>
              <w:rFonts w:hint="eastAsia" w:ascii="宋体" w:hAnsi="宋体" w:eastAsia="宋体" w:cs="宋体"/>
              <w:b/>
              <w:bCs/>
              <w:color w:val="auto"/>
              <w:sz w:val="30"/>
              <w:szCs w:val="30"/>
              <w:highlight w:val="none"/>
            </w:rPr>
            <w:fldChar w:fldCharType="end"/>
          </w:r>
          <w:r>
            <w:rPr>
              <w:rFonts w:hint="eastAsia" w:ascii="宋体" w:hAnsi="宋体" w:eastAsia="宋体" w:cs="宋体"/>
              <w:b/>
              <w:bCs/>
              <w:snapToGrid w:val="0"/>
              <w:color w:val="auto"/>
              <w:kern w:val="0"/>
              <w:sz w:val="30"/>
              <w:szCs w:val="30"/>
              <w:highlight w:val="none"/>
            </w:rPr>
            <w:fldChar w:fldCharType="end"/>
          </w:r>
        </w:p>
        <w:p>
          <w:pPr>
            <w:pStyle w:val="32"/>
            <w:keepNext w:val="0"/>
            <w:keepLines w:val="0"/>
            <w:pageBreakBefore w:val="0"/>
            <w:tabs>
              <w:tab w:val="right" w:leader="dot" w:pos="8782"/>
            </w:tabs>
            <w:wordWrap/>
            <w:overflowPunct/>
            <w:topLinePunct w:val="0"/>
            <w:bidi w:val="0"/>
            <w:spacing w:line="800" w:lineRule="exact"/>
            <w:ind w:firstLine="600" w:firstLineChars="200"/>
            <w:rPr>
              <w:rFonts w:hint="eastAsia" w:ascii="宋体" w:hAnsi="宋体" w:eastAsia="宋体" w:cs="宋体"/>
              <w:b w:val="0"/>
              <w:bCs w:val="0"/>
              <w:color w:val="auto"/>
              <w:sz w:val="30"/>
              <w:szCs w:val="30"/>
              <w:highlight w:val="none"/>
            </w:rPr>
          </w:pPr>
          <w:r>
            <w:rPr>
              <w:rFonts w:hint="eastAsia" w:ascii="宋体" w:hAnsi="宋体" w:eastAsia="宋体" w:cs="宋体"/>
              <w:b w:val="0"/>
              <w:bCs w:val="0"/>
              <w:snapToGrid w:val="0"/>
              <w:color w:val="auto"/>
              <w:kern w:val="0"/>
              <w:sz w:val="30"/>
              <w:szCs w:val="30"/>
              <w:highlight w:val="none"/>
            </w:rPr>
            <w:fldChar w:fldCharType="begin"/>
          </w:r>
          <w:r>
            <w:rPr>
              <w:rFonts w:hint="eastAsia" w:ascii="宋体" w:hAnsi="宋体" w:eastAsia="宋体" w:cs="宋体"/>
              <w:b w:val="0"/>
              <w:bCs w:val="0"/>
              <w:snapToGrid w:val="0"/>
              <w:color w:val="auto"/>
              <w:kern w:val="0"/>
              <w:sz w:val="30"/>
              <w:szCs w:val="30"/>
              <w:highlight w:val="none"/>
            </w:rPr>
            <w:instrText xml:space="preserve"> HYPERLINK \l _Toc25200 </w:instrText>
          </w:r>
          <w:r>
            <w:rPr>
              <w:rFonts w:hint="eastAsia" w:ascii="宋体" w:hAnsi="宋体" w:eastAsia="宋体" w:cs="宋体"/>
              <w:b w:val="0"/>
              <w:bCs w:val="0"/>
              <w:snapToGrid w:val="0"/>
              <w:color w:val="auto"/>
              <w:kern w:val="0"/>
              <w:sz w:val="30"/>
              <w:szCs w:val="30"/>
              <w:highlight w:val="none"/>
            </w:rPr>
            <w:fldChar w:fldCharType="separate"/>
          </w:r>
          <w:r>
            <w:rPr>
              <w:rFonts w:hint="eastAsia" w:ascii="宋体" w:hAnsi="宋体" w:eastAsia="宋体" w:cs="宋体"/>
              <w:b w:val="0"/>
              <w:bCs w:val="0"/>
              <w:color w:val="auto"/>
              <w:spacing w:val="-2"/>
              <w:sz w:val="30"/>
              <w:szCs w:val="30"/>
              <w:highlight w:val="none"/>
              <w14:textOutline w14:w="8708" w14:cap="flat" w14:cmpd="sng">
                <w14:solidFill>
                  <w14:srgbClr w14:val="000000"/>
                </w14:solidFill>
                <w14:prstDash w14:val="solid"/>
                <w14:miter w14:val="0"/>
              </w14:textOutline>
            </w:rPr>
            <w:t>第一</w:t>
          </w:r>
          <w:r>
            <w:rPr>
              <w:rFonts w:hint="eastAsia" w:ascii="宋体" w:hAnsi="宋体" w:eastAsia="宋体" w:cs="宋体"/>
              <w:b w:val="0"/>
              <w:bCs w:val="0"/>
              <w:color w:val="auto"/>
              <w:spacing w:val="-1"/>
              <w:sz w:val="30"/>
              <w:szCs w:val="30"/>
              <w:highlight w:val="none"/>
              <w14:textOutline w14:w="8708" w14:cap="flat" w14:cmpd="sng">
                <w14:solidFill>
                  <w14:srgbClr w14:val="000000"/>
                </w14:solidFill>
                <w14:prstDash w14:val="solid"/>
                <w14:miter w14:val="0"/>
              </w14:textOutline>
            </w:rPr>
            <w:t>章</w:t>
          </w:r>
          <w:r>
            <w:rPr>
              <w:rFonts w:hint="eastAsia" w:ascii="宋体" w:hAnsi="宋体" w:eastAsia="宋体" w:cs="宋体"/>
              <w:b w:val="0"/>
              <w:bCs w:val="0"/>
              <w:color w:val="auto"/>
              <w:spacing w:val="-1"/>
              <w:sz w:val="30"/>
              <w:szCs w:val="30"/>
              <w:highlight w:val="none"/>
            </w:rPr>
            <w:t xml:space="preserve"> </w:t>
          </w:r>
          <w:r>
            <w:rPr>
              <w:rFonts w:hint="eastAsia" w:ascii="宋体" w:hAnsi="宋体" w:eastAsia="宋体" w:cs="宋体"/>
              <w:b w:val="0"/>
              <w:bCs w:val="0"/>
              <w:color w:val="auto"/>
              <w:spacing w:val="-1"/>
              <w:sz w:val="30"/>
              <w:szCs w:val="30"/>
              <w:highlight w:val="none"/>
              <w14:textOutline w14:w="8708" w14:cap="flat" w14:cmpd="sng">
                <w14:solidFill>
                  <w14:srgbClr w14:val="000000"/>
                </w14:solidFill>
                <w14:prstDash w14:val="solid"/>
                <w14:miter w14:val="0"/>
              </w14:textOutline>
            </w:rPr>
            <w:t>招标公告</w:t>
          </w:r>
          <w:r>
            <w:rPr>
              <w:rFonts w:hint="eastAsia" w:ascii="宋体" w:hAnsi="宋体" w:eastAsia="宋体" w:cs="宋体"/>
              <w:b w:val="0"/>
              <w:bCs w:val="0"/>
              <w:color w:val="auto"/>
              <w:sz w:val="30"/>
              <w:szCs w:val="30"/>
              <w:highlight w:val="none"/>
            </w:rPr>
            <w:tab/>
          </w:r>
          <w:r>
            <w:rPr>
              <w:rFonts w:hint="eastAsia" w:ascii="宋体" w:hAnsi="宋体" w:cs="宋体"/>
              <w:b w:val="0"/>
              <w:bCs w:val="0"/>
              <w:color w:val="auto"/>
              <w:sz w:val="30"/>
              <w:szCs w:val="30"/>
              <w:highlight w:val="none"/>
              <w:lang w:val="en-US" w:eastAsia="zh-CN"/>
            </w:rPr>
            <w:t>4</w:t>
          </w:r>
          <w:r>
            <w:rPr>
              <w:rFonts w:hint="eastAsia" w:ascii="宋体" w:hAnsi="宋体" w:eastAsia="宋体" w:cs="宋体"/>
              <w:b w:val="0"/>
              <w:bCs w:val="0"/>
              <w:snapToGrid w:val="0"/>
              <w:color w:val="auto"/>
              <w:kern w:val="0"/>
              <w:sz w:val="30"/>
              <w:szCs w:val="30"/>
              <w:highlight w:val="none"/>
            </w:rPr>
            <w:fldChar w:fldCharType="end"/>
          </w:r>
        </w:p>
        <w:p>
          <w:pPr>
            <w:pStyle w:val="32"/>
            <w:keepNext w:val="0"/>
            <w:keepLines w:val="0"/>
            <w:pageBreakBefore w:val="0"/>
            <w:tabs>
              <w:tab w:val="right" w:leader="dot" w:pos="8782"/>
            </w:tabs>
            <w:wordWrap/>
            <w:overflowPunct/>
            <w:topLinePunct w:val="0"/>
            <w:bidi w:val="0"/>
            <w:spacing w:line="800" w:lineRule="exact"/>
            <w:ind w:firstLine="600" w:firstLineChars="200"/>
            <w:rPr>
              <w:rFonts w:hint="eastAsia" w:ascii="宋体" w:hAnsi="宋体" w:eastAsia="宋体" w:cs="宋体"/>
              <w:b w:val="0"/>
              <w:bCs w:val="0"/>
              <w:color w:val="auto"/>
              <w:sz w:val="30"/>
              <w:szCs w:val="30"/>
              <w:highlight w:val="none"/>
            </w:rPr>
          </w:pPr>
          <w:r>
            <w:rPr>
              <w:rFonts w:hint="eastAsia" w:ascii="宋体" w:hAnsi="宋体" w:eastAsia="宋体" w:cs="宋体"/>
              <w:b w:val="0"/>
              <w:bCs w:val="0"/>
              <w:snapToGrid w:val="0"/>
              <w:color w:val="auto"/>
              <w:kern w:val="0"/>
              <w:sz w:val="30"/>
              <w:szCs w:val="30"/>
              <w:highlight w:val="none"/>
            </w:rPr>
            <w:fldChar w:fldCharType="begin"/>
          </w:r>
          <w:r>
            <w:rPr>
              <w:rFonts w:hint="eastAsia" w:ascii="宋体" w:hAnsi="宋体" w:eastAsia="宋体" w:cs="宋体"/>
              <w:b w:val="0"/>
              <w:bCs w:val="0"/>
              <w:snapToGrid w:val="0"/>
              <w:color w:val="auto"/>
              <w:kern w:val="0"/>
              <w:sz w:val="30"/>
              <w:szCs w:val="30"/>
              <w:highlight w:val="none"/>
            </w:rPr>
            <w:instrText xml:space="preserve"> HYPERLINK \l _Toc24169 </w:instrText>
          </w:r>
          <w:r>
            <w:rPr>
              <w:rFonts w:hint="eastAsia" w:ascii="宋体" w:hAnsi="宋体" w:eastAsia="宋体" w:cs="宋体"/>
              <w:b w:val="0"/>
              <w:bCs w:val="0"/>
              <w:snapToGrid w:val="0"/>
              <w:color w:val="auto"/>
              <w:kern w:val="0"/>
              <w:sz w:val="30"/>
              <w:szCs w:val="30"/>
              <w:highlight w:val="none"/>
            </w:rPr>
            <w:fldChar w:fldCharType="separate"/>
          </w:r>
          <w:r>
            <w:rPr>
              <w:rFonts w:hint="eastAsia" w:ascii="宋体" w:hAnsi="宋体" w:eastAsia="宋体" w:cs="宋体"/>
              <w:b w:val="0"/>
              <w:bCs w:val="0"/>
              <w:color w:val="auto"/>
              <w:spacing w:val="-2"/>
              <w:sz w:val="30"/>
              <w:szCs w:val="30"/>
              <w:highlight w:val="none"/>
              <w14:textOutline w14:w="8708" w14:cap="flat" w14:cmpd="sng">
                <w14:solidFill>
                  <w14:srgbClr w14:val="000000"/>
                </w14:solidFill>
                <w14:prstDash w14:val="solid"/>
                <w14:miter w14:val="0"/>
              </w14:textOutline>
            </w:rPr>
            <w:t>第</w:t>
          </w:r>
          <w:r>
            <w:rPr>
              <w:rFonts w:hint="eastAsia" w:ascii="宋体" w:hAnsi="宋体" w:eastAsia="宋体" w:cs="宋体"/>
              <w:b w:val="0"/>
              <w:bCs w:val="0"/>
              <w:color w:val="auto"/>
              <w:spacing w:val="-1"/>
              <w:sz w:val="30"/>
              <w:szCs w:val="30"/>
              <w:highlight w:val="none"/>
              <w14:textOutline w14:w="8708" w14:cap="flat" w14:cmpd="sng">
                <w14:solidFill>
                  <w14:srgbClr w14:val="000000"/>
                </w14:solidFill>
                <w14:prstDash w14:val="solid"/>
                <w14:miter w14:val="0"/>
              </w14:textOutline>
            </w:rPr>
            <w:t>二章</w:t>
          </w:r>
          <w:r>
            <w:rPr>
              <w:rFonts w:hint="eastAsia" w:ascii="宋体" w:hAnsi="宋体" w:eastAsia="宋体" w:cs="宋体"/>
              <w:b w:val="0"/>
              <w:bCs w:val="0"/>
              <w:color w:val="auto"/>
              <w:spacing w:val="-1"/>
              <w:sz w:val="30"/>
              <w:szCs w:val="30"/>
              <w:highlight w:val="none"/>
            </w:rPr>
            <w:t xml:space="preserve"> </w:t>
          </w:r>
          <w:r>
            <w:rPr>
              <w:rFonts w:hint="eastAsia" w:ascii="宋体" w:hAnsi="宋体" w:eastAsia="宋体" w:cs="宋体"/>
              <w:b w:val="0"/>
              <w:bCs w:val="0"/>
              <w:color w:val="auto"/>
              <w:spacing w:val="-1"/>
              <w:sz w:val="30"/>
              <w:szCs w:val="30"/>
              <w:highlight w:val="none"/>
              <w14:textOutline w14:w="8708" w14:cap="flat" w14:cmpd="sng">
                <w14:solidFill>
                  <w14:srgbClr w14:val="000000"/>
                </w14:solidFill>
                <w14:prstDash w14:val="solid"/>
                <w14:miter w14:val="0"/>
              </w14:textOutline>
            </w:rPr>
            <w:t>投标人须知</w:t>
          </w:r>
          <w:r>
            <w:rPr>
              <w:rFonts w:hint="eastAsia" w:ascii="宋体" w:hAnsi="宋体" w:eastAsia="宋体" w:cs="宋体"/>
              <w:b w:val="0"/>
              <w:bCs w:val="0"/>
              <w:color w:val="auto"/>
              <w:sz w:val="30"/>
              <w:szCs w:val="30"/>
              <w:highlight w:val="none"/>
            </w:rPr>
            <w:tab/>
          </w:r>
          <w:r>
            <w:rPr>
              <w:rFonts w:hint="eastAsia" w:ascii="宋体" w:hAnsi="宋体" w:cs="宋体"/>
              <w:b w:val="0"/>
              <w:bCs w:val="0"/>
              <w:color w:val="auto"/>
              <w:sz w:val="30"/>
              <w:szCs w:val="30"/>
              <w:highlight w:val="none"/>
              <w:lang w:val="en-US" w:eastAsia="zh-CN"/>
            </w:rPr>
            <w:t>7</w:t>
          </w:r>
          <w:r>
            <w:rPr>
              <w:rFonts w:hint="eastAsia" w:ascii="宋体" w:hAnsi="宋体" w:eastAsia="宋体" w:cs="宋体"/>
              <w:b w:val="0"/>
              <w:bCs w:val="0"/>
              <w:snapToGrid w:val="0"/>
              <w:color w:val="auto"/>
              <w:kern w:val="0"/>
              <w:sz w:val="30"/>
              <w:szCs w:val="30"/>
              <w:highlight w:val="none"/>
            </w:rPr>
            <w:fldChar w:fldCharType="end"/>
          </w:r>
        </w:p>
        <w:p>
          <w:pPr>
            <w:pStyle w:val="32"/>
            <w:keepNext w:val="0"/>
            <w:keepLines w:val="0"/>
            <w:pageBreakBefore w:val="0"/>
            <w:tabs>
              <w:tab w:val="right" w:leader="dot" w:pos="8782"/>
            </w:tabs>
            <w:wordWrap/>
            <w:overflowPunct/>
            <w:topLinePunct w:val="0"/>
            <w:bidi w:val="0"/>
            <w:spacing w:line="800" w:lineRule="exact"/>
            <w:ind w:firstLine="600" w:firstLineChars="200"/>
            <w:rPr>
              <w:rFonts w:hint="eastAsia" w:ascii="宋体" w:hAnsi="宋体" w:eastAsia="宋体" w:cs="宋体"/>
              <w:b w:val="0"/>
              <w:bCs w:val="0"/>
              <w:color w:val="auto"/>
              <w:sz w:val="30"/>
              <w:szCs w:val="30"/>
              <w:highlight w:val="none"/>
              <w:lang w:val="en-US" w:eastAsia="zh-CN"/>
            </w:rPr>
          </w:pPr>
          <w:r>
            <w:rPr>
              <w:rFonts w:hint="eastAsia" w:ascii="宋体" w:hAnsi="宋体" w:eastAsia="宋体" w:cs="宋体"/>
              <w:b w:val="0"/>
              <w:bCs w:val="0"/>
              <w:snapToGrid w:val="0"/>
              <w:color w:val="auto"/>
              <w:kern w:val="0"/>
              <w:sz w:val="30"/>
              <w:szCs w:val="30"/>
              <w:highlight w:val="none"/>
            </w:rPr>
            <w:fldChar w:fldCharType="begin"/>
          </w:r>
          <w:r>
            <w:rPr>
              <w:rFonts w:hint="eastAsia" w:ascii="宋体" w:hAnsi="宋体" w:eastAsia="宋体" w:cs="宋体"/>
              <w:b w:val="0"/>
              <w:bCs w:val="0"/>
              <w:snapToGrid w:val="0"/>
              <w:color w:val="auto"/>
              <w:kern w:val="0"/>
              <w:sz w:val="30"/>
              <w:szCs w:val="30"/>
              <w:highlight w:val="none"/>
            </w:rPr>
            <w:instrText xml:space="preserve"> HYPERLINK \l _Toc2616 </w:instrText>
          </w:r>
          <w:r>
            <w:rPr>
              <w:rFonts w:hint="eastAsia" w:ascii="宋体" w:hAnsi="宋体" w:eastAsia="宋体" w:cs="宋体"/>
              <w:b w:val="0"/>
              <w:bCs w:val="0"/>
              <w:snapToGrid w:val="0"/>
              <w:color w:val="auto"/>
              <w:kern w:val="0"/>
              <w:sz w:val="30"/>
              <w:szCs w:val="30"/>
              <w:highlight w:val="none"/>
            </w:rPr>
            <w:fldChar w:fldCharType="separate"/>
          </w:r>
          <w:r>
            <w:rPr>
              <w:rFonts w:hint="eastAsia" w:ascii="宋体" w:hAnsi="宋体" w:eastAsia="宋体" w:cs="宋体"/>
              <w:b w:val="0"/>
              <w:bCs w:val="0"/>
              <w:color w:val="auto"/>
              <w:spacing w:val="-2"/>
              <w:sz w:val="30"/>
              <w:szCs w:val="30"/>
              <w:highlight w:val="none"/>
              <w14:textOutline w14:w="8708" w14:cap="flat" w14:cmpd="sng">
                <w14:solidFill>
                  <w14:srgbClr w14:val="000000"/>
                </w14:solidFill>
                <w14:prstDash w14:val="solid"/>
                <w14:miter w14:val="0"/>
              </w14:textOutline>
            </w:rPr>
            <w:t>第</w:t>
          </w:r>
          <w:r>
            <w:rPr>
              <w:rFonts w:hint="eastAsia" w:ascii="宋体" w:hAnsi="宋体" w:eastAsia="宋体" w:cs="宋体"/>
              <w:b w:val="0"/>
              <w:bCs w:val="0"/>
              <w:color w:val="auto"/>
              <w:spacing w:val="-1"/>
              <w:sz w:val="30"/>
              <w:szCs w:val="30"/>
              <w:highlight w:val="none"/>
              <w14:textOutline w14:w="8708" w14:cap="flat" w14:cmpd="sng">
                <w14:solidFill>
                  <w14:srgbClr w14:val="000000"/>
                </w14:solidFill>
                <w14:prstDash w14:val="solid"/>
                <w14:miter w14:val="0"/>
              </w14:textOutline>
            </w:rPr>
            <w:t>三章</w:t>
          </w:r>
          <w:r>
            <w:rPr>
              <w:rFonts w:hint="eastAsia" w:ascii="宋体" w:hAnsi="宋体" w:eastAsia="宋体" w:cs="宋体"/>
              <w:b w:val="0"/>
              <w:bCs w:val="0"/>
              <w:color w:val="auto"/>
              <w:spacing w:val="-1"/>
              <w:sz w:val="30"/>
              <w:szCs w:val="30"/>
              <w:highlight w:val="none"/>
            </w:rPr>
            <w:t xml:space="preserve"> </w:t>
          </w:r>
          <w:r>
            <w:rPr>
              <w:rFonts w:hint="eastAsia" w:ascii="宋体" w:hAnsi="宋体" w:eastAsia="宋体" w:cs="宋体"/>
              <w:b w:val="0"/>
              <w:bCs w:val="0"/>
              <w:color w:val="auto"/>
              <w:spacing w:val="-1"/>
              <w:sz w:val="30"/>
              <w:szCs w:val="30"/>
              <w:highlight w:val="none"/>
              <w14:textOutline w14:w="8708" w14:cap="flat" w14:cmpd="sng">
                <w14:solidFill>
                  <w14:srgbClr w14:val="000000"/>
                </w14:solidFill>
                <w14:prstDash w14:val="solid"/>
                <w14:miter w14:val="0"/>
              </w14:textOutline>
            </w:rPr>
            <w:t>评标办法</w:t>
          </w:r>
          <w:r>
            <w:rPr>
              <w:rFonts w:hint="eastAsia" w:ascii="宋体" w:hAnsi="宋体" w:eastAsia="宋体" w:cs="宋体"/>
              <w:b w:val="0"/>
              <w:bCs w:val="0"/>
              <w:color w:val="auto"/>
              <w:sz w:val="30"/>
              <w:szCs w:val="30"/>
              <w:highlight w:val="none"/>
            </w:rPr>
            <w:tab/>
          </w:r>
          <w:r>
            <w:rPr>
              <w:rFonts w:hint="eastAsia" w:ascii="宋体" w:hAnsi="宋体" w:cs="宋体"/>
              <w:b w:val="0"/>
              <w:bCs w:val="0"/>
              <w:color w:val="auto"/>
              <w:sz w:val="30"/>
              <w:szCs w:val="30"/>
              <w:highlight w:val="none"/>
              <w:lang w:val="en-US" w:eastAsia="zh-CN"/>
            </w:rPr>
            <w:t>4</w:t>
          </w:r>
          <w:r>
            <w:rPr>
              <w:rFonts w:hint="eastAsia" w:ascii="宋体" w:hAnsi="宋体" w:eastAsia="宋体" w:cs="宋体"/>
              <w:b w:val="0"/>
              <w:bCs w:val="0"/>
              <w:snapToGrid w:val="0"/>
              <w:color w:val="auto"/>
              <w:kern w:val="0"/>
              <w:sz w:val="30"/>
              <w:szCs w:val="30"/>
              <w:highlight w:val="none"/>
            </w:rPr>
            <w:fldChar w:fldCharType="end"/>
          </w:r>
          <w:r>
            <w:rPr>
              <w:rFonts w:hint="eastAsia" w:ascii="宋体" w:hAnsi="宋体" w:cs="宋体"/>
              <w:b w:val="0"/>
              <w:bCs w:val="0"/>
              <w:snapToGrid w:val="0"/>
              <w:color w:val="auto"/>
              <w:kern w:val="0"/>
              <w:sz w:val="30"/>
              <w:szCs w:val="30"/>
              <w:highlight w:val="none"/>
              <w:lang w:val="en-US" w:eastAsia="zh-CN"/>
            </w:rPr>
            <w:t>2</w:t>
          </w:r>
        </w:p>
        <w:p>
          <w:pPr>
            <w:pStyle w:val="32"/>
            <w:keepNext w:val="0"/>
            <w:keepLines w:val="0"/>
            <w:pageBreakBefore w:val="0"/>
            <w:tabs>
              <w:tab w:val="right" w:leader="dot" w:pos="8782"/>
            </w:tabs>
            <w:wordWrap/>
            <w:overflowPunct/>
            <w:topLinePunct w:val="0"/>
            <w:bidi w:val="0"/>
            <w:spacing w:line="800" w:lineRule="exact"/>
            <w:ind w:firstLine="600" w:firstLineChars="200"/>
            <w:rPr>
              <w:rFonts w:hint="eastAsia" w:ascii="宋体" w:hAnsi="宋体" w:eastAsia="宋体" w:cs="宋体"/>
              <w:b w:val="0"/>
              <w:bCs w:val="0"/>
              <w:color w:val="auto"/>
              <w:sz w:val="30"/>
              <w:szCs w:val="30"/>
              <w:highlight w:val="none"/>
            </w:rPr>
          </w:pPr>
          <w:r>
            <w:rPr>
              <w:rFonts w:hint="eastAsia" w:ascii="宋体" w:hAnsi="宋体" w:eastAsia="宋体" w:cs="宋体"/>
              <w:b w:val="0"/>
              <w:bCs w:val="0"/>
              <w:snapToGrid w:val="0"/>
              <w:color w:val="auto"/>
              <w:kern w:val="0"/>
              <w:sz w:val="30"/>
              <w:szCs w:val="30"/>
              <w:highlight w:val="none"/>
            </w:rPr>
            <w:fldChar w:fldCharType="begin"/>
          </w:r>
          <w:r>
            <w:rPr>
              <w:rFonts w:hint="eastAsia" w:ascii="宋体" w:hAnsi="宋体" w:eastAsia="宋体" w:cs="宋体"/>
              <w:b w:val="0"/>
              <w:bCs w:val="0"/>
              <w:snapToGrid w:val="0"/>
              <w:color w:val="auto"/>
              <w:kern w:val="0"/>
              <w:sz w:val="30"/>
              <w:szCs w:val="30"/>
              <w:highlight w:val="none"/>
            </w:rPr>
            <w:instrText xml:space="preserve"> HYPERLINK \l _Toc20091 </w:instrText>
          </w:r>
          <w:r>
            <w:rPr>
              <w:rFonts w:hint="eastAsia" w:ascii="宋体" w:hAnsi="宋体" w:eastAsia="宋体" w:cs="宋体"/>
              <w:b w:val="0"/>
              <w:bCs w:val="0"/>
              <w:snapToGrid w:val="0"/>
              <w:color w:val="auto"/>
              <w:kern w:val="0"/>
              <w:sz w:val="30"/>
              <w:szCs w:val="30"/>
              <w:highlight w:val="none"/>
            </w:rPr>
            <w:fldChar w:fldCharType="separate"/>
          </w:r>
          <w:r>
            <w:rPr>
              <w:rFonts w:hint="eastAsia" w:ascii="宋体" w:hAnsi="宋体" w:eastAsia="宋体" w:cs="宋体"/>
              <w:b w:val="0"/>
              <w:bCs w:val="0"/>
              <w:color w:val="auto"/>
              <w:spacing w:val="-1"/>
              <w:sz w:val="30"/>
              <w:szCs w:val="30"/>
              <w:highlight w:val="none"/>
              <w14:textOutline w14:w="8708" w14:cap="flat" w14:cmpd="sng">
                <w14:solidFill>
                  <w14:srgbClr w14:val="000000"/>
                </w14:solidFill>
                <w14:prstDash w14:val="solid"/>
                <w14:miter w14:val="0"/>
              </w14:textOutline>
            </w:rPr>
            <w:t>第四章</w:t>
          </w:r>
          <w:r>
            <w:rPr>
              <w:rFonts w:hint="eastAsia" w:ascii="宋体" w:hAnsi="宋体" w:eastAsia="宋体" w:cs="宋体"/>
              <w:b w:val="0"/>
              <w:bCs w:val="0"/>
              <w:color w:val="auto"/>
              <w:spacing w:val="-1"/>
              <w:sz w:val="30"/>
              <w:szCs w:val="30"/>
              <w:highlight w:val="none"/>
            </w:rPr>
            <w:t xml:space="preserve"> </w:t>
          </w:r>
          <w:r>
            <w:rPr>
              <w:rFonts w:hint="eastAsia" w:ascii="宋体" w:hAnsi="宋体" w:eastAsia="宋体" w:cs="宋体"/>
              <w:b w:val="0"/>
              <w:bCs w:val="0"/>
              <w:color w:val="auto"/>
              <w:spacing w:val="-1"/>
              <w:sz w:val="30"/>
              <w:szCs w:val="30"/>
              <w:highlight w:val="none"/>
              <w14:textOutline w14:w="8708" w14:cap="flat" w14:cmpd="sng">
                <w14:solidFill>
                  <w14:srgbClr w14:val="000000"/>
                </w14:solidFill>
                <w14:prstDash w14:val="solid"/>
                <w14:miter w14:val="0"/>
              </w14:textOutline>
            </w:rPr>
            <w:t>合</w:t>
          </w:r>
          <w:r>
            <w:rPr>
              <w:rFonts w:hint="eastAsia" w:ascii="宋体" w:hAnsi="宋体" w:eastAsia="宋体" w:cs="宋体"/>
              <w:b w:val="0"/>
              <w:bCs w:val="0"/>
              <w:color w:val="auto"/>
              <w:sz w:val="30"/>
              <w:szCs w:val="30"/>
              <w:highlight w:val="none"/>
              <w14:textOutline w14:w="8708" w14:cap="flat" w14:cmpd="sng">
                <w14:solidFill>
                  <w14:srgbClr w14:val="000000"/>
                </w14:solidFill>
                <w14:prstDash w14:val="solid"/>
                <w14:miter w14:val="0"/>
              </w14:textOutline>
            </w:rPr>
            <w:t>同条款及格式</w:t>
          </w:r>
          <w:r>
            <w:rPr>
              <w:rFonts w:hint="eastAsia" w:ascii="宋体" w:hAnsi="宋体" w:eastAsia="宋体" w:cs="宋体"/>
              <w:b w:val="0"/>
              <w:bCs w:val="0"/>
              <w:color w:val="auto"/>
              <w:sz w:val="30"/>
              <w:szCs w:val="30"/>
              <w:highlight w:val="none"/>
            </w:rPr>
            <w:tab/>
          </w:r>
          <w:r>
            <w:rPr>
              <w:rFonts w:hint="eastAsia" w:ascii="宋体" w:hAnsi="宋体" w:eastAsia="宋体" w:cs="宋体"/>
              <w:b w:val="0"/>
              <w:bCs w:val="0"/>
              <w:color w:val="auto"/>
              <w:sz w:val="30"/>
              <w:szCs w:val="30"/>
              <w:highlight w:val="none"/>
            </w:rPr>
            <w:fldChar w:fldCharType="begin"/>
          </w:r>
          <w:r>
            <w:rPr>
              <w:rFonts w:hint="eastAsia" w:ascii="宋体" w:hAnsi="宋体" w:eastAsia="宋体" w:cs="宋体"/>
              <w:b w:val="0"/>
              <w:bCs w:val="0"/>
              <w:color w:val="auto"/>
              <w:sz w:val="30"/>
              <w:szCs w:val="30"/>
              <w:highlight w:val="none"/>
            </w:rPr>
            <w:instrText xml:space="preserve"> PAGEREF _Toc20091 \h </w:instrText>
          </w:r>
          <w:r>
            <w:rPr>
              <w:rFonts w:hint="eastAsia" w:ascii="宋体" w:hAnsi="宋体" w:eastAsia="宋体" w:cs="宋体"/>
              <w:b w:val="0"/>
              <w:bCs w:val="0"/>
              <w:color w:val="auto"/>
              <w:sz w:val="30"/>
              <w:szCs w:val="30"/>
              <w:highlight w:val="none"/>
            </w:rPr>
            <w:fldChar w:fldCharType="separate"/>
          </w:r>
          <w:r>
            <w:rPr>
              <w:rFonts w:hint="eastAsia" w:ascii="宋体" w:hAnsi="宋体" w:eastAsia="宋体" w:cs="宋体"/>
              <w:b w:val="0"/>
              <w:bCs w:val="0"/>
              <w:color w:val="auto"/>
              <w:sz w:val="30"/>
              <w:szCs w:val="30"/>
              <w:highlight w:val="none"/>
            </w:rPr>
            <w:t>53</w:t>
          </w:r>
          <w:r>
            <w:rPr>
              <w:rFonts w:hint="eastAsia" w:ascii="宋体" w:hAnsi="宋体" w:eastAsia="宋体" w:cs="宋体"/>
              <w:b w:val="0"/>
              <w:bCs w:val="0"/>
              <w:color w:val="auto"/>
              <w:sz w:val="30"/>
              <w:szCs w:val="30"/>
              <w:highlight w:val="none"/>
            </w:rPr>
            <w:fldChar w:fldCharType="end"/>
          </w:r>
          <w:r>
            <w:rPr>
              <w:rFonts w:hint="eastAsia" w:ascii="宋体" w:hAnsi="宋体" w:eastAsia="宋体" w:cs="宋体"/>
              <w:b w:val="0"/>
              <w:bCs w:val="0"/>
              <w:snapToGrid w:val="0"/>
              <w:color w:val="auto"/>
              <w:kern w:val="0"/>
              <w:sz w:val="30"/>
              <w:szCs w:val="30"/>
              <w:highlight w:val="none"/>
            </w:rPr>
            <w:fldChar w:fldCharType="end"/>
          </w:r>
        </w:p>
        <w:p>
          <w:pPr>
            <w:pStyle w:val="32"/>
            <w:keepNext w:val="0"/>
            <w:keepLines w:val="0"/>
            <w:pageBreakBefore w:val="0"/>
            <w:tabs>
              <w:tab w:val="right" w:leader="dot" w:pos="8782"/>
            </w:tabs>
            <w:wordWrap/>
            <w:overflowPunct/>
            <w:topLinePunct w:val="0"/>
            <w:bidi w:val="0"/>
            <w:spacing w:line="800" w:lineRule="exact"/>
            <w:ind w:firstLine="600" w:firstLineChars="200"/>
            <w:rPr>
              <w:rFonts w:hint="eastAsia" w:ascii="宋体" w:hAnsi="宋体" w:eastAsia="宋体" w:cs="宋体"/>
              <w:b/>
              <w:bCs/>
              <w:color w:val="auto"/>
              <w:sz w:val="30"/>
              <w:szCs w:val="30"/>
              <w:highlight w:val="none"/>
              <w:lang w:val="en-US" w:eastAsia="zh-CN"/>
            </w:rPr>
          </w:pPr>
          <w:r>
            <w:rPr>
              <w:rFonts w:hint="eastAsia" w:ascii="宋体" w:hAnsi="宋体" w:eastAsia="宋体" w:cs="宋体"/>
              <w:b w:val="0"/>
              <w:bCs w:val="0"/>
              <w:snapToGrid w:val="0"/>
              <w:color w:val="auto"/>
              <w:kern w:val="0"/>
              <w:sz w:val="30"/>
              <w:szCs w:val="30"/>
              <w:highlight w:val="none"/>
            </w:rPr>
            <w:fldChar w:fldCharType="begin"/>
          </w:r>
          <w:r>
            <w:rPr>
              <w:rFonts w:hint="eastAsia" w:ascii="宋体" w:hAnsi="宋体" w:eastAsia="宋体" w:cs="宋体"/>
              <w:b w:val="0"/>
              <w:bCs w:val="0"/>
              <w:snapToGrid w:val="0"/>
              <w:color w:val="auto"/>
              <w:kern w:val="0"/>
              <w:sz w:val="30"/>
              <w:szCs w:val="30"/>
              <w:highlight w:val="none"/>
            </w:rPr>
            <w:instrText xml:space="preserve"> HYPERLINK \l _Toc15213 </w:instrText>
          </w:r>
          <w:r>
            <w:rPr>
              <w:rFonts w:hint="eastAsia" w:ascii="宋体" w:hAnsi="宋体" w:eastAsia="宋体" w:cs="宋体"/>
              <w:b w:val="0"/>
              <w:bCs w:val="0"/>
              <w:snapToGrid w:val="0"/>
              <w:color w:val="auto"/>
              <w:kern w:val="0"/>
              <w:sz w:val="30"/>
              <w:szCs w:val="30"/>
              <w:highlight w:val="none"/>
            </w:rPr>
            <w:fldChar w:fldCharType="separate"/>
          </w:r>
          <w:r>
            <w:rPr>
              <w:rFonts w:hint="eastAsia" w:ascii="宋体" w:hAnsi="宋体" w:eastAsia="宋体" w:cs="宋体"/>
              <w:b w:val="0"/>
              <w:bCs w:val="0"/>
              <w:color w:val="auto"/>
              <w:spacing w:val="-1"/>
              <w:sz w:val="30"/>
              <w:szCs w:val="30"/>
              <w:highlight w:val="none"/>
              <w14:textOutline w14:w="8708" w14:cap="flat" w14:cmpd="sng">
                <w14:solidFill>
                  <w14:srgbClr w14:val="000000"/>
                </w14:solidFill>
                <w14:prstDash w14:val="solid"/>
                <w14:miter w14:val="0"/>
              </w14:textOutline>
            </w:rPr>
            <w:t>第五章</w:t>
          </w:r>
          <w:r>
            <w:rPr>
              <w:rFonts w:hint="eastAsia" w:ascii="宋体" w:hAnsi="宋体" w:eastAsia="宋体" w:cs="宋体"/>
              <w:b w:val="0"/>
              <w:bCs w:val="0"/>
              <w:color w:val="auto"/>
              <w:spacing w:val="-1"/>
              <w:sz w:val="30"/>
              <w:szCs w:val="30"/>
              <w:highlight w:val="none"/>
            </w:rPr>
            <w:t xml:space="preserve"> </w:t>
          </w:r>
          <w:r>
            <w:rPr>
              <w:rFonts w:hint="eastAsia" w:ascii="宋体" w:hAnsi="宋体" w:eastAsia="宋体" w:cs="宋体"/>
              <w:b w:val="0"/>
              <w:bCs w:val="0"/>
              <w:color w:val="auto"/>
              <w:spacing w:val="-1"/>
              <w:sz w:val="30"/>
              <w:szCs w:val="30"/>
              <w:highlight w:val="none"/>
              <w14:textOutline w14:w="8708" w14:cap="flat" w14:cmpd="sng">
                <w14:solidFill>
                  <w14:srgbClr w14:val="000000"/>
                </w14:solidFill>
                <w14:prstDash w14:val="solid"/>
                <w14:miter w14:val="0"/>
              </w14:textOutline>
            </w:rPr>
            <w:t>工程量清单</w:t>
          </w:r>
          <w:r>
            <w:rPr>
              <w:rFonts w:hint="eastAsia" w:ascii="宋体" w:hAnsi="宋体" w:eastAsia="宋体" w:cs="宋体"/>
              <w:b w:val="0"/>
              <w:bCs w:val="0"/>
              <w:color w:val="auto"/>
              <w:sz w:val="30"/>
              <w:szCs w:val="30"/>
              <w:highlight w:val="none"/>
            </w:rPr>
            <w:tab/>
          </w:r>
          <w:r>
            <w:rPr>
              <w:rFonts w:hint="eastAsia" w:ascii="宋体" w:hAnsi="宋体" w:eastAsia="宋体" w:cs="宋体"/>
              <w:b w:val="0"/>
              <w:bCs w:val="0"/>
              <w:snapToGrid w:val="0"/>
              <w:color w:val="auto"/>
              <w:kern w:val="0"/>
              <w:sz w:val="30"/>
              <w:szCs w:val="30"/>
              <w:highlight w:val="none"/>
            </w:rPr>
            <w:fldChar w:fldCharType="end"/>
          </w:r>
          <w:r>
            <w:rPr>
              <w:rFonts w:hint="eastAsia" w:ascii="宋体" w:hAnsi="宋体" w:cs="宋体"/>
              <w:b w:val="0"/>
              <w:bCs w:val="0"/>
              <w:snapToGrid w:val="0"/>
              <w:color w:val="auto"/>
              <w:kern w:val="0"/>
              <w:sz w:val="30"/>
              <w:szCs w:val="30"/>
              <w:highlight w:val="none"/>
              <w:lang w:val="en-US" w:eastAsia="zh-CN"/>
            </w:rPr>
            <w:t>8</w:t>
          </w:r>
        </w:p>
        <w:p>
          <w:pPr>
            <w:pStyle w:val="32"/>
            <w:keepNext w:val="0"/>
            <w:keepLines w:val="0"/>
            <w:pageBreakBefore w:val="0"/>
            <w:tabs>
              <w:tab w:val="right" w:leader="dot" w:pos="8782"/>
            </w:tabs>
            <w:wordWrap/>
            <w:overflowPunct/>
            <w:topLinePunct w:val="0"/>
            <w:bidi w:val="0"/>
            <w:spacing w:line="800" w:lineRule="exact"/>
            <w:rPr>
              <w:rFonts w:hint="eastAsia" w:ascii="宋体" w:hAnsi="宋体" w:eastAsia="宋体" w:cs="宋体"/>
              <w:b/>
              <w:bCs/>
              <w:color w:val="auto"/>
              <w:sz w:val="30"/>
              <w:szCs w:val="30"/>
              <w:highlight w:val="none"/>
            </w:rPr>
          </w:pPr>
          <w:r>
            <w:rPr>
              <w:rFonts w:hint="eastAsia" w:ascii="宋体" w:hAnsi="宋体" w:eastAsia="宋体" w:cs="宋体"/>
              <w:b/>
              <w:bCs/>
              <w:snapToGrid w:val="0"/>
              <w:color w:val="auto"/>
              <w:kern w:val="0"/>
              <w:sz w:val="30"/>
              <w:szCs w:val="30"/>
              <w:highlight w:val="none"/>
            </w:rPr>
            <w:fldChar w:fldCharType="begin"/>
          </w:r>
          <w:r>
            <w:rPr>
              <w:rFonts w:hint="eastAsia" w:ascii="宋体" w:hAnsi="宋体" w:eastAsia="宋体" w:cs="宋体"/>
              <w:b/>
              <w:bCs/>
              <w:snapToGrid w:val="0"/>
              <w:color w:val="auto"/>
              <w:kern w:val="0"/>
              <w:sz w:val="30"/>
              <w:szCs w:val="30"/>
              <w:highlight w:val="none"/>
            </w:rPr>
            <w:instrText xml:space="preserve"> HYPERLINK \l _Toc13756 </w:instrText>
          </w:r>
          <w:r>
            <w:rPr>
              <w:rFonts w:hint="eastAsia" w:ascii="宋体" w:hAnsi="宋体" w:eastAsia="宋体" w:cs="宋体"/>
              <w:b/>
              <w:bCs/>
              <w:snapToGrid w:val="0"/>
              <w:color w:val="auto"/>
              <w:kern w:val="0"/>
              <w:sz w:val="30"/>
              <w:szCs w:val="30"/>
              <w:highlight w:val="none"/>
            </w:rPr>
            <w:fldChar w:fldCharType="separate"/>
          </w:r>
          <w:r>
            <w:rPr>
              <w:rFonts w:hint="eastAsia" w:ascii="宋体" w:hAnsi="宋体" w:eastAsia="宋体" w:cs="宋体"/>
              <w:b/>
              <w:bCs/>
              <w:color w:val="auto"/>
              <w:spacing w:val="-11"/>
              <w:sz w:val="30"/>
              <w:szCs w:val="30"/>
              <w:highlight w:val="none"/>
            </w:rPr>
            <w:t>第</w:t>
          </w:r>
          <w:r>
            <w:rPr>
              <w:rFonts w:hint="eastAsia" w:ascii="宋体" w:hAnsi="宋体" w:eastAsia="宋体" w:cs="宋体"/>
              <w:b/>
              <w:bCs/>
              <w:color w:val="auto"/>
              <w:spacing w:val="-9"/>
              <w:sz w:val="30"/>
              <w:szCs w:val="30"/>
              <w:highlight w:val="none"/>
            </w:rPr>
            <w:t>二卷</w:t>
          </w:r>
          <w:r>
            <w:rPr>
              <w:rFonts w:hint="eastAsia" w:ascii="宋体" w:hAnsi="宋体" w:eastAsia="宋体" w:cs="宋体"/>
              <w:b/>
              <w:bCs/>
              <w:color w:val="auto"/>
              <w:sz w:val="30"/>
              <w:szCs w:val="30"/>
              <w:highlight w:val="none"/>
            </w:rPr>
            <w:tab/>
          </w:r>
          <w:r>
            <w:rPr>
              <w:rFonts w:hint="eastAsia" w:ascii="宋体" w:hAnsi="宋体" w:eastAsia="宋体" w:cs="宋体"/>
              <w:b/>
              <w:bCs/>
              <w:color w:val="auto"/>
              <w:sz w:val="30"/>
              <w:szCs w:val="30"/>
              <w:highlight w:val="none"/>
            </w:rPr>
            <w:fldChar w:fldCharType="begin"/>
          </w:r>
          <w:r>
            <w:rPr>
              <w:rFonts w:hint="eastAsia" w:ascii="宋体" w:hAnsi="宋体" w:eastAsia="宋体" w:cs="宋体"/>
              <w:b/>
              <w:bCs/>
              <w:color w:val="auto"/>
              <w:sz w:val="30"/>
              <w:szCs w:val="30"/>
              <w:highlight w:val="none"/>
            </w:rPr>
            <w:instrText xml:space="preserve"> PAGEREF _Toc13756 \h </w:instrText>
          </w:r>
          <w:r>
            <w:rPr>
              <w:rFonts w:hint="eastAsia" w:ascii="宋体" w:hAnsi="宋体" w:eastAsia="宋体" w:cs="宋体"/>
              <w:b/>
              <w:bCs/>
              <w:color w:val="auto"/>
              <w:sz w:val="30"/>
              <w:szCs w:val="30"/>
              <w:highlight w:val="none"/>
            </w:rPr>
            <w:fldChar w:fldCharType="separate"/>
          </w:r>
          <w:r>
            <w:rPr>
              <w:rFonts w:hint="eastAsia" w:ascii="宋体" w:hAnsi="宋体" w:eastAsia="宋体" w:cs="宋体"/>
              <w:b/>
              <w:bCs/>
              <w:color w:val="auto"/>
              <w:sz w:val="30"/>
              <w:szCs w:val="30"/>
              <w:highlight w:val="none"/>
            </w:rPr>
            <w:t>156</w:t>
          </w:r>
          <w:r>
            <w:rPr>
              <w:rFonts w:hint="eastAsia" w:ascii="宋体" w:hAnsi="宋体" w:eastAsia="宋体" w:cs="宋体"/>
              <w:b/>
              <w:bCs/>
              <w:color w:val="auto"/>
              <w:sz w:val="30"/>
              <w:szCs w:val="30"/>
              <w:highlight w:val="none"/>
            </w:rPr>
            <w:fldChar w:fldCharType="end"/>
          </w:r>
          <w:r>
            <w:rPr>
              <w:rFonts w:hint="eastAsia" w:ascii="宋体" w:hAnsi="宋体" w:eastAsia="宋体" w:cs="宋体"/>
              <w:b/>
              <w:bCs/>
              <w:snapToGrid w:val="0"/>
              <w:color w:val="auto"/>
              <w:kern w:val="0"/>
              <w:sz w:val="30"/>
              <w:szCs w:val="30"/>
              <w:highlight w:val="none"/>
            </w:rPr>
            <w:fldChar w:fldCharType="end"/>
          </w:r>
        </w:p>
        <w:p>
          <w:pPr>
            <w:pStyle w:val="32"/>
            <w:keepNext w:val="0"/>
            <w:keepLines w:val="0"/>
            <w:pageBreakBefore w:val="0"/>
            <w:tabs>
              <w:tab w:val="right" w:leader="dot" w:pos="8782"/>
            </w:tabs>
            <w:wordWrap/>
            <w:overflowPunct/>
            <w:topLinePunct w:val="0"/>
            <w:bidi w:val="0"/>
            <w:spacing w:line="800" w:lineRule="exact"/>
            <w:ind w:firstLine="600" w:firstLineChars="200"/>
            <w:rPr>
              <w:rFonts w:hint="eastAsia" w:ascii="宋体" w:hAnsi="宋体" w:eastAsia="宋体" w:cs="宋体"/>
              <w:b w:val="0"/>
              <w:bCs w:val="0"/>
              <w:color w:val="auto"/>
              <w:sz w:val="30"/>
              <w:szCs w:val="30"/>
              <w:highlight w:val="none"/>
            </w:rPr>
          </w:pPr>
          <w:r>
            <w:rPr>
              <w:rFonts w:hint="eastAsia" w:ascii="宋体" w:hAnsi="宋体" w:eastAsia="宋体" w:cs="宋体"/>
              <w:b w:val="0"/>
              <w:bCs w:val="0"/>
              <w:snapToGrid w:val="0"/>
              <w:color w:val="auto"/>
              <w:kern w:val="0"/>
              <w:sz w:val="30"/>
              <w:szCs w:val="30"/>
              <w:highlight w:val="none"/>
            </w:rPr>
            <w:fldChar w:fldCharType="begin"/>
          </w:r>
          <w:r>
            <w:rPr>
              <w:rFonts w:hint="eastAsia" w:ascii="宋体" w:hAnsi="宋体" w:eastAsia="宋体" w:cs="宋体"/>
              <w:b w:val="0"/>
              <w:bCs w:val="0"/>
              <w:snapToGrid w:val="0"/>
              <w:color w:val="auto"/>
              <w:kern w:val="0"/>
              <w:sz w:val="30"/>
              <w:szCs w:val="30"/>
              <w:highlight w:val="none"/>
            </w:rPr>
            <w:instrText xml:space="preserve"> HYPERLINK \l _Toc11131 </w:instrText>
          </w:r>
          <w:r>
            <w:rPr>
              <w:rFonts w:hint="eastAsia" w:ascii="宋体" w:hAnsi="宋体" w:eastAsia="宋体" w:cs="宋体"/>
              <w:b w:val="0"/>
              <w:bCs w:val="0"/>
              <w:snapToGrid w:val="0"/>
              <w:color w:val="auto"/>
              <w:kern w:val="0"/>
              <w:sz w:val="30"/>
              <w:szCs w:val="30"/>
              <w:highlight w:val="none"/>
            </w:rPr>
            <w:fldChar w:fldCharType="separate"/>
          </w:r>
          <w:r>
            <w:rPr>
              <w:rFonts w:hint="eastAsia" w:ascii="宋体" w:hAnsi="宋体" w:eastAsia="宋体" w:cs="宋体"/>
              <w:b w:val="0"/>
              <w:bCs w:val="0"/>
              <w:color w:val="auto"/>
              <w:spacing w:val="-6"/>
              <w:sz w:val="30"/>
              <w:szCs w:val="30"/>
              <w:highlight w:val="none"/>
              <w14:textOutline w14:w="8708" w14:cap="flat" w14:cmpd="sng">
                <w14:solidFill>
                  <w14:srgbClr w14:val="000000"/>
                </w14:solidFill>
                <w14:prstDash w14:val="solid"/>
                <w14:miter w14:val="0"/>
              </w14:textOutline>
            </w:rPr>
            <w:t>第</w:t>
          </w:r>
          <w:r>
            <w:rPr>
              <w:rFonts w:hint="eastAsia" w:ascii="宋体" w:hAnsi="宋体" w:eastAsia="宋体" w:cs="宋体"/>
              <w:b w:val="0"/>
              <w:bCs w:val="0"/>
              <w:color w:val="auto"/>
              <w:spacing w:val="-5"/>
              <w:sz w:val="30"/>
              <w:szCs w:val="30"/>
              <w:highlight w:val="none"/>
              <w14:textOutline w14:w="8708" w14:cap="flat" w14:cmpd="sng">
                <w14:solidFill>
                  <w14:srgbClr w14:val="000000"/>
                </w14:solidFill>
                <w14:prstDash w14:val="solid"/>
                <w14:miter w14:val="0"/>
              </w14:textOutline>
            </w:rPr>
            <w:t>六</w:t>
          </w:r>
          <w:r>
            <w:rPr>
              <w:rFonts w:hint="eastAsia" w:ascii="宋体" w:hAnsi="宋体" w:eastAsia="宋体" w:cs="宋体"/>
              <w:b w:val="0"/>
              <w:bCs w:val="0"/>
              <w:color w:val="auto"/>
              <w:spacing w:val="-3"/>
              <w:sz w:val="30"/>
              <w:szCs w:val="30"/>
              <w:highlight w:val="none"/>
              <w14:textOutline w14:w="8708" w14:cap="flat" w14:cmpd="sng">
                <w14:solidFill>
                  <w14:srgbClr w14:val="000000"/>
                </w14:solidFill>
                <w14:prstDash w14:val="solid"/>
                <w14:miter w14:val="0"/>
              </w14:textOutline>
            </w:rPr>
            <w:t>章</w:t>
          </w:r>
          <w:r>
            <w:rPr>
              <w:rFonts w:hint="eastAsia" w:ascii="宋体" w:hAnsi="宋体" w:eastAsia="宋体" w:cs="宋体"/>
              <w:b w:val="0"/>
              <w:bCs w:val="0"/>
              <w:color w:val="auto"/>
              <w:spacing w:val="-3"/>
              <w:sz w:val="30"/>
              <w:szCs w:val="30"/>
              <w:highlight w:val="none"/>
            </w:rPr>
            <w:t xml:space="preserve"> </w:t>
          </w:r>
          <w:r>
            <w:rPr>
              <w:rFonts w:hint="eastAsia" w:ascii="宋体" w:hAnsi="宋体" w:eastAsia="宋体" w:cs="宋体"/>
              <w:b w:val="0"/>
              <w:bCs w:val="0"/>
              <w:color w:val="auto"/>
              <w:spacing w:val="-3"/>
              <w:sz w:val="30"/>
              <w:szCs w:val="30"/>
              <w:highlight w:val="none"/>
              <w14:textOutline w14:w="8708" w14:cap="flat" w14:cmpd="sng">
                <w14:solidFill>
                  <w14:srgbClr w14:val="000000"/>
                </w14:solidFill>
                <w14:prstDash w14:val="solid"/>
                <w14:miter w14:val="0"/>
              </w14:textOutline>
            </w:rPr>
            <w:t>图纸</w:t>
          </w:r>
          <w:r>
            <w:rPr>
              <w:rFonts w:hint="eastAsia" w:ascii="宋体" w:hAnsi="宋体" w:eastAsia="宋体" w:cs="宋体"/>
              <w:b w:val="0"/>
              <w:bCs w:val="0"/>
              <w:color w:val="auto"/>
              <w:spacing w:val="-3"/>
              <w:sz w:val="30"/>
              <w:szCs w:val="30"/>
              <w:highlight w:val="none"/>
            </w:rPr>
            <w:t xml:space="preserve"> </w:t>
          </w:r>
          <w:r>
            <w:rPr>
              <w:rFonts w:hint="eastAsia" w:ascii="宋体" w:hAnsi="宋体" w:eastAsia="宋体" w:cs="宋体"/>
              <w:b w:val="0"/>
              <w:bCs w:val="0"/>
              <w:color w:val="auto"/>
              <w:spacing w:val="-3"/>
              <w:sz w:val="30"/>
              <w:szCs w:val="30"/>
              <w:highlight w:val="none"/>
              <w14:textOutline w14:w="8708" w14:cap="flat" w14:cmpd="sng">
                <w14:solidFill>
                  <w14:srgbClr w14:val="000000"/>
                </w14:solidFill>
                <w14:prstDash w14:val="solid"/>
                <w14:miter w14:val="0"/>
              </w14:textOutline>
            </w:rPr>
            <w:t>(另册)</w:t>
          </w:r>
          <w:r>
            <w:rPr>
              <w:rFonts w:hint="eastAsia" w:ascii="宋体" w:hAnsi="宋体" w:eastAsia="宋体" w:cs="宋体"/>
              <w:b w:val="0"/>
              <w:bCs w:val="0"/>
              <w:color w:val="auto"/>
              <w:sz w:val="30"/>
              <w:szCs w:val="30"/>
              <w:highlight w:val="none"/>
            </w:rPr>
            <w:tab/>
          </w:r>
          <w:r>
            <w:rPr>
              <w:rFonts w:hint="eastAsia" w:ascii="宋体" w:hAnsi="宋体" w:eastAsia="宋体" w:cs="宋体"/>
              <w:b w:val="0"/>
              <w:bCs w:val="0"/>
              <w:color w:val="auto"/>
              <w:sz w:val="30"/>
              <w:szCs w:val="30"/>
              <w:highlight w:val="none"/>
            </w:rPr>
            <w:fldChar w:fldCharType="begin"/>
          </w:r>
          <w:r>
            <w:rPr>
              <w:rFonts w:hint="eastAsia" w:ascii="宋体" w:hAnsi="宋体" w:eastAsia="宋体" w:cs="宋体"/>
              <w:b w:val="0"/>
              <w:bCs w:val="0"/>
              <w:color w:val="auto"/>
              <w:sz w:val="30"/>
              <w:szCs w:val="30"/>
              <w:highlight w:val="none"/>
            </w:rPr>
            <w:instrText xml:space="preserve"> PAGEREF _Toc11131 \h </w:instrText>
          </w:r>
          <w:r>
            <w:rPr>
              <w:rFonts w:hint="eastAsia" w:ascii="宋体" w:hAnsi="宋体" w:eastAsia="宋体" w:cs="宋体"/>
              <w:b w:val="0"/>
              <w:bCs w:val="0"/>
              <w:color w:val="auto"/>
              <w:sz w:val="30"/>
              <w:szCs w:val="30"/>
              <w:highlight w:val="none"/>
            </w:rPr>
            <w:fldChar w:fldCharType="separate"/>
          </w:r>
          <w:r>
            <w:rPr>
              <w:rFonts w:hint="eastAsia" w:ascii="宋体" w:hAnsi="宋体" w:eastAsia="宋体" w:cs="宋体"/>
              <w:b w:val="0"/>
              <w:bCs w:val="0"/>
              <w:color w:val="auto"/>
              <w:sz w:val="30"/>
              <w:szCs w:val="30"/>
              <w:highlight w:val="none"/>
            </w:rPr>
            <w:t>157</w:t>
          </w:r>
          <w:r>
            <w:rPr>
              <w:rFonts w:hint="eastAsia" w:ascii="宋体" w:hAnsi="宋体" w:eastAsia="宋体" w:cs="宋体"/>
              <w:b w:val="0"/>
              <w:bCs w:val="0"/>
              <w:color w:val="auto"/>
              <w:sz w:val="30"/>
              <w:szCs w:val="30"/>
              <w:highlight w:val="none"/>
            </w:rPr>
            <w:fldChar w:fldCharType="end"/>
          </w:r>
          <w:r>
            <w:rPr>
              <w:rFonts w:hint="eastAsia" w:ascii="宋体" w:hAnsi="宋体" w:eastAsia="宋体" w:cs="宋体"/>
              <w:b w:val="0"/>
              <w:bCs w:val="0"/>
              <w:snapToGrid w:val="0"/>
              <w:color w:val="auto"/>
              <w:kern w:val="0"/>
              <w:sz w:val="30"/>
              <w:szCs w:val="30"/>
              <w:highlight w:val="none"/>
            </w:rPr>
            <w:fldChar w:fldCharType="end"/>
          </w:r>
        </w:p>
        <w:p>
          <w:pPr>
            <w:pStyle w:val="32"/>
            <w:keepNext w:val="0"/>
            <w:keepLines w:val="0"/>
            <w:pageBreakBefore w:val="0"/>
            <w:tabs>
              <w:tab w:val="right" w:leader="dot" w:pos="8782"/>
            </w:tabs>
            <w:wordWrap/>
            <w:overflowPunct/>
            <w:topLinePunct w:val="0"/>
            <w:bidi w:val="0"/>
            <w:spacing w:line="800" w:lineRule="exact"/>
            <w:rPr>
              <w:rFonts w:hint="eastAsia" w:ascii="宋体" w:hAnsi="宋体" w:eastAsia="宋体" w:cs="宋体"/>
              <w:b/>
              <w:bCs/>
              <w:color w:val="auto"/>
              <w:sz w:val="30"/>
              <w:szCs w:val="30"/>
              <w:highlight w:val="none"/>
            </w:rPr>
          </w:pPr>
          <w:r>
            <w:rPr>
              <w:rFonts w:hint="eastAsia" w:ascii="宋体" w:hAnsi="宋体" w:eastAsia="宋体" w:cs="宋体"/>
              <w:b/>
              <w:bCs/>
              <w:snapToGrid w:val="0"/>
              <w:color w:val="auto"/>
              <w:kern w:val="0"/>
              <w:sz w:val="30"/>
              <w:szCs w:val="30"/>
              <w:highlight w:val="none"/>
            </w:rPr>
            <w:fldChar w:fldCharType="begin"/>
          </w:r>
          <w:r>
            <w:rPr>
              <w:rFonts w:hint="eastAsia" w:ascii="宋体" w:hAnsi="宋体" w:eastAsia="宋体" w:cs="宋体"/>
              <w:b/>
              <w:bCs/>
              <w:snapToGrid w:val="0"/>
              <w:color w:val="auto"/>
              <w:kern w:val="0"/>
              <w:sz w:val="30"/>
              <w:szCs w:val="30"/>
              <w:highlight w:val="none"/>
            </w:rPr>
            <w:instrText xml:space="preserve"> HYPERLINK \l _Toc12196 </w:instrText>
          </w:r>
          <w:r>
            <w:rPr>
              <w:rFonts w:hint="eastAsia" w:ascii="宋体" w:hAnsi="宋体" w:eastAsia="宋体" w:cs="宋体"/>
              <w:b/>
              <w:bCs/>
              <w:snapToGrid w:val="0"/>
              <w:color w:val="auto"/>
              <w:kern w:val="0"/>
              <w:sz w:val="30"/>
              <w:szCs w:val="30"/>
              <w:highlight w:val="none"/>
            </w:rPr>
            <w:fldChar w:fldCharType="separate"/>
          </w:r>
          <w:r>
            <w:rPr>
              <w:rFonts w:hint="eastAsia" w:ascii="宋体" w:hAnsi="宋体" w:eastAsia="宋体" w:cs="宋体"/>
              <w:b/>
              <w:bCs/>
              <w:color w:val="auto"/>
              <w:spacing w:val="-11"/>
              <w:sz w:val="30"/>
              <w:szCs w:val="30"/>
              <w:highlight w:val="none"/>
            </w:rPr>
            <w:t>第</w:t>
          </w:r>
          <w:r>
            <w:rPr>
              <w:rFonts w:hint="eastAsia" w:ascii="宋体" w:hAnsi="宋体" w:eastAsia="宋体" w:cs="宋体"/>
              <w:b/>
              <w:bCs/>
              <w:color w:val="auto"/>
              <w:spacing w:val="-9"/>
              <w:sz w:val="30"/>
              <w:szCs w:val="30"/>
              <w:highlight w:val="none"/>
            </w:rPr>
            <w:t>三卷</w:t>
          </w:r>
          <w:r>
            <w:rPr>
              <w:rFonts w:hint="eastAsia" w:ascii="宋体" w:hAnsi="宋体" w:eastAsia="宋体" w:cs="宋体"/>
              <w:b/>
              <w:bCs/>
              <w:color w:val="auto"/>
              <w:sz w:val="30"/>
              <w:szCs w:val="30"/>
              <w:highlight w:val="none"/>
            </w:rPr>
            <w:tab/>
          </w:r>
          <w:r>
            <w:rPr>
              <w:rFonts w:hint="eastAsia" w:ascii="宋体" w:hAnsi="宋体" w:eastAsia="宋体" w:cs="宋体"/>
              <w:b/>
              <w:bCs/>
              <w:color w:val="auto"/>
              <w:sz w:val="30"/>
              <w:szCs w:val="30"/>
              <w:highlight w:val="none"/>
            </w:rPr>
            <w:fldChar w:fldCharType="begin"/>
          </w:r>
          <w:r>
            <w:rPr>
              <w:rFonts w:hint="eastAsia" w:ascii="宋体" w:hAnsi="宋体" w:eastAsia="宋体" w:cs="宋体"/>
              <w:b/>
              <w:bCs/>
              <w:color w:val="auto"/>
              <w:sz w:val="30"/>
              <w:szCs w:val="30"/>
              <w:highlight w:val="none"/>
            </w:rPr>
            <w:instrText xml:space="preserve"> PAGEREF _Toc12196 \h </w:instrText>
          </w:r>
          <w:r>
            <w:rPr>
              <w:rFonts w:hint="eastAsia" w:ascii="宋体" w:hAnsi="宋体" w:eastAsia="宋体" w:cs="宋体"/>
              <w:b/>
              <w:bCs/>
              <w:color w:val="auto"/>
              <w:sz w:val="30"/>
              <w:szCs w:val="30"/>
              <w:highlight w:val="none"/>
            </w:rPr>
            <w:fldChar w:fldCharType="separate"/>
          </w:r>
          <w:r>
            <w:rPr>
              <w:rFonts w:hint="eastAsia" w:ascii="宋体" w:hAnsi="宋体" w:eastAsia="宋体" w:cs="宋体"/>
              <w:b/>
              <w:bCs/>
              <w:color w:val="auto"/>
              <w:sz w:val="30"/>
              <w:szCs w:val="30"/>
              <w:highlight w:val="none"/>
            </w:rPr>
            <w:t>158</w:t>
          </w:r>
          <w:r>
            <w:rPr>
              <w:rFonts w:hint="eastAsia" w:ascii="宋体" w:hAnsi="宋体" w:eastAsia="宋体" w:cs="宋体"/>
              <w:b/>
              <w:bCs/>
              <w:color w:val="auto"/>
              <w:sz w:val="30"/>
              <w:szCs w:val="30"/>
              <w:highlight w:val="none"/>
            </w:rPr>
            <w:fldChar w:fldCharType="end"/>
          </w:r>
          <w:r>
            <w:rPr>
              <w:rFonts w:hint="eastAsia" w:ascii="宋体" w:hAnsi="宋体" w:eastAsia="宋体" w:cs="宋体"/>
              <w:b/>
              <w:bCs/>
              <w:snapToGrid w:val="0"/>
              <w:color w:val="auto"/>
              <w:kern w:val="0"/>
              <w:sz w:val="30"/>
              <w:szCs w:val="30"/>
              <w:highlight w:val="none"/>
            </w:rPr>
            <w:fldChar w:fldCharType="end"/>
          </w:r>
        </w:p>
        <w:p>
          <w:pPr>
            <w:pStyle w:val="32"/>
            <w:keepNext w:val="0"/>
            <w:keepLines w:val="0"/>
            <w:pageBreakBefore w:val="0"/>
            <w:tabs>
              <w:tab w:val="right" w:leader="dot" w:pos="8782"/>
            </w:tabs>
            <w:wordWrap/>
            <w:overflowPunct/>
            <w:topLinePunct w:val="0"/>
            <w:bidi w:val="0"/>
            <w:spacing w:line="800" w:lineRule="exact"/>
            <w:ind w:firstLine="600" w:firstLineChars="200"/>
            <w:rPr>
              <w:rFonts w:hint="eastAsia" w:ascii="宋体" w:hAnsi="宋体" w:eastAsia="宋体" w:cs="宋体"/>
              <w:b w:val="0"/>
              <w:bCs w:val="0"/>
              <w:color w:val="auto"/>
              <w:sz w:val="30"/>
              <w:szCs w:val="30"/>
              <w:highlight w:val="none"/>
            </w:rPr>
          </w:pPr>
          <w:r>
            <w:rPr>
              <w:rFonts w:hint="eastAsia" w:ascii="宋体" w:hAnsi="宋体" w:eastAsia="宋体" w:cs="宋体"/>
              <w:b w:val="0"/>
              <w:bCs w:val="0"/>
              <w:snapToGrid w:val="0"/>
              <w:color w:val="auto"/>
              <w:kern w:val="0"/>
              <w:sz w:val="30"/>
              <w:szCs w:val="30"/>
              <w:highlight w:val="none"/>
            </w:rPr>
            <w:fldChar w:fldCharType="begin"/>
          </w:r>
          <w:r>
            <w:rPr>
              <w:rFonts w:hint="eastAsia" w:ascii="宋体" w:hAnsi="宋体" w:eastAsia="宋体" w:cs="宋体"/>
              <w:b w:val="0"/>
              <w:bCs w:val="0"/>
              <w:snapToGrid w:val="0"/>
              <w:color w:val="auto"/>
              <w:kern w:val="0"/>
              <w:sz w:val="30"/>
              <w:szCs w:val="30"/>
              <w:highlight w:val="none"/>
            </w:rPr>
            <w:instrText xml:space="preserve"> HYPERLINK \l _Toc30888 </w:instrText>
          </w:r>
          <w:r>
            <w:rPr>
              <w:rFonts w:hint="eastAsia" w:ascii="宋体" w:hAnsi="宋体" w:eastAsia="宋体" w:cs="宋体"/>
              <w:b w:val="0"/>
              <w:bCs w:val="0"/>
              <w:snapToGrid w:val="0"/>
              <w:color w:val="auto"/>
              <w:kern w:val="0"/>
              <w:sz w:val="30"/>
              <w:szCs w:val="30"/>
              <w:highlight w:val="none"/>
            </w:rPr>
            <w:fldChar w:fldCharType="separate"/>
          </w:r>
          <w:r>
            <w:rPr>
              <w:rFonts w:hint="eastAsia" w:ascii="宋体" w:hAnsi="宋体" w:eastAsia="宋体" w:cs="宋体"/>
              <w:b w:val="0"/>
              <w:bCs w:val="0"/>
              <w:color w:val="auto"/>
              <w:spacing w:val="-2"/>
              <w:sz w:val="30"/>
              <w:szCs w:val="30"/>
              <w:highlight w:val="none"/>
              <w14:textOutline w14:w="8708" w14:cap="flat" w14:cmpd="sng">
                <w14:solidFill>
                  <w14:srgbClr w14:val="000000"/>
                </w14:solidFill>
                <w14:prstDash w14:val="solid"/>
                <w14:miter w14:val="0"/>
              </w14:textOutline>
            </w:rPr>
            <w:t>第</w:t>
          </w:r>
          <w:r>
            <w:rPr>
              <w:rFonts w:hint="eastAsia" w:ascii="宋体" w:hAnsi="宋体" w:eastAsia="宋体" w:cs="宋体"/>
              <w:b w:val="0"/>
              <w:bCs w:val="0"/>
              <w:color w:val="auto"/>
              <w:spacing w:val="-1"/>
              <w:sz w:val="30"/>
              <w:szCs w:val="30"/>
              <w:highlight w:val="none"/>
              <w14:textOutline w14:w="8708" w14:cap="flat" w14:cmpd="sng">
                <w14:solidFill>
                  <w14:srgbClr w14:val="000000"/>
                </w14:solidFill>
                <w14:prstDash w14:val="solid"/>
                <w14:miter w14:val="0"/>
              </w14:textOutline>
            </w:rPr>
            <w:t>七章</w:t>
          </w:r>
          <w:r>
            <w:rPr>
              <w:rFonts w:hint="eastAsia" w:ascii="宋体" w:hAnsi="宋体" w:eastAsia="宋体" w:cs="宋体"/>
              <w:b w:val="0"/>
              <w:bCs w:val="0"/>
              <w:color w:val="auto"/>
              <w:spacing w:val="-1"/>
              <w:sz w:val="30"/>
              <w:szCs w:val="30"/>
              <w:highlight w:val="none"/>
            </w:rPr>
            <w:t xml:space="preserve"> </w:t>
          </w:r>
          <w:r>
            <w:rPr>
              <w:rFonts w:hint="eastAsia" w:ascii="宋体" w:hAnsi="宋体" w:eastAsia="宋体" w:cs="宋体"/>
              <w:b w:val="0"/>
              <w:bCs w:val="0"/>
              <w:color w:val="auto"/>
              <w:spacing w:val="-1"/>
              <w:sz w:val="30"/>
              <w:szCs w:val="30"/>
              <w:highlight w:val="none"/>
              <w14:textOutline w14:w="8708" w14:cap="flat" w14:cmpd="sng">
                <w14:solidFill>
                  <w14:srgbClr w14:val="000000"/>
                </w14:solidFill>
                <w14:prstDash w14:val="solid"/>
                <w14:miter w14:val="0"/>
              </w14:textOutline>
            </w:rPr>
            <w:t>技术规范</w:t>
          </w:r>
          <w:r>
            <w:rPr>
              <w:rFonts w:hint="eastAsia" w:ascii="宋体" w:hAnsi="宋体" w:eastAsia="宋体" w:cs="宋体"/>
              <w:b w:val="0"/>
              <w:bCs w:val="0"/>
              <w:color w:val="auto"/>
              <w:sz w:val="30"/>
              <w:szCs w:val="30"/>
              <w:highlight w:val="none"/>
            </w:rPr>
            <w:tab/>
          </w:r>
          <w:r>
            <w:rPr>
              <w:rFonts w:hint="eastAsia" w:ascii="宋体" w:hAnsi="宋体" w:eastAsia="宋体" w:cs="宋体"/>
              <w:b w:val="0"/>
              <w:bCs w:val="0"/>
              <w:color w:val="auto"/>
              <w:sz w:val="30"/>
              <w:szCs w:val="30"/>
              <w:highlight w:val="none"/>
            </w:rPr>
            <w:fldChar w:fldCharType="begin"/>
          </w:r>
          <w:r>
            <w:rPr>
              <w:rFonts w:hint="eastAsia" w:ascii="宋体" w:hAnsi="宋体" w:eastAsia="宋体" w:cs="宋体"/>
              <w:b w:val="0"/>
              <w:bCs w:val="0"/>
              <w:color w:val="auto"/>
              <w:sz w:val="30"/>
              <w:szCs w:val="30"/>
              <w:highlight w:val="none"/>
            </w:rPr>
            <w:instrText xml:space="preserve"> PAGEREF _Toc30888 \h </w:instrText>
          </w:r>
          <w:r>
            <w:rPr>
              <w:rFonts w:hint="eastAsia" w:ascii="宋体" w:hAnsi="宋体" w:eastAsia="宋体" w:cs="宋体"/>
              <w:b w:val="0"/>
              <w:bCs w:val="0"/>
              <w:color w:val="auto"/>
              <w:sz w:val="30"/>
              <w:szCs w:val="30"/>
              <w:highlight w:val="none"/>
            </w:rPr>
            <w:fldChar w:fldCharType="separate"/>
          </w:r>
          <w:r>
            <w:rPr>
              <w:rFonts w:hint="eastAsia" w:ascii="宋体" w:hAnsi="宋体" w:eastAsia="宋体" w:cs="宋体"/>
              <w:b w:val="0"/>
              <w:bCs w:val="0"/>
              <w:color w:val="auto"/>
              <w:sz w:val="30"/>
              <w:szCs w:val="30"/>
              <w:highlight w:val="none"/>
            </w:rPr>
            <w:t>159</w:t>
          </w:r>
          <w:r>
            <w:rPr>
              <w:rFonts w:hint="eastAsia" w:ascii="宋体" w:hAnsi="宋体" w:eastAsia="宋体" w:cs="宋体"/>
              <w:b w:val="0"/>
              <w:bCs w:val="0"/>
              <w:color w:val="auto"/>
              <w:sz w:val="30"/>
              <w:szCs w:val="30"/>
              <w:highlight w:val="none"/>
            </w:rPr>
            <w:fldChar w:fldCharType="end"/>
          </w:r>
          <w:r>
            <w:rPr>
              <w:rFonts w:hint="eastAsia" w:ascii="宋体" w:hAnsi="宋体" w:eastAsia="宋体" w:cs="宋体"/>
              <w:b w:val="0"/>
              <w:bCs w:val="0"/>
              <w:snapToGrid w:val="0"/>
              <w:color w:val="auto"/>
              <w:kern w:val="0"/>
              <w:sz w:val="30"/>
              <w:szCs w:val="30"/>
              <w:highlight w:val="none"/>
            </w:rPr>
            <w:fldChar w:fldCharType="end"/>
          </w:r>
        </w:p>
        <w:p>
          <w:pPr>
            <w:pStyle w:val="32"/>
            <w:keepNext w:val="0"/>
            <w:keepLines w:val="0"/>
            <w:pageBreakBefore w:val="0"/>
            <w:tabs>
              <w:tab w:val="right" w:leader="dot" w:pos="8782"/>
            </w:tabs>
            <w:wordWrap/>
            <w:overflowPunct/>
            <w:topLinePunct w:val="0"/>
            <w:bidi w:val="0"/>
            <w:spacing w:line="800" w:lineRule="exact"/>
            <w:ind w:firstLine="600" w:firstLineChars="200"/>
            <w:rPr>
              <w:rFonts w:hint="eastAsia" w:ascii="宋体" w:hAnsi="宋体" w:eastAsia="宋体" w:cs="宋体"/>
              <w:b/>
              <w:bCs/>
              <w:color w:val="auto"/>
              <w:sz w:val="30"/>
              <w:szCs w:val="30"/>
              <w:highlight w:val="none"/>
            </w:rPr>
          </w:pPr>
          <w:r>
            <w:rPr>
              <w:rFonts w:hint="eastAsia" w:ascii="宋体" w:hAnsi="宋体" w:eastAsia="宋体" w:cs="宋体"/>
              <w:b w:val="0"/>
              <w:bCs w:val="0"/>
              <w:snapToGrid w:val="0"/>
              <w:color w:val="auto"/>
              <w:kern w:val="0"/>
              <w:sz w:val="30"/>
              <w:szCs w:val="30"/>
              <w:highlight w:val="none"/>
            </w:rPr>
            <w:fldChar w:fldCharType="begin"/>
          </w:r>
          <w:r>
            <w:rPr>
              <w:rFonts w:hint="eastAsia" w:ascii="宋体" w:hAnsi="宋体" w:eastAsia="宋体" w:cs="宋体"/>
              <w:b w:val="0"/>
              <w:bCs w:val="0"/>
              <w:snapToGrid w:val="0"/>
              <w:color w:val="auto"/>
              <w:kern w:val="0"/>
              <w:sz w:val="30"/>
              <w:szCs w:val="30"/>
              <w:highlight w:val="none"/>
            </w:rPr>
            <w:instrText xml:space="preserve"> HYPERLINK \l _Toc19471 </w:instrText>
          </w:r>
          <w:r>
            <w:rPr>
              <w:rFonts w:hint="eastAsia" w:ascii="宋体" w:hAnsi="宋体" w:eastAsia="宋体" w:cs="宋体"/>
              <w:b w:val="0"/>
              <w:bCs w:val="0"/>
              <w:snapToGrid w:val="0"/>
              <w:color w:val="auto"/>
              <w:kern w:val="0"/>
              <w:sz w:val="30"/>
              <w:szCs w:val="30"/>
              <w:highlight w:val="none"/>
            </w:rPr>
            <w:fldChar w:fldCharType="separate"/>
          </w:r>
          <w:r>
            <w:rPr>
              <w:rFonts w:hint="eastAsia" w:ascii="宋体" w:hAnsi="宋体" w:eastAsia="宋体" w:cs="宋体"/>
              <w:b w:val="0"/>
              <w:bCs w:val="0"/>
              <w:color w:val="auto"/>
              <w:spacing w:val="-1"/>
              <w:sz w:val="30"/>
              <w:szCs w:val="30"/>
              <w:highlight w:val="none"/>
              <w14:textOutline w14:w="8708" w14:cap="flat" w14:cmpd="sng">
                <w14:solidFill>
                  <w14:srgbClr w14:val="000000"/>
                </w14:solidFill>
                <w14:prstDash w14:val="solid"/>
                <w14:miter w14:val="0"/>
              </w14:textOutline>
            </w:rPr>
            <w:t>第八</w:t>
          </w:r>
          <w:r>
            <w:rPr>
              <w:rFonts w:hint="eastAsia" w:ascii="宋体" w:hAnsi="宋体" w:eastAsia="宋体" w:cs="宋体"/>
              <w:b w:val="0"/>
              <w:bCs w:val="0"/>
              <w:color w:val="auto"/>
              <w:sz w:val="30"/>
              <w:szCs w:val="30"/>
              <w:highlight w:val="none"/>
              <w14:textOutline w14:w="8708" w14:cap="flat" w14:cmpd="sng">
                <w14:solidFill>
                  <w14:srgbClr w14:val="000000"/>
                </w14:solidFill>
                <w14:prstDash w14:val="solid"/>
                <w14:miter w14:val="0"/>
              </w14:textOutline>
            </w:rPr>
            <w:t>章</w:t>
          </w:r>
          <w:r>
            <w:rPr>
              <w:rFonts w:hint="eastAsia" w:ascii="宋体" w:hAnsi="宋体" w:eastAsia="宋体" w:cs="宋体"/>
              <w:b w:val="0"/>
              <w:bCs w:val="0"/>
              <w:color w:val="auto"/>
              <w:sz w:val="30"/>
              <w:szCs w:val="30"/>
              <w:highlight w:val="none"/>
            </w:rPr>
            <w:t xml:space="preserve"> </w:t>
          </w:r>
          <w:r>
            <w:rPr>
              <w:rFonts w:hint="eastAsia" w:ascii="宋体" w:hAnsi="宋体" w:eastAsia="宋体" w:cs="宋体"/>
              <w:b w:val="0"/>
              <w:bCs w:val="0"/>
              <w:color w:val="auto"/>
              <w:sz w:val="30"/>
              <w:szCs w:val="30"/>
              <w:highlight w:val="none"/>
              <w14:textOutline w14:w="8708" w14:cap="flat" w14:cmpd="sng">
                <w14:solidFill>
                  <w14:srgbClr w14:val="000000"/>
                </w14:solidFill>
                <w14:prstDash w14:val="solid"/>
                <w14:miter w14:val="0"/>
              </w14:textOutline>
            </w:rPr>
            <w:t>工程量清单计量规则</w:t>
          </w:r>
          <w:r>
            <w:rPr>
              <w:rFonts w:hint="eastAsia" w:ascii="宋体" w:hAnsi="宋体" w:eastAsia="宋体" w:cs="宋体"/>
              <w:b w:val="0"/>
              <w:bCs w:val="0"/>
              <w:color w:val="auto"/>
              <w:sz w:val="30"/>
              <w:szCs w:val="30"/>
              <w:highlight w:val="none"/>
            </w:rPr>
            <w:tab/>
          </w:r>
          <w:r>
            <w:rPr>
              <w:rFonts w:hint="eastAsia" w:ascii="宋体" w:hAnsi="宋体" w:eastAsia="宋体" w:cs="宋体"/>
              <w:b w:val="0"/>
              <w:bCs w:val="0"/>
              <w:color w:val="auto"/>
              <w:sz w:val="30"/>
              <w:szCs w:val="30"/>
              <w:highlight w:val="none"/>
            </w:rPr>
            <w:fldChar w:fldCharType="begin"/>
          </w:r>
          <w:r>
            <w:rPr>
              <w:rFonts w:hint="eastAsia" w:ascii="宋体" w:hAnsi="宋体" w:eastAsia="宋体" w:cs="宋体"/>
              <w:b w:val="0"/>
              <w:bCs w:val="0"/>
              <w:color w:val="auto"/>
              <w:sz w:val="30"/>
              <w:szCs w:val="30"/>
              <w:highlight w:val="none"/>
            </w:rPr>
            <w:instrText xml:space="preserve"> PAGEREF _Toc19471 \h </w:instrText>
          </w:r>
          <w:r>
            <w:rPr>
              <w:rFonts w:hint="eastAsia" w:ascii="宋体" w:hAnsi="宋体" w:eastAsia="宋体" w:cs="宋体"/>
              <w:b w:val="0"/>
              <w:bCs w:val="0"/>
              <w:color w:val="auto"/>
              <w:sz w:val="30"/>
              <w:szCs w:val="30"/>
              <w:highlight w:val="none"/>
            </w:rPr>
            <w:fldChar w:fldCharType="separate"/>
          </w:r>
          <w:r>
            <w:rPr>
              <w:rFonts w:hint="eastAsia" w:ascii="宋体" w:hAnsi="宋体" w:eastAsia="宋体" w:cs="宋体"/>
              <w:b w:val="0"/>
              <w:bCs w:val="0"/>
              <w:color w:val="auto"/>
              <w:sz w:val="30"/>
              <w:szCs w:val="30"/>
              <w:highlight w:val="none"/>
            </w:rPr>
            <w:t>199</w:t>
          </w:r>
          <w:r>
            <w:rPr>
              <w:rFonts w:hint="eastAsia" w:ascii="宋体" w:hAnsi="宋体" w:eastAsia="宋体" w:cs="宋体"/>
              <w:b w:val="0"/>
              <w:bCs w:val="0"/>
              <w:color w:val="auto"/>
              <w:sz w:val="30"/>
              <w:szCs w:val="30"/>
              <w:highlight w:val="none"/>
            </w:rPr>
            <w:fldChar w:fldCharType="end"/>
          </w:r>
          <w:r>
            <w:rPr>
              <w:rFonts w:hint="eastAsia" w:ascii="宋体" w:hAnsi="宋体" w:eastAsia="宋体" w:cs="宋体"/>
              <w:b w:val="0"/>
              <w:bCs w:val="0"/>
              <w:snapToGrid w:val="0"/>
              <w:color w:val="auto"/>
              <w:kern w:val="0"/>
              <w:sz w:val="30"/>
              <w:szCs w:val="30"/>
              <w:highlight w:val="none"/>
            </w:rPr>
            <w:fldChar w:fldCharType="end"/>
          </w:r>
        </w:p>
        <w:p>
          <w:pPr>
            <w:pStyle w:val="32"/>
            <w:keepNext w:val="0"/>
            <w:keepLines w:val="0"/>
            <w:pageBreakBefore w:val="0"/>
            <w:tabs>
              <w:tab w:val="right" w:leader="dot" w:pos="8782"/>
            </w:tabs>
            <w:wordWrap/>
            <w:overflowPunct/>
            <w:topLinePunct w:val="0"/>
            <w:bidi w:val="0"/>
            <w:spacing w:line="800" w:lineRule="exact"/>
            <w:rPr>
              <w:rFonts w:hint="eastAsia" w:ascii="宋体" w:hAnsi="宋体" w:eastAsia="宋体" w:cs="宋体"/>
              <w:b/>
              <w:bCs/>
              <w:color w:val="auto"/>
              <w:sz w:val="30"/>
              <w:szCs w:val="30"/>
              <w:highlight w:val="none"/>
              <w:lang w:val="en-US" w:eastAsia="zh-CN"/>
            </w:rPr>
          </w:pPr>
          <w:r>
            <w:rPr>
              <w:rFonts w:hint="eastAsia" w:ascii="宋体" w:hAnsi="宋体" w:eastAsia="宋体" w:cs="宋体"/>
              <w:b/>
              <w:bCs/>
              <w:snapToGrid w:val="0"/>
              <w:color w:val="auto"/>
              <w:kern w:val="0"/>
              <w:sz w:val="30"/>
              <w:szCs w:val="30"/>
              <w:highlight w:val="none"/>
            </w:rPr>
            <w:fldChar w:fldCharType="begin"/>
          </w:r>
          <w:r>
            <w:rPr>
              <w:rFonts w:hint="eastAsia" w:ascii="宋体" w:hAnsi="宋体" w:eastAsia="宋体" w:cs="宋体"/>
              <w:b/>
              <w:bCs/>
              <w:snapToGrid w:val="0"/>
              <w:color w:val="auto"/>
              <w:kern w:val="0"/>
              <w:sz w:val="30"/>
              <w:szCs w:val="30"/>
              <w:highlight w:val="none"/>
            </w:rPr>
            <w:instrText xml:space="preserve"> HYPERLINK \l _Toc31153 </w:instrText>
          </w:r>
          <w:r>
            <w:rPr>
              <w:rFonts w:hint="eastAsia" w:ascii="宋体" w:hAnsi="宋体" w:eastAsia="宋体" w:cs="宋体"/>
              <w:b/>
              <w:bCs/>
              <w:snapToGrid w:val="0"/>
              <w:color w:val="auto"/>
              <w:kern w:val="0"/>
              <w:sz w:val="30"/>
              <w:szCs w:val="30"/>
              <w:highlight w:val="none"/>
            </w:rPr>
            <w:fldChar w:fldCharType="separate"/>
          </w:r>
          <w:r>
            <w:rPr>
              <w:rFonts w:hint="eastAsia" w:ascii="宋体" w:hAnsi="宋体" w:eastAsia="宋体" w:cs="宋体"/>
              <w:b/>
              <w:bCs/>
              <w:color w:val="auto"/>
              <w:spacing w:val="-11"/>
              <w:sz w:val="30"/>
              <w:szCs w:val="30"/>
              <w:highlight w:val="none"/>
            </w:rPr>
            <w:t>第</w:t>
          </w:r>
          <w:r>
            <w:rPr>
              <w:rFonts w:hint="eastAsia" w:ascii="宋体" w:hAnsi="宋体" w:eastAsia="宋体" w:cs="宋体"/>
              <w:b/>
              <w:bCs/>
              <w:color w:val="auto"/>
              <w:spacing w:val="-9"/>
              <w:sz w:val="30"/>
              <w:szCs w:val="30"/>
              <w:highlight w:val="none"/>
            </w:rPr>
            <w:t>四卷</w:t>
          </w:r>
          <w:r>
            <w:rPr>
              <w:rFonts w:hint="eastAsia" w:ascii="宋体" w:hAnsi="宋体" w:eastAsia="宋体" w:cs="宋体"/>
              <w:b/>
              <w:bCs/>
              <w:color w:val="auto"/>
              <w:sz w:val="30"/>
              <w:szCs w:val="30"/>
              <w:highlight w:val="none"/>
            </w:rPr>
            <w:tab/>
          </w:r>
          <w:r>
            <w:rPr>
              <w:rFonts w:hint="eastAsia" w:ascii="宋体" w:hAnsi="宋体" w:eastAsia="宋体" w:cs="宋体"/>
              <w:b/>
              <w:bCs/>
              <w:color w:val="auto"/>
              <w:sz w:val="30"/>
              <w:szCs w:val="30"/>
              <w:highlight w:val="none"/>
            </w:rPr>
            <w:fldChar w:fldCharType="begin"/>
          </w:r>
          <w:r>
            <w:rPr>
              <w:rFonts w:hint="eastAsia" w:ascii="宋体" w:hAnsi="宋体" w:eastAsia="宋体" w:cs="宋体"/>
              <w:b/>
              <w:bCs/>
              <w:color w:val="auto"/>
              <w:sz w:val="30"/>
              <w:szCs w:val="30"/>
              <w:highlight w:val="none"/>
            </w:rPr>
            <w:instrText xml:space="preserve"> PAGEREF _Toc31153 \h </w:instrText>
          </w:r>
          <w:r>
            <w:rPr>
              <w:rFonts w:hint="eastAsia" w:ascii="宋体" w:hAnsi="宋体" w:eastAsia="宋体" w:cs="宋体"/>
              <w:b/>
              <w:bCs/>
              <w:color w:val="auto"/>
              <w:sz w:val="30"/>
              <w:szCs w:val="30"/>
              <w:highlight w:val="none"/>
            </w:rPr>
            <w:fldChar w:fldCharType="separate"/>
          </w:r>
          <w:r>
            <w:rPr>
              <w:rFonts w:hint="eastAsia" w:ascii="宋体" w:hAnsi="宋体" w:eastAsia="宋体" w:cs="宋体"/>
              <w:b/>
              <w:bCs/>
              <w:color w:val="auto"/>
              <w:sz w:val="30"/>
              <w:szCs w:val="30"/>
              <w:highlight w:val="none"/>
            </w:rPr>
            <w:t>200</w:t>
          </w:r>
          <w:r>
            <w:rPr>
              <w:rFonts w:hint="eastAsia" w:ascii="宋体" w:hAnsi="宋体" w:eastAsia="宋体" w:cs="宋体"/>
              <w:b/>
              <w:bCs/>
              <w:color w:val="auto"/>
              <w:sz w:val="30"/>
              <w:szCs w:val="30"/>
              <w:highlight w:val="none"/>
            </w:rPr>
            <w:fldChar w:fldCharType="end"/>
          </w:r>
          <w:r>
            <w:rPr>
              <w:rFonts w:hint="eastAsia" w:ascii="宋体" w:hAnsi="宋体" w:eastAsia="宋体" w:cs="宋体"/>
              <w:b/>
              <w:bCs/>
              <w:snapToGrid w:val="0"/>
              <w:color w:val="auto"/>
              <w:kern w:val="0"/>
              <w:sz w:val="30"/>
              <w:szCs w:val="30"/>
              <w:highlight w:val="none"/>
            </w:rPr>
            <w:fldChar w:fldCharType="end"/>
          </w:r>
        </w:p>
        <w:p>
          <w:pPr>
            <w:pStyle w:val="32"/>
            <w:keepNext w:val="0"/>
            <w:keepLines w:val="0"/>
            <w:pageBreakBefore w:val="0"/>
            <w:tabs>
              <w:tab w:val="right" w:leader="dot" w:pos="8782"/>
            </w:tabs>
            <w:wordWrap/>
            <w:overflowPunct/>
            <w:topLinePunct w:val="0"/>
            <w:bidi w:val="0"/>
            <w:spacing w:line="800" w:lineRule="exact"/>
            <w:ind w:firstLine="600" w:firstLineChars="200"/>
            <w:rPr>
              <w:rFonts w:hint="default" w:ascii="宋体" w:hAnsi="宋体" w:eastAsia="宋体" w:cs="宋体"/>
              <w:b w:val="0"/>
              <w:bCs w:val="0"/>
              <w:color w:val="auto"/>
              <w:sz w:val="30"/>
              <w:szCs w:val="30"/>
              <w:highlight w:val="none"/>
              <w:lang w:val="en-US" w:eastAsia="zh-CN"/>
            </w:rPr>
          </w:pPr>
          <w:r>
            <w:rPr>
              <w:rFonts w:hint="eastAsia" w:ascii="宋体" w:hAnsi="宋体" w:eastAsia="宋体" w:cs="宋体"/>
              <w:b w:val="0"/>
              <w:bCs w:val="0"/>
              <w:snapToGrid w:val="0"/>
              <w:color w:val="auto"/>
              <w:kern w:val="0"/>
              <w:sz w:val="30"/>
              <w:szCs w:val="30"/>
              <w:highlight w:val="none"/>
            </w:rPr>
            <w:fldChar w:fldCharType="begin"/>
          </w:r>
          <w:r>
            <w:rPr>
              <w:rFonts w:hint="eastAsia" w:ascii="宋体" w:hAnsi="宋体" w:eastAsia="宋体" w:cs="宋体"/>
              <w:b w:val="0"/>
              <w:bCs w:val="0"/>
              <w:snapToGrid w:val="0"/>
              <w:color w:val="auto"/>
              <w:kern w:val="0"/>
              <w:sz w:val="30"/>
              <w:szCs w:val="30"/>
              <w:highlight w:val="none"/>
            </w:rPr>
            <w:instrText xml:space="preserve"> HYPERLINK \l _Toc8119 </w:instrText>
          </w:r>
          <w:r>
            <w:rPr>
              <w:rFonts w:hint="eastAsia" w:ascii="宋体" w:hAnsi="宋体" w:eastAsia="宋体" w:cs="宋体"/>
              <w:b w:val="0"/>
              <w:bCs w:val="0"/>
              <w:snapToGrid w:val="0"/>
              <w:color w:val="auto"/>
              <w:kern w:val="0"/>
              <w:sz w:val="30"/>
              <w:szCs w:val="30"/>
              <w:highlight w:val="none"/>
            </w:rPr>
            <w:fldChar w:fldCharType="separate"/>
          </w:r>
          <w:r>
            <w:rPr>
              <w:rFonts w:hint="eastAsia" w:ascii="宋体" w:hAnsi="宋体" w:eastAsia="宋体" w:cs="宋体"/>
              <w:b w:val="0"/>
              <w:bCs w:val="0"/>
              <w:color w:val="auto"/>
              <w:spacing w:val="-1"/>
              <w:sz w:val="30"/>
              <w:szCs w:val="30"/>
              <w:highlight w:val="none"/>
              <w14:textOutline w14:w="8708" w14:cap="flat" w14:cmpd="sng">
                <w14:solidFill>
                  <w14:srgbClr w14:val="000000"/>
                </w14:solidFill>
                <w14:prstDash w14:val="solid"/>
                <w14:miter w14:val="0"/>
              </w14:textOutline>
            </w:rPr>
            <w:t>第九</w:t>
          </w:r>
          <w:r>
            <w:rPr>
              <w:rFonts w:hint="eastAsia" w:ascii="宋体" w:hAnsi="宋体" w:eastAsia="宋体" w:cs="宋体"/>
              <w:b w:val="0"/>
              <w:bCs w:val="0"/>
              <w:color w:val="auto"/>
              <w:sz w:val="30"/>
              <w:szCs w:val="30"/>
              <w:highlight w:val="none"/>
              <w14:textOutline w14:w="8708" w14:cap="flat" w14:cmpd="sng">
                <w14:solidFill>
                  <w14:srgbClr w14:val="000000"/>
                </w14:solidFill>
                <w14:prstDash w14:val="solid"/>
                <w14:miter w14:val="0"/>
              </w14:textOutline>
            </w:rPr>
            <w:t>章</w:t>
          </w:r>
          <w:r>
            <w:rPr>
              <w:rFonts w:hint="eastAsia" w:ascii="宋体" w:hAnsi="宋体" w:eastAsia="宋体" w:cs="宋体"/>
              <w:b w:val="0"/>
              <w:bCs w:val="0"/>
              <w:color w:val="auto"/>
              <w:sz w:val="30"/>
              <w:szCs w:val="30"/>
              <w:highlight w:val="none"/>
            </w:rPr>
            <w:t xml:space="preserve"> </w:t>
          </w:r>
          <w:r>
            <w:rPr>
              <w:rFonts w:hint="eastAsia" w:ascii="宋体" w:hAnsi="宋体" w:eastAsia="宋体" w:cs="宋体"/>
              <w:b w:val="0"/>
              <w:bCs w:val="0"/>
              <w:color w:val="auto"/>
              <w:sz w:val="30"/>
              <w:szCs w:val="30"/>
              <w:highlight w:val="none"/>
              <w14:textOutline w14:w="8708" w14:cap="flat" w14:cmpd="sng">
                <w14:solidFill>
                  <w14:srgbClr w14:val="000000"/>
                </w14:solidFill>
                <w14:prstDash w14:val="solid"/>
                <w14:miter w14:val="0"/>
              </w14:textOutline>
            </w:rPr>
            <w:t>投标文件格式</w:t>
          </w:r>
          <w:r>
            <w:rPr>
              <w:rFonts w:hint="eastAsia" w:ascii="宋体" w:hAnsi="宋体" w:eastAsia="宋体" w:cs="宋体"/>
              <w:b w:val="0"/>
              <w:bCs w:val="0"/>
              <w:color w:val="auto"/>
              <w:sz w:val="30"/>
              <w:szCs w:val="30"/>
              <w:highlight w:val="none"/>
            </w:rPr>
            <w:tab/>
          </w:r>
          <w:r>
            <w:rPr>
              <w:rFonts w:hint="eastAsia" w:ascii="宋体" w:hAnsi="宋体" w:cs="宋体"/>
              <w:b w:val="0"/>
              <w:bCs w:val="0"/>
              <w:color w:val="auto"/>
              <w:sz w:val="30"/>
              <w:szCs w:val="30"/>
              <w:highlight w:val="none"/>
              <w:lang w:val="en-US" w:eastAsia="zh-CN"/>
            </w:rPr>
            <w:t>2</w:t>
          </w:r>
          <w:r>
            <w:rPr>
              <w:rFonts w:hint="eastAsia" w:ascii="宋体" w:hAnsi="宋体" w:eastAsia="宋体" w:cs="宋体"/>
              <w:b w:val="0"/>
              <w:bCs w:val="0"/>
              <w:snapToGrid w:val="0"/>
              <w:color w:val="auto"/>
              <w:kern w:val="0"/>
              <w:sz w:val="30"/>
              <w:szCs w:val="30"/>
              <w:highlight w:val="none"/>
            </w:rPr>
            <w:fldChar w:fldCharType="end"/>
          </w:r>
          <w:r>
            <w:rPr>
              <w:rFonts w:hint="eastAsia" w:ascii="宋体" w:hAnsi="宋体" w:cs="宋体"/>
              <w:b w:val="0"/>
              <w:bCs w:val="0"/>
              <w:snapToGrid w:val="0"/>
              <w:color w:val="auto"/>
              <w:kern w:val="0"/>
              <w:sz w:val="30"/>
              <w:szCs w:val="30"/>
              <w:highlight w:val="none"/>
              <w:lang w:val="en-US" w:eastAsia="zh-CN"/>
            </w:rPr>
            <w:t>01</w:t>
          </w:r>
        </w:p>
        <w:p>
          <w:pPr>
            <w:pStyle w:val="2"/>
            <w:keepNext w:val="0"/>
            <w:keepLines w:val="0"/>
            <w:pageBreakBefore w:val="0"/>
            <w:wordWrap/>
            <w:overflowPunct/>
            <w:topLinePunct w:val="0"/>
            <w:bidi w:val="0"/>
            <w:spacing w:line="800" w:lineRule="exact"/>
            <w:rPr>
              <w:rFonts w:hint="eastAsia" w:ascii="Calibri" w:hAnsi="Calibri" w:eastAsia="宋体" w:cs="Arial"/>
              <w:b/>
              <w:bCs/>
              <w:snapToGrid w:val="0"/>
              <w:color w:val="auto"/>
              <w:kern w:val="0"/>
              <w:sz w:val="21"/>
              <w:szCs w:val="22"/>
              <w:highlight w:val="none"/>
            </w:rPr>
          </w:pPr>
          <w:r>
            <w:rPr>
              <w:rFonts w:hint="eastAsia" w:ascii="宋体" w:hAnsi="宋体" w:eastAsia="宋体" w:cs="宋体"/>
              <w:b/>
              <w:bCs/>
              <w:snapToGrid w:val="0"/>
              <w:color w:val="auto"/>
              <w:kern w:val="0"/>
              <w:sz w:val="30"/>
              <w:szCs w:val="30"/>
              <w:highlight w:val="none"/>
            </w:rPr>
            <w:fldChar w:fldCharType="end"/>
          </w:r>
        </w:p>
      </w:sdtContent>
    </w:sdt>
    <w:p>
      <w:pPr>
        <w:pStyle w:val="16"/>
        <w:keepNext w:val="0"/>
        <w:keepLines w:val="0"/>
        <w:pageBreakBefore w:val="0"/>
        <w:tabs>
          <w:tab w:val="right" w:leader="dot" w:pos="8330"/>
        </w:tabs>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5"/>
          <w:sz w:val="21"/>
          <w:szCs w:val="21"/>
          <w:highlight w:val="none"/>
        </w:rPr>
      </w:pPr>
    </w:p>
    <w:p>
      <w:pPr>
        <w:bidi w:val="0"/>
        <w:jc w:val="left"/>
        <w:rPr>
          <w:rFonts w:ascii="Arial" w:hAnsi="Arial" w:eastAsia="Arial" w:cs="Arial"/>
          <w:snapToGrid w:val="0"/>
          <w:color w:val="auto"/>
          <w:kern w:val="0"/>
          <w:sz w:val="21"/>
          <w:szCs w:val="21"/>
          <w:highlight w:val="none"/>
        </w:rPr>
        <w:sectPr>
          <w:headerReference r:id="rId8" w:type="default"/>
          <w:pgSz w:w="11900" w:h="16840"/>
          <w:pgMar w:top="1253" w:right="1446" w:bottom="1448" w:left="1446" w:header="964" w:footer="1234" w:gutter="0"/>
          <w:pgNumType w:fmt="decimal"/>
          <w:cols w:space="720" w:num="1"/>
        </w:sectPr>
      </w:pPr>
    </w:p>
    <w:p>
      <w:pPr>
        <w:pStyle w:val="2"/>
        <w:rPr>
          <w:color w:val="auto"/>
          <w:highlight w:val="none"/>
        </w:rPr>
      </w:pPr>
    </w:p>
    <w:p>
      <w:pPr>
        <w:pStyle w:val="2"/>
        <w:rPr>
          <w:rFonts w:ascii="黑体" w:hAnsi="黑体" w:eastAsia="黑体" w:cs="黑体"/>
          <w:color w:val="auto"/>
          <w:spacing w:val="5"/>
          <w:sz w:val="84"/>
          <w:szCs w:val="84"/>
          <w:highlight w:val="none"/>
        </w:rPr>
      </w:pPr>
    </w:p>
    <w:p>
      <w:pPr>
        <w:pStyle w:val="2"/>
        <w:rPr>
          <w:rFonts w:ascii="黑体" w:hAnsi="黑体" w:eastAsia="黑体" w:cs="黑体"/>
          <w:color w:val="auto"/>
          <w:spacing w:val="5"/>
          <w:sz w:val="84"/>
          <w:szCs w:val="84"/>
          <w:highlight w:val="none"/>
        </w:rPr>
      </w:pPr>
    </w:p>
    <w:p>
      <w:pPr>
        <w:spacing w:before="273" w:line="222" w:lineRule="auto"/>
        <w:jc w:val="center"/>
        <w:outlineLvl w:val="9"/>
        <w:rPr>
          <w:rFonts w:hint="eastAsia" w:ascii="宋体" w:hAnsi="宋体" w:eastAsia="宋体" w:cs="宋体"/>
          <w:b/>
          <w:bCs/>
          <w:color w:val="auto"/>
          <w:spacing w:val="5"/>
          <w:sz w:val="84"/>
          <w:szCs w:val="84"/>
          <w:highlight w:val="none"/>
        </w:rPr>
      </w:pPr>
      <w:bookmarkStart w:id="16" w:name="_Toc14616"/>
    </w:p>
    <w:p>
      <w:pPr>
        <w:spacing w:before="273" w:line="222" w:lineRule="auto"/>
        <w:jc w:val="center"/>
        <w:outlineLvl w:val="9"/>
        <w:rPr>
          <w:rFonts w:hint="eastAsia" w:ascii="宋体" w:hAnsi="宋体" w:eastAsia="宋体" w:cs="宋体"/>
          <w:b/>
          <w:bCs/>
          <w:color w:val="auto"/>
          <w:spacing w:val="5"/>
          <w:sz w:val="84"/>
          <w:szCs w:val="84"/>
          <w:highlight w:val="none"/>
        </w:rPr>
      </w:pPr>
    </w:p>
    <w:p>
      <w:pPr>
        <w:spacing w:before="273" w:line="222" w:lineRule="auto"/>
        <w:jc w:val="center"/>
        <w:outlineLvl w:val="0"/>
        <w:rPr>
          <w:rFonts w:hint="eastAsia" w:ascii="宋体" w:hAnsi="宋体" w:eastAsia="宋体" w:cs="宋体"/>
          <w:b/>
          <w:bCs/>
          <w:color w:val="auto"/>
          <w:sz w:val="72"/>
          <w:szCs w:val="72"/>
          <w:highlight w:val="none"/>
        </w:rPr>
      </w:pPr>
      <w:bookmarkStart w:id="17" w:name="_Toc17600"/>
      <w:bookmarkStart w:id="18" w:name="_Toc21310"/>
      <w:r>
        <w:rPr>
          <w:rFonts w:hint="eastAsia" w:ascii="宋体" w:hAnsi="宋体" w:eastAsia="宋体" w:cs="宋体"/>
          <w:b/>
          <w:bCs/>
          <w:color w:val="auto"/>
          <w:spacing w:val="5"/>
          <w:sz w:val="72"/>
          <w:szCs w:val="72"/>
          <w:highlight w:val="none"/>
        </w:rPr>
        <w:t>第</w:t>
      </w:r>
      <w:r>
        <w:rPr>
          <w:rFonts w:hint="eastAsia" w:ascii="宋体" w:hAnsi="宋体" w:eastAsia="宋体" w:cs="宋体"/>
          <w:b/>
          <w:bCs/>
          <w:color w:val="auto"/>
          <w:spacing w:val="4"/>
          <w:sz w:val="72"/>
          <w:szCs w:val="72"/>
          <w:highlight w:val="none"/>
        </w:rPr>
        <w:t>一卷</w:t>
      </w:r>
      <w:bookmarkEnd w:id="16"/>
      <w:bookmarkEnd w:id="17"/>
      <w:bookmarkEnd w:id="18"/>
    </w:p>
    <w:p>
      <w:pPr>
        <w:rPr>
          <w:rFonts w:hint="eastAsia" w:ascii="宋体" w:hAnsi="宋体" w:eastAsia="宋体" w:cs="宋体"/>
          <w:b/>
          <w:bCs/>
          <w:color w:val="auto"/>
          <w:highlight w:val="none"/>
        </w:rPr>
        <w:sectPr>
          <w:pgSz w:w="11900" w:h="16840"/>
          <w:pgMar w:top="1253" w:right="1162" w:bottom="1448" w:left="1162" w:header="964" w:footer="1234" w:gutter="0"/>
          <w:pgNumType w:fmt="decimal"/>
          <w:cols w:space="720" w:num="1"/>
        </w:sectPr>
      </w:pPr>
    </w:p>
    <w:p>
      <w:pPr>
        <w:spacing w:before="291" w:line="408" w:lineRule="exact"/>
        <w:jc w:val="center"/>
        <w:rPr>
          <w:rFonts w:hint="eastAsia" w:ascii="宋体" w:hAnsi="宋体" w:eastAsia="宋体" w:cs="宋体"/>
          <w:b/>
          <w:bCs/>
          <w:color w:val="auto"/>
          <w:sz w:val="40"/>
          <w:szCs w:val="40"/>
          <w:highlight w:val="none"/>
        </w:rPr>
      </w:pPr>
      <w:r>
        <w:rPr>
          <w:rFonts w:hint="eastAsia" w:ascii="宋体" w:hAnsi="宋体" w:eastAsia="宋体" w:cs="宋体"/>
          <w:b/>
          <w:bCs/>
          <w:color w:val="auto"/>
          <w:spacing w:val="7"/>
          <w:sz w:val="40"/>
          <w:szCs w:val="40"/>
          <w:highlight w:val="none"/>
        </w:rPr>
        <w:t>第一章 招标公告</w:t>
      </w:r>
    </w:p>
    <w:p>
      <w:pPr>
        <w:keepNext w:val="0"/>
        <w:keepLines w:val="0"/>
        <w:pageBreakBefore w:val="0"/>
        <w:widowControl/>
        <w:wordWrap/>
        <w:overflowPunct/>
        <w:topLinePunct w:val="0"/>
        <w:bidi w:val="0"/>
        <w:spacing w:line="420" w:lineRule="exact"/>
        <w:rPr>
          <w:rFonts w:hint="eastAsia" w:ascii="宋体" w:hAnsi="宋体" w:eastAsia="宋体" w:cs="宋体"/>
          <w:color w:val="auto"/>
          <w:sz w:val="21"/>
          <w:szCs w:val="21"/>
          <w:highlight w:val="none"/>
        </w:rPr>
      </w:pPr>
    </w:p>
    <w:p>
      <w:pPr>
        <w:keepNext w:val="0"/>
        <w:keepLines w:val="0"/>
        <w:pageBreakBefore w:val="0"/>
        <w:widowControl/>
        <w:tabs>
          <w:tab w:val="left" w:pos="2152"/>
        </w:tabs>
        <w:wordWrap/>
        <w:overflowPunct/>
        <w:topLinePunct w:val="0"/>
        <w:bidi w:val="0"/>
        <w:spacing w:before="101" w:line="500" w:lineRule="exact"/>
        <w:ind w:left="74"/>
        <w:outlineLvl w:val="9"/>
        <w:rPr>
          <w:rFonts w:hint="eastAsia" w:ascii="宋体" w:hAnsi="宋体" w:eastAsia="宋体" w:cs="宋体"/>
          <w:b/>
          <w:bCs/>
          <w:color w:val="auto"/>
          <w:spacing w:val="0"/>
          <w:position w:val="0"/>
          <w:sz w:val="28"/>
          <w:szCs w:val="28"/>
          <w:highlight w:val="none"/>
          <w:lang w:eastAsia="zh-CN"/>
        </w:rPr>
      </w:pPr>
      <w:bookmarkStart w:id="19" w:name="_bookmark22"/>
      <w:bookmarkEnd w:id="19"/>
      <w:bookmarkStart w:id="20" w:name="_Toc1525"/>
      <w:bookmarkStart w:id="21" w:name="_Toc3523"/>
      <w:r>
        <w:rPr>
          <w:rFonts w:hint="eastAsia" w:ascii="宋体" w:hAnsi="宋体" w:eastAsia="宋体" w:cs="宋体"/>
          <w:b/>
          <w:bCs/>
          <w:color w:val="auto"/>
          <w:spacing w:val="-13"/>
          <w:position w:val="2"/>
          <w:sz w:val="24"/>
          <w:szCs w:val="24"/>
          <w:highlight w:val="none"/>
        </w:rPr>
        <w:t>1</w:t>
      </w:r>
      <w:r>
        <w:rPr>
          <w:rFonts w:hint="eastAsia" w:ascii="宋体" w:hAnsi="宋体" w:eastAsia="宋体" w:cs="宋体"/>
          <w:b/>
          <w:bCs/>
          <w:color w:val="auto"/>
          <w:spacing w:val="-8"/>
          <w:position w:val="2"/>
          <w:sz w:val="24"/>
          <w:szCs w:val="24"/>
          <w:highlight w:val="none"/>
        </w:rPr>
        <w:t>．</w:t>
      </w:r>
      <w:r>
        <w:rPr>
          <w:rFonts w:hint="eastAsia" w:ascii="宋体" w:hAnsi="宋体" w:eastAsia="宋体" w:cs="宋体"/>
          <w:b/>
          <w:bCs/>
          <w:color w:val="auto"/>
          <w:spacing w:val="0"/>
          <w:position w:val="0"/>
          <w:sz w:val="24"/>
          <w:szCs w:val="24"/>
          <w:highlight w:val="none"/>
        </w:rPr>
        <w:t>招标条件</w:t>
      </w:r>
      <w:bookmarkEnd w:id="20"/>
      <w:bookmarkEnd w:id="21"/>
      <w:r>
        <w:rPr>
          <w:rFonts w:hint="eastAsia" w:ascii="宋体" w:hAnsi="宋体" w:eastAsia="宋体" w:cs="宋体"/>
          <w:b/>
          <w:bCs/>
          <w:color w:val="auto"/>
          <w:spacing w:val="0"/>
          <w:position w:val="0"/>
          <w:sz w:val="28"/>
          <w:szCs w:val="28"/>
          <w:highlight w:val="none"/>
          <w:lang w:eastAsia="zh-CN"/>
        </w:rPr>
        <w:tab/>
      </w:r>
    </w:p>
    <w:p>
      <w:pPr>
        <w:keepNext w:val="0"/>
        <w:keepLines w:val="0"/>
        <w:pageBreakBefore w:val="0"/>
        <w:widowControl/>
        <w:kinsoku w:val="0"/>
        <w:wordWrap/>
        <w:overflowPunct/>
        <w:topLinePunct w:val="0"/>
        <w:autoSpaceDE w:val="0"/>
        <w:autoSpaceDN w:val="0"/>
        <w:bidi w:val="0"/>
        <w:adjustRightInd w:val="0"/>
        <w:snapToGrid w:val="0"/>
        <w:spacing w:before="65" w:line="500" w:lineRule="exact"/>
        <w:ind w:left="45" w:right="68" w:firstLine="42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本招标项目</w:t>
      </w:r>
      <w:r>
        <w:rPr>
          <w:rFonts w:hint="eastAsia" w:ascii="宋体" w:hAnsi="宋体" w:eastAsia="宋体" w:cs="宋体"/>
          <w:b/>
          <w:bCs/>
          <w:color w:val="auto"/>
          <w:spacing w:val="0"/>
          <w:position w:val="0"/>
          <w:sz w:val="21"/>
          <w:szCs w:val="21"/>
          <w:highlight w:val="none"/>
          <w:u w:val="single"/>
          <w:lang w:val="en-US" w:eastAsia="zh-CN"/>
        </w:rPr>
        <w:t>嵊州市三溪水库配套工程（上竹线楼家-三溪段道路改建工程）</w:t>
      </w:r>
      <w:r>
        <w:rPr>
          <w:rFonts w:hint="eastAsia" w:ascii="宋体" w:hAnsi="宋体" w:eastAsia="宋体" w:cs="宋体"/>
          <w:color w:val="auto"/>
          <w:spacing w:val="0"/>
          <w:position w:val="0"/>
          <w:sz w:val="21"/>
          <w:szCs w:val="21"/>
          <w:highlight w:val="none"/>
        </w:rPr>
        <w:t>(项目名称) 已由</w:t>
      </w:r>
      <w:r>
        <w:rPr>
          <w:rFonts w:hint="eastAsia" w:ascii="宋体" w:hAnsi="宋体" w:eastAsia="宋体" w:cs="宋体"/>
          <w:b/>
          <w:bCs/>
          <w:color w:val="auto"/>
          <w:spacing w:val="0"/>
          <w:position w:val="0"/>
          <w:sz w:val="21"/>
          <w:szCs w:val="21"/>
          <w:highlight w:val="none"/>
          <w:u w:val="single"/>
        </w:rPr>
        <w:t>嵊州市发展和改革局</w:t>
      </w:r>
      <w:r>
        <w:rPr>
          <w:rFonts w:hint="eastAsia" w:ascii="宋体" w:hAnsi="宋体" w:eastAsia="宋体" w:cs="宋体"/>
          <w:color w:val="auto"/>
          <w:spacing w:val="0"/>
          <w:position w:val="0"/>
          <w:sz w:val="21"/>
          <w:szCs w:val="21"/>
          <w:highlight w:val="none"/>
        </w:rPr>
        <w:t xml:space="preserve"> (项目审批、核准或备案机关名称) 以</w:t>
      </w:r>
      <w:r>
        <w:rPr>
          <w:rFonts w:hint="eastAsia" w:ascii="宋体" w:hAnsi="宋体" w:eastAsia="宋体" w:cs="宋体"/>
          <w:b/>
          <w:bCs/>
          <w:color w:val="auto"/>
          <w:spacing w:val="0"/>
          <w:position w:val="0"/>
          <w:sz w:val="21"/>
          <w:szCs w:val="21"/>
          <w:highlight w:val="none"/>
          <w:u w:val="single"/>
          <w:lang w:val="en-US" w:eastAsia="zh-CN" w:bidi="ar"/>
        </w:rPr>
        <w:t>嵊发改中投(2023)87号</w:t>
      </w:r>
      <w:r>
        <w:rPr>
          <w:rFonts w:hint="eastAsia" w:ascii="宋体" w:hAnsi="宋体" w:eastAsia="宋体" w:cs="宋体"/>
          <w:color w:val="auto"/>
          <w:spacing w:val="0"/>
          <w:position w:val="0"/>
          <w:sz w:val="21"/>
          <w:szCs w:val="21"/>
          <w:highlight w:val="none"/>
        </w:rPr>
        <w:t xml:space="preserve"> (批文名称及编号) 批准建设</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lang w:val="en-US" w:eastAsia="zh-CN"/>
        </w:rPr>
        <w:t>施工图设计已由</w:t>
      </w:r>
      <w:r>
        <w:rPr>
          <w:rFonts w:hint="eastAsia" w:ascii="宋体" w:hAnsi="宋体" w:eastAsia="宋体" w:cs="宋体"/>
          <w:b/>
          <w:bCs/>
          <w:color w:val="auto"/>
          <w:spacing w:val="0"/>
          <w:position w:val="0"/>
          <w:sz w:val="21"/>
          <w:szCs w:val="21"/>
          <w:highlight w:val="none"/>
          <w:u w:val="single"/>
          <w:lang w:val="en-US" w:eastAsia="zh-CN"/>
        </w:rPr>
        <w:t>嵊州市交通局</w:t>
      </w:r>
      <w:r>
        <w:rPr>
          <w:rFonts w:hint="eastAsia" w:ascii="宋体" w:hAnsi="宋体" w:eastAsia="宋体" w:cs="宋体"/>
          <w:color w:val="auto"/>
          <w:spacing w:val="0"/>
          <w:position w:val="0"/>
          <w:sz w:val="21"/>
          <w:szCs w:val="21"/>
          <w:highlight w:val="none"/>
          <w:lang w:val="en-US" w:eastAsia="zh-CN"/>
        </w:rPr>
        <w:t>（批准机关名称）以</w:t>
      </w:r>
      <w:r>
        <w:rPr>
          <w:rFonts w:hint="eastAsia" w:ascii="宋体" w:hAnsi="宋体" w:eastAsia="宋体" w:cs="宋体"/>
          <w:b/>
          <w:bCs/>
          <w:color w:val="auto"/>
          <w:spacing w:val="0"/>
          <w:position w:val="0"/>
          <w:sz w:val="21"/>
          <w:szCs w:val="21"/>
          <w:highlight w:val="none"/>
          <w:u w:val="single"/>
          <w:lang w:val="en-US" w:eastAsia="zh-CN"/>
        </w:rPr>
        <w:t>浙绍嵊交许（2023）5000022号</w:t>
      </w:r>
      <w:r>
        <w:rPr>
          <w:rFonts w:hint="eastAsia" w:ascii="宋体" w:hAnsi="宋体" w:eastAsia="宋体" w:cs="宋体"/>
          <w:color w:val="auto"/>
          <w:spacing w:val="0"/>
          <w:position w:val="0"/>
          <w:sz w:val="21"/>
          <w:szCs w:val="21"/>
          <w:highlight w:val="none"/>
        </w:rPr>
        <w:t>(批文名称及编号)批准</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项目业主为</w:t>
      </w:r>
      <w:r>
        <w:rPr>
          <w:rFonts w:hint="eastAsia" w:ascii="宋体" w:hAnsi="宋体" w:eastAsia="宋体" w:cs="宋体"/>
          <w:b/>
          <w:bCs/>
          <w:color w:val="auto"/>
          <w:spacing w:val="0"/>
          <w:position w:val="0"/>
          <w:sz w:val="21"/>
          <w:szCs w:val="21"/>
          <w:highlight w:val="none"/>
          <w:u w:val="single"/>
          <w:lang w:eastAsia="zh-CN" w:bidi="ar"/>
        </w:rPr>
        <w:t>嵊州市交通投资发展集团有限公司</w:t>
      </w:r>
      <w:r>
        <w:rPr>
          <w:rFonts w:hint="eastAsia" w:ascii="宋体" w:hAnsi="宋体" w:eastAsia="宋体" w:cs="宋体"/>
          <w:color w:val="auto"/>
          <w:spacing w:val="0"/>
          <w:position w:val="0"/>
          <w:sz w:val="21"/>
          <w:szCs w:val="21"/>
          <w:highlight w:val="none"/>
        </w:rPr>
        <w:t>，建设资金来自</w:t>
      </w:r>
      <w:r>
        <w:rPr>
          <w:rFonts w:hint="eastAsia" w:ascii="宋体" w:hAnsi="宋体" w:eastAsia="宋体" w:cs="宋体"/>
          <w:b/>
          <w:bCs/>
          <w:color w:val="auto"/>
          <w:spacing w:val="0"/>
          <w:position w:val="0"/>
          <w:sz w:val="21"/>
          <w:szCs w:val="21"/>
          <w:highlight w:val="none"/>
          <w:u w:val="single"/>
          <w:lang w:val="en-US" w:eastAsia="zh-CN" w:bidi="ar"/>
        </w:rPr>
        <w:t xml:space="preserve"> 财政资金及国有资金</w:t>
      </w:r>
      <w:r>
        <w:rPr>
          <w:rFonts w:hint="eastAsia" w:ascii="宋体" w:hAnsi="宋体" w:eastAsia="宋体" w:cs="宋体"/>
          <w:color w:val="auto"/>
          <w:spacing w:val="0"/>
          <w:position w:val="0"/>
          <w:sz w:val="21"/>
          <w:szCs w:val="21"/>
          <w:highlight w:val="none"/>
        </w:rPr>
        <w:t>(资金来源) ，资金已落实，招标人为</w:t>
      </w:r>
      <w:r>
        <w:rPr>
          <w:rFonts w:hint="eastAsia" w:ascii="宋体" w:hAnsi="宋体" w:eastAsia="宋体" w:cs="宋体"/>
          <w:b/>
          <w:bCs/>
          <w:color w:val="auto"/>
          <w:spacing w:val="0"/>
          <w:position w:val="0"/>
          <w:sz w:val="21"/>
          <w:szCs w:val="21"/>
          <w:highlight w:val="none"/>
          <w:u w:val="single"/>
          <w:lang w:val="en-US" w:eastAsia="zh-CN"/>
        </w:rPr>
        <w:t>嵊</w:t>
      </w:r>
      <w:r>
        <w:rPr>
          <w:rFonts w:hint="eastAsia" w:ascii="宋体" w:hAnsi="宋体" w:eastAsia="宋体" w:cs="宋体"/>
          <w:b/>
          <w:bCs/>
          <w:color w:val="auto"/>
          <w:spacing w:val="0"/>
          <w:position w:val="0"/>
          <w:sz w:val="21"/>
          <w:szCs w:val="21"/>
          <w:highlight w:val="none"/>
          <w:u w:val="single"/>
          <w:lang w:eastAsia="zh-CN" w:bidi="ar"/>
        </w:rPr>
        <w:t>州市交通投资发展集团有限公司</w:t>
      </w:r>
      <w:r>
        <w:rPr>
          <w:rFonts w:hint="eastAsia" w:ascii="宋体" w:hAnsi="宋体" w:eastAsia="宋体" w:cs="宋体"/>
          <w:color w:val="auto"/>
          <w:spacing w:val="0"/>
          <w:position w:val="0"/>
          <w:sz w:val="21"/>
          <w:szCs w:val="21"/>
          <w:highlight w:val="none"/>
        </w:rPr>
        <w:t>，招标代理机构为</w:t>
      </w:r>
      <w:r>
        <w:rPr>
          <w:rFonts w:hint="eastAsia" w:ascii="宋体" w:hAnsi="宋体" w:eastAsia="宋体" w:cs="宋体"/>
          <w:color w:val="auto"/>
          <w:spacing w:val="0"/>
          <w:position w:val="0"/>
          <w:sz w:val="21"/>
          <w:szCs w:val="21"/>
          <w:highlight w:val="none"/>
          <w:u w:val="single"/>
          <w:lang w:val="en-US" w:eastAsia="zh-CN"/>
        </w:rPr>
        <w:t xml:space="preserve"> </w:t>
      </w:r>
      <w:r>
        <w:rPr>
          <w:rFonts w:hint="eastAsia" w:ascii="宋体" w:hAnsi="宋体" w:eastAsia="宋体" w:cs="宋体"/>
          <w:b/>
          <w:bCs/>
          <w:color w:val="auto"/>
          <w:spacing w:val="0"/>
          <w:position w:val="0"/>
          <w:sz w:val="21"/>
          <w:szCs w:val="21"/>
          <w:highlight w:val="none"/>
          <w:u w:val="single"/>
          <w:lang w:val="en-US" w:eastAsia="zh-CN"/>
        </w:rPr>
        <w:t xml:space="preserve">浙江华耀建设咨询有限公司 </w:t>
      </w:r>
      <w:r>
        <w:rPr>
          <w:rFonts w:hint="eastAsia" w:ascii="宋体" w:hAnsi="宋体" w:eastAsia="宋体" w:cs="宋体"/>
          <w:color w:val="auto"/>
          <w:spacing w:val="0"/>
          <w:position w:val="0"/>
          <w:sz w:val="21"/>
          <w:szCs w:val="21"/>
          <w:highlight w:val="none"/>
        </w:rPr>
        <w:t>。项目已具备招标条件，现对该项目的施工进行公开招标，实行资格后审。主要工程数量和资格审查条件 (最低要求) 详见</w:t>
      </w:r>
      <w:r>
        <w:rPr>
          <w:rFonts w:hint="eastAsia" w:ascii="宋体" w:hAnsi="宋体" w:eastAsia="宋体" w:cs="宋体"/>
          <w:b/>
          <w:bCs/>
          <w:color w:val="auto"/>
          <w:spacing w:val="0"/>
          <w:position w:val="0"/>
          <w:sz w:val="21"/>
          <w:szCs w:val="21"/>
          <w:highlight w:val="none"/>
          <w:u w:val="single"/>
        </w:rPr>
        <w:t>附录</w:t>
      </w:r>
      <w:r>
        <w:rPr>
          <w:rFonts w:hint="eastAsia" w:ascii="宋体" w:hAnsi="宋体" w:eastAsia="宋体" w:cs="宋体"/>
          <w:color w:val="auto"/>
          <w:spacing w:val="0"/>
          <w:position w:val="0"/>
          <w:sz w:val="21"/>
          <w:szCs w:val="21"/>
          <w:highlight w:val="none"/>
        </w:rPr>
        <w:t>。</w:t>
      </w:r>
    </w:p>
    <w:p>
      <w:pPr>
        <w:keepNext w:val="0"/>
        <w:keepLines w:val="0"/>
        <w:pageBreakBefore w:val="0"/>
        <w:widowControl/>
        <w:wordWrap/>
        <w:overflowPunct/>
        <w:topLinePunct w:val="0"/>
        <w:bidi w:val="0"/>
        <w:spacing w:before="101" w:line="500" w:lineRule="exact"/>
        <w:ind w:left="74"/>
        <w:outlineLvl w:val="9"/>
        <w:rPr>
          <w:rFonts w:hint="eastAsia" w:ascii="宋体" w:hAnsi="宋体" w:eastAsia="宋体" w:cs="宋体"/>
          <w:b/>
          <w:bCs/>
          <w:color w:val="auto"/>
          <w:spacing w:val="0"/>
          <w:position w:val="0"/>
          <w:sz w:val="24"/>
          <w:szCs w:val="24"/>
          <w:highlight w:val="none"/>
        </w:rPr>
      </w:pPr>
      <w:bookmarkStart w:id="22" w:name="_Toc22442"/>
      <w:bookmarkStart w:id="23" w:name="_Toc1792"/>
      <w:r>
        <w:rPr>
          <w:rFonts w:hint="eastAsia" w:ascii="宋体" w:hAnsi="宋体" w:eastAsia="宋体" w:cs="宋体"/>
          <w:b/>
          <w:bCs/>
          <w:color w:val="auto"/>
          <w:spacing w:val="0"/>
          <w:position w:val="0"/>
          <w:sz w:val="24"/>
          <w:szCs w:val="24"/>
          <w:highlight w:val="none"/>
        </w:rPr>
        <w:t>2．项目概况与招标范围</w:t>
      </w:r>
      <w:bookmarkEnd w:id="22"/>
      <w:bookmarkEnd w:id="23"/>
    </w:p>
    <w:p>
      <w:pPr>
        <w:keepNext w:val="0"/>
        <w:keepLines w:val="0"/>
        <w:pageBreakBefore w:val="0"/>
        <w:widowControl/>
        <w:wordWrap/>
        <w:overflowPunct/>
        <w:topLinePunct w:val="0"/>
        <w:bidi w:val="0"/>
        <w:spacing w:line="500" w:lineRule="exact"/>
        <w:ind w:firstLine="420" w:firstLineChars="200"/>
        <w:jc w:val="left"/>
        <w:rPr>
          <w:rFonts w:hint="eastAsia" w:ascii="宋体" w:hAnsi="宋体" w:eastAsia="宋体" w:cs="宋体"/>
          <w:b w:val="0"/>
          <w:bCs w:val="0"/>
          <w:color w:val="auto"/>
          <w:spacing w:val="0"/>
          <w:position w:val="0"/>
          <w:sz w:val="21"/>
          <w:szCs w:val="21"/>
          <w:highlight w:val="none"/>
          <w:lang w:eastAsia="zh-CN"/>
        </w:rPr>
      </w:pPr>
      <w:r>
        <w:rPr>
          <w:rFonts w:hint="eastAsia" w:ascii="宋体" w:hAnsi="宋体" w:eastAsia="宋体" w:cs="宋体"/>
          <w:color w:val="auto"/>
          <w:spacing w:val="0"/>
          <w:position w:val="0"/>
          <w:sz w:val="21"/>
          <w:szCs w:val="21"/>
          <w:highlight w:val="none"/>
        </w:rPr>
        <w:t>2.1</w:t>
      </w:r>
      <w:r>
        <w:rPr>
          <w:rFonts w:hint="eastAsia" w:ascii="宋体" w:hAnsi="宋体" w:eastAsia="宋体" w:cs="宋体"/>
          <w:color w:val="auto"/>
          <w:spacing w:val="0"/>
          <w:kern w:val="0"/>
          <w:position w:val="0"/>
          <w:sz w:val="21"/>
          <w:szCs w:val="21"/>
          <w:highlight w:val="none"/>
        </w:rPr>
        <w:t>本工程概算总投资：</w:t>
      </w:r>
      <w:r>
        <w:rPr>
          <w:rFonts w:hint="eastAsia" w:ascii="宋体" w:hAnsi="宋体" w:eastAsia="宋体" w:cs="宋体"/>
          <w:b/>
          <w:bCs/>
          <w:color w:val="auto"/>
          <w:spacing w:val="0"/>
          <w:kern w:val="0"/>
          <w:position w:val="0"/>
          <w:sz w:val="21"/>
          <w:szCs w:val="21"/>
          <w:highlight w:val="none"/>
          <w:u w:val="single"/>
          <w:lang w:val="en-US" w:eastAsia="zh-CN"/>
        </w:rPr>
        <w:t>23611.8</w:t>
      </w:r>
      <w:r>
        <w:rPr>
          <w:rFonts w:hint="eastAsia" w:ascii="宋体" w:hAnsi="宋体" w:eastAsia="宋体" w:cs="宋体"/>
          <w:b/>
          <w:bCs/>
          <w:color w:val="auto"/>
          <w:spacing w:val="0"/>
          <w:kern w:val="0"/>
          <w:position w:val="0"/>
          <w:sz w:val="21"/>
          <w:szCs w:val="21"/>
          <w:highlight w:val="none"/>
          <w:u w:val="none"/>
          <w:lang w:val="en-US" w:eastAsia="zh-CN"/>
        </w:rPr>
        <w:t>万</w:t>
      </w:r>
      <w:r>
        <w:rPr>
          <w:rFonts w:hint="eastAsia" w:ascii="宋体" w:hAnsi="宋体" w:eastAsia="宋体" w:cs="宋体"/>
          <w:color w:val="auto"/>
          <w:spacing w:val="0"/>
          <w:kern w:val="0"/>
          <w:position w:val="0"/>
          <w:sz w:val="21"/>
          <w:szCs w:val="21"/>
          <w:highlight w:val="none"/>
          <w:u w:val="none"/>
          <w:lang w:val="en-US" w:eastAsia="zh-CN"/>
        </w:rPr>
        <w:t>元</w:t>
      </w:r>
      <w:r>
        <w:rPr>
          <w:rFonts w:hint="eastAsia" w:ascii="宋体" w:hAnsi="宋体" w:eastAsia="宋体" w:cs="宋体"/>
          <w:color w:val="auto"/>
          <w:spacing w:val="0"/>
          <w:position w:val="0"/>
          <w:sz w:val="21"/>
          <w:szCs w:val="21"/>
          <w:highlight w:val="none"/>
        </w:rPr>
        <w:t>，</w:t>
      </w:r>
      <w:r>
        <w:rPr>
          <w:rFonts w:hint="eastAsia" w:ascii="宋体" w:hAnsi="宋体" w:eastAsia="宋体" w:cs="宋体"/>
          <w:color w:val="auto"/>
          <w:spacing w:val="0"/>
          <w:position w:val="0"/>
          <w:sz w:val="21"/>
          <w:szCs w:val="21"/>
          <w:highlight w:val="none"/>
          <w:lang w:bidi="ar"/>
        </w:rPr>
        <w:t>其中建筑安装工程费为</w:t>
      </w:r>
      <w:r>
        <w:rPr>
          <w:rFonts w:hint="eastAsia" w:ascii="宋体" w:hAnsi="宋体" w:eastAsia="宋体" w:cs="宋体"/>
          <w:b/>
          <w:bCs/>
          <w:color w:val="auto"/>
          <w:spacing w:val="0"/>
          <w:position w:val="0"/>
          <w:sz w:val="21"/>
          <w:szCs w:val="21"/>
          <w:highlight w:val="none"/>
          <w:u w:val="single"/>
          <w:lang w:val="en-US" w:eastAsia="zh-CN" w:bidi="ar"/>
        </w:rPr>
        <w:t>18146.41</w:t>
      </w:r>
      <w:r>
        <w:rPr>
          <w:rFonts w:hint="eastAsia" w:ascii="宋体" w:hAnsi="宋体" w:eastAsia="宋体" w:cs="宋体"/>
          <w:b/>
          <w:bCs/>
          <w:color w:val="auto"/>
          <w:spacing w:val="0"/>
          <w:position w:val="0"/>
          <w:sz w:val="21"/>
          <w:szCs w:val="21"/>
          <w:highlight w:val="none"/>
          <w:u w:val="none"/>
          <w:lang w:val="en-US" w:eastAsia="zh-CN" w:bidi="ar"/>
        </w:rPr>
        <w:t>万</w:t>
      </w:r>
      <w:r>
        <w:rPr>
          <w:rFonts w:hint="eastAsia" w:ascii="宋体" w:hAnsi="宋体" w:eastAsia="宋体" w:cs="宋体"/>
          <w:color w:val="auto"/>
          <w:spacing w:val="0"/>
          <w:position w:val="0"/>
          <w:sz w:val="21"/>
          <w:szCs w:val="21"/>
          <w:highlight w:val="none"/>
          <w:u w:val="none"/>
          <w:lang w:val="en-US" w:eastAsia="zh-CN"/>
        </w:rPr>
        <w:t>元</w:t>
      </w:r>
      <w:r>
        <w:rPr>
          <w:rFonts w:hint="eastAsia" w:ascii="宋体" w:hAnsi="宋体" w:eastAsia="宋体" w:cs="宋体"/>
          <w:color w:val="auto"/>
          <w:spacing w:val="0"/>
          <w:position w:val="0"/>
          <w:sz w:val="21"/>
          <w:szCs w:val="21"/>
          <w:highlight w:val="none"/>
          <w:lang w:bidi="ar"/>
        </w:rPr>
        <w:t>，</w:t>
      </w:r>
      <w:r>
        <w:rPr>
          <w:rFonts w:hint="eastAsia" w:ascii="宋体" w:hAnsi="宋体" w:eastAsia="宋体" w:cs="宋体"/>
          <w:color w:val="auto"/>
          <w:spacing w:val="0"/>
          <w:kern w:val="0"/>
          <w:position w:val="0"/>
          <w:sz w:val="21"/>
          <w:szCs w:val="21"/>
          <w:highlight w:val="none"/>
        </w:rPr>
        <w:t>本次招标工程审定预算造价：</w:t>
      </w:r>
      <w:r>
        <w:rPr>
          <w:rFonts w:hint="eastAsia" w:ascii="宋体" w:hAnsi="宋体" w:eastAsia="宋体" w:cs="宋体"/>
          <w:b/>
          <w:bCs/>
          <w:color w:val="auto"/>
          <w:spacing w:val="0"/>
          <w:kern w:val="0"/>
          <w:position w:val="0"/>
          <w:sz w:val="21"/>
          <w:szCs w:val="21"/>
          <w:highlight w:val="none"/>
          <w:u w:val="single"/>
          <w:lang w:val="en-US" w:eastAsia="zh-CN"/>
        </w:rPr>
        <w:t>175760508.00</w:t>
      </w:r>
      <w:r>
        <w:rPr>
          <w:rFonts w:hint="eastAsia" w:ascii="宋体" w:hAnsi="宋体" w:eastAsia="宋体" w:cs="宋体"/>
          <w:color w:val="auto"/>
          <w:spacing w:val="0"/>
          <w:kern w:val="0"/>
          <w:position w:val="0"/>
          <w:sz w:val="21"/>
          <w:szCs w:val="21"/>
          <w:highlight w:val="none"/>
        </w:rPr>
        <w:t>元</w:t>
      </w:r>
      <w:r>
        <w:rPr>
          <w:rFonts w:hint="eastAsia" w:ascii="宋体" w:hAnsi="宋体" w:eastAsia="宋体" w:cs="宋体"/>
          <w:b w:val="0"/>
          <w:bCs w:val="0"/>
          <w:color w:val="auto"/>
          <w:spacing w:val="0"/>
          <w:kern w:val="0"/>
          <w:position w:val="0"/>
          <w:sz w:val="21"/>
          <w:szCs w:val="21"/>
          <w:highlight w:val="none"/>
        </w:rPr>
        <w:t>（其中：暂估价</w:t>
      </w:r>
      <w:r>
        <w:rPr>
          <w:rFonts w:hint="eastAsia" w:ascii="宋体" w:hAnsi="宋体" w:eastAsia="宋体" w:cs="宋体"/>
          <w:b w:val="0"/>
          <w:bCs w:val="0"/>
          <w:color w:val="auto"/>
          <w:spacing w:val="0"/>
          <w:kern w:val="0"/>
          <w:position w:val="0"/>
          <w:sz w:val="21"/>
          <w:szCs w:val="21"/>
          <w:highlight w:val="none"/>
          <w:u w:val="single"/>
          <w:lang w:val="en-US" w:eastAsia="zh-CN"/>
        </w:rPr>
        <w:t xml:space="preserve"> </w:t>
      </w:r>
      <w:r>
        <w:rPr>
          <w:rFonts w:hint="eastAsia" w:ascii="宋体" w:hAnsi="宋体" w:eastAsia="宋体" w:cs="宋体"/>
          <w:b/>
          <w:bCs/>
          <w:color w:val="auto"/>
          <w:spacing w:val="0"/>
          <w:kern w:val="0"/>
          <w:position w:val="0"/>
          <w:sz w:val="21"/>
          <w:szCs w:val="21"/>
          <w:highlight w:val="none"/>
          <w:u w:val="single"/>
          <w:lang w:val="en-US" w:eastAsia="zh-CN"/>
        </w:rPr>
        <w:t xml:space="preserve">200000.00 </w:t>
      </w:r>
      <w:r>
        <w:rPr>
          <w:rFonts w:hint="eastAsia" w:ascii="宋体" w:hAnsi="宋体" w:eastAsia="宋体" w:cs="宋体"/>
          <w:b w:val="0"/>
          <w:bCs w:val="0"/>
          <w:color w:val="auto"/>
          <w:spacing w:val="0"/>
          <w:kern w:val="0"/>
          <w:position w:val="0"/>
          <w:sz w:val="21"/>
          <w:szCs w:val="21"/>
          <w:highlight w:val="none"/>
        </w:rPr>
        <w:t>元，</w:t>
      </w:r>
      <w:r>
        <w:rPr>
          <w:rFonts w:hint="eastAsia" w:ascii="宋体" w:hAnsi="宋体" w:eastAsia="宋体" w:cs="宋体"/>
          <w:b w:val="0"/>
          <w:bCs w:val="0"/>
          <w:color w:val="auto"/>
          <w:spacing w:val="0"/>
          <w:position w:val="0"/>
          <w:sz w:val="21"/>
          <w:szCs w:val="21"/>
          <w:highlight w:val="none"/>
        </w:rPr>
        <w:t>暂列金额</w:t>
      </w:r>
      <w:r>
        <w:rPr>
          <w:rFonts w:hint="eastAsia" w:ascii="宋体" w:hAnsi="宋体" w:eastAsia="宋体" w:cs="宋体"/>
          <w:b w:val="0"/>
          <w:bCs w:val="0"/>
          <w:color w:val="auto"/>
          <w:spacing w:val="0"/>
          <w:position w:val="0"/>
          <w:sz w:val="21"/>
          <w:szCs w:val="21"/>
          <w:highlight w:val="none"/>
          <w:u w:val="single"/>
          <w:lang w:val="en-US" w:eastAsia="zh-CN"/>
        </w:rPr>
        <w:t xml:space="preserve"> </w:t>
      </w:r>
      <w:r>
        <w:rPr>
          <w:rFonts w:hint="eastAsia" w:ascii="宋体" w:hAnsi="宋体" w:eastAsia="宋体" w:cs="宋体"/>
          <w:b/>
          <w:bCs/>
          <w:color w:val="auto"/>
          <w:spacing w:val="0"/>
          <w:position w:val="0"/>
          <w:sz w:val="21"/>
          <w:szCs w:val="21"/>
          <w:highlight w:val="none"/>
          <w:u w:val="single"/>
          <w:lang w:val="en-US" w:eastAsia="zh-CN"/>
        </w:rPr>
        <w:t>8360024.00</w:t>
      </w:r>
      <w:r>
        <w:rPr>
          <w:rFonts w:hint="eastAsia" w:ascii="宋体" w:hAnsi="宋体" w:eastAsia="宋体" w:cs="宋体"/>
          <w:b w:val="0"/>
          <w:bCs w:val="0"/>
          <w:color w:val="auto"/>
          <w:spacing w:val="0"/>
          <w:position w:val="0"/>
          <w:sz w:val="21"/>
          <w:szCs w:val="21"/>
          <w:highlight w:val="none"/>
          <w:u w:val="single"/>
          <w:lang w:val="en-US" w:eastAsia="zh-CN"/>
        </w:rPr>
        <w:t xml:space="preserve"> </w:t>
      </w:r>
      <w:r>
        <w:rPr>
          <w:rFonts w:hint="eastAsia" w:ascii="宋体" w:hAnsi="宋体" w:eastAsia="宋体" w:cs="宋体"/>
          <w:b w:val="0"/>
          <w:bCs w:val="0"/>
          <w:color w:val="auto"/>
          <w:spacing w:val="0"/>
          <w:position w:val="0"/>
          <w:sz w:val="21"/>
          <w:szCs w:val="21"/>
          <w:highlight w:val="none"/>
        </w:rPr>
        <w:t>元</w:t>
      </w:r>
      <w:r>
        <w:rPr>
          <w:rFonts w:hint="eastAsia" w:ascii="宋体" w:hAnsi="宋体" w:eastAsia="宋体" w:cs="宋体"/>
          <w:b w:val="0"/>
          <w:bCs w:val="0"/>
          <w:color w:val="auto"/>
          <w:spacing w:val="0"/>
          <w:position w:val="0"/>
          <w:sz w:val="21"/>
          <w:szCs w:val="21"/>
          <w:highlight w:val="none"/>
          <w:lang w:eastAsia="zh-CN"/>
        </w:rPr>
        <w:t>，暂估价、暂列金额均不下浮</w:t>
      </w:r>
      <w:r>
        <w:rPr>
          <w:rFonts w:hint="eastAsia" w:ascii="宋体" w:hAnsi="宋体" w:eastAsia="宋体" w:cs="宋体"/>
          <w:b w:val="0"/>
          <w:bCs w:val="0"/>
          <w:color w:val="auto"/>
          <w:spacing w:val="0"/>
          <w:kern w:val="0"/>
          <w:position w:val="0"/>
          <w:sz w:val="21"/>
          <w:szCs w:val="21"/>
          <w:highlight w:val="none"/>
        </w:rPr>
        <w:t>）</w:t>
      </w:r>
      <w:r>
        <w:rPr>
          <w:rFonts w:hint="eastAsia" w:ascii="宋体" w:hAnsi="宋体" w:eastAsia="宋体" w:cs="宋体"/>
          <w:b w:val="0"/>
          <w:bCs w:val="0"/>
          <w:color w:val="auto"/>
          <w:spacing w:val="0"/>
          <w:kern w:val="0"/>
          <w:position w:val="0"/>
          <w:sz w:val="21"/>
          <w:szCs w:val="21"/>
          <w:highlight w:val="none"/>
          <w:lang w:eastAsia="zh-CN"/>
        </w:rPr>
        <w:t>。</w:t>
      </w:r>
    </w:p>
    <w:p>
      <w:pPr>
        <w:keepNext w:val="0"/>
        <w:keepLines w:val="0"/>
        <w:pageBreakBefore w:val="0"/>
        <w:widowControl/>
        <w:wordWrap/>
        <w:overflowPunct/>
        <w:topLinePunct w:val="0"/>
        <w:bidi w:val="0"/>
        <w:spacing w:line="500" w:lineRule="exact"/>
        <w:ind w:firstLine="420" w:firstLineChars="200"/>
        <w:jc w:val="left"/>
        <w:rPr>
          <w:rFonts w:hint="eastAsia" w:ascii="宋体" w:hAnsi="宋体" w:eastAsia="宋体" w:cs="宋体"/>
          <w:color w:val="auto"/>
          <w:spacing w:val="0"/>
          <w:kern w:val="0"/>
          <w:position w:val="0"/>
          <w:sz w:val="21"/>
          <w:szCs w:val="21"/>
          <w:highlight w:val="none"/>
          <w:lang w:eastAsia="zh-CN"/>
        </w:rPr>
      </w:pPr>
      <w:r>
        <w:rPr>
          <w:rFonts w:hint="eastAsia" w:ascii="宋体" w:hAnsi="宋体" w:eastAsia="宋体" w:cs="宋体"/>
          <w:color w:val="auto"/>
          <w:spacing w:val="0"/>
          <w:kern w:val="0"/>
          <w:position w:val="0"/>
          <w:sz w:val="21"/>
          <w:szCs w:val="21"/>
          <w:highlight w:val="none"/>
        </w:rPr>
        <w:t>2.2招标范围：</w:t>
      </w:r>
      <w:r>
        <w:rPr>
          <w:rFonts w:hint="eastAsia" w:ascii="宋体" w:hAnsi="宋体" w:eastAsia="宋体" w:cs="宋体"/>
          <w:color w:val="auto"/>
          <w:spacing w:val="0"/>
          <w:kern w:val="0"/>
          <w:position w:val="0"/>
          <w:sz w:val="21"/>
          <w:szCs w:val="21"/>
          <w:highlight w:val="none"/>
          <w:lang w:val="en-US" w:eastAsia="zh-CN"/>
        </w:rPr>
        <w:t>《嵊州市三溪水库配套工程（上竹线楼家-三溪段道路改建工程）》施工图范围内的路基工程、路面工程、交通安全设施工程、桥梁工程及附属设施工程等建设内容</w:t>
      </w:r>
      <w:r>
        <w:rPr>
          <w:rFonts w:hint="eastAsia" w:ascii="宋体" w:hAnsi="宋体" w:eastAsia="宋体" w:cs="宋体"/>
          <w:color w:val="auto"/>
          <w:spacing w:val="0"/>
          <w:kern w:val="0"/>
          <w:position w:val="0"/>
          <w:sz w:val="21"/>
          <w:szCs w:val="21"/>
          <w:highlight w:val="none"/>
        </w:rPr>
        <w:t>（具体招标范围以工程量清单为准）。</w:t>
      </w:r>
    </w:p>
    <w:p>
      <w:pPr>
        <w:keepNext w:val="0"/>
        <w:keepLines w:val="0"/>
        <w:pageBreakBefore w:val="0"/>
        <w:widowControl/>
        <w:kinsoku/>
        <w:wordWrap/>
        <w:overflowPunct/>
        <w:topLinePunct w:val="0"/>
        <w:autoSpaceDE/>
        <w:autoSpaceDN/>
        <w:bidi w:val="0"/>
        <w:adjustRightInd/>
        <w:snapToGrid/>
        <w:spacing w:line="500" w:lineRule="exact"/>
        <w:ind w:right="0" w:rightChars="0" w:firstLine="420" w:firstLineChars="200"/>
        <w:textAlignment w:val="auto"/>
        <w:outlineLvl w:val="9"/>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2.3建设地点：项目起点位于石璜镇楼家村，上竹线与浦溪线交叉口处，起点桩号K0+000，终点位于石璜镇三溪村，终点桩号K6+895，起终点均接既有上竹线。</w:t>
      </w:r>
    </w:p>
    <w:p>
      <w:pPr>
        <w:keepNext w:val="0"/>
        <w:keepLines w:val="0"/>
        <w:pageBreakBefore w:val="0"/>
        <w:widowControl/>
        <w:kinsoku/>
        <w:wordWrap/>
        <w:overflowPunct/>
        <w:topLinePunct w:val="0"/>
        <w:autoSpaceDE/>
        <w:autoSpaceDN/>
        <w:bidi w:val="0"/>
        <w:adjustRightInd/>
        <w:snapToGrid/>
        <w:spacing w:line="500" w:lineRule="exact"/>
        <w:ind w:right="0" w:rightChars="0" w:firstLine="420" w:firstLineChars="200"/>
        <w:textAlignment w:val="auto"/>
        <w:rPr>
          <w:rFonts w:hint="eastAsia" w:ascii="宋体" w:hAnsi="宋体" w:eastAsia="宋体" w:cs="宋体"/>
          <w:color w:val="auto"/>
          <w:spacing w:val="0"/>
          <w:kern w:val="0"/>
          <w:position w:val="0"/>
          <w:sz w:val="21"/>
          <w:szCs w:val="21"/>
          <w:highlight w:val="none"/>
          <w:lang w:val="en-US" w:eastAsia="zh-CN"/>
        </w:rPr>
      </w:pPr>
      <w:r>
        <w:rPr>
          <w:rFonts w:hint="eastAsia" w:ascii="宋体" w:hAnsi="宋体" w:eastAsia="宋体" w:cs="宋体"/>
          <w:color w:val="auto"/>
          <w:spacing w:val="0"/>
          <w:kern w:val="0"/>
          <w:position w:val="0"/>
          <w:sz w:val="21"/>
          <w:szCs w:val="21"/>
          <w:highlight w:val="none"/>
        </w:rPr>
        <w:t>2.</w:t>
      </w:r>
      <w:r>
        <w:rPr>
          <w:rFonts w:hint="eastAsia" w:ascii="宋体" w:hAnsi="宋体" w:eastAsia="宋体" w:cs="宋体"/>
          <w:color w:val="auto"/>
          <w:spacing w:val="0"/>
          <w:kern w:val="0"/>
          <w:position w:val="0"/>
          <w:sz w:val="21"/>
          <w:szCs w:val="21"/>
          <w:highlight w:val="none"/>
          <w:lang w:val="en-US" w:eastAsia="zh-CN"/>
        </w:rPr>
        <w:t>4建设内容：项目路线总长6.895千米（新建道路5.755千米，利用浦溪线1.14千米）,参照双向两车道三级公路技术标准设计，设计速度30千米/小时，路基宽度8米，路面宽度7米，路面形式为沥青混凝土路面，新建预应力砼T梁桥6 座，其中大桥656米/4座，中桥196米/2座，桥梁宽度8.5米，桥面净宽7.5米，桥梁跨径30米。建设内容主要包括路基工程、路面工程、交通安全设施工程、桥梁工程及附属设施工程等。</w:t>
      </w:r>
    </w:p>
    <w:p>
      <w:pPr>
        <w:keepNext w:val="0"/>
        <w:keepLines w:val="0"/>
        <w:pageBreakBefore w:val="0"/>
        <w:widowControl/>
        <w:kinsoku/>
        <w:wordWrap/>
        <w:overflowPunct/>
        <w:topLinePunct w:val="0"/>
        <w:autoSpaceDE/>
        <w:autoSpaceDN/>
        <w:bidi w:val="0"/>
        <w:adjustRightInd/>
        <w:snapToGrid/>
        <w:spacing w:line="500" w:lineRule="exact"/>
        <w:ind w:right="0" w:rightChars="0" w:firstLine="420" w:firstLineChars="200"/>
        <w:textAlignment w:val="auto"/>
        <w:outlineLvl w:val="9"/>
        <w:rPr>
          <w:rFonts w:hint="eastAsia" w:ascii="宋体" w:hAnsi="宋体" w:eastAsia="宋体" w:cs="宋体"/>
          <w:color w:val="auto"/>
          <w:spacing w:val="0"/>
          <w:position w:val="0"/>
          <w:sz w:val="21"/>
          <w:szCs w:val="21"/>
          <w:highlight w:val="none"/>
          <w:lang w:bidi="ar"/>
        </w:rPr>
      </w:pPr>
      <w:r>
        <w:rPr>
          <w:rFonts w:hint="eastAsia" w:ascii="宋体" w:hAnsi="宋体" w:eastAsia="宋体" w:cs="宋体"/>
          <w:color w:val="auto"/>
          <w:spacing w:val="0"/>
          <w:kern w:val="0"/>
          <w:position w:val="0"/>
          <w:sz w:val="21"/>
          <w:szCs w:val="21"/>
          <w:highlight w:val="none"/>
          <w:lang w:val="en-US" w:eastAsia="zh-CN"/>
        </w:rPr>
        <w:t>2.5</w:t>
      </w:r>
      <w:r>
        <w:rPr>
          <w:rFonts w:hint="eastAsia" w:ascii="宋体" w:hAnsi="宋体" w:eastAsia="宋体" w:cs="宋体"/>
          <w:color w:val="auto"/>
          <w:spacing w:val="0"/>
          <w:kern w:val="0"/>
          <w:position w:val="0"/>
          <w:sz w:val="21"/>
          <w:szCs w:val="21"/>
          <w:highlight w:val="none"/>
        </w:rPr>
        <w:t>工期：</w:t>
      </w:r>
      <w:r>
        <w:rPr>
          <w:rFonts w:hint="eastAsia" w:ascii="宋体" w:hAnsi="宋体" w:eastAsia="宋体" w:cs="宋体"/>
          <w:color w:val="auto"/>
          <w:spacing w:val="0"/>
          <w:kern w:val="0"/>
          <w:position w:val="0"/>
          <w:sz w:val="21"/>
          <w:szCs w:val="21"/>
          <w:highlight w:val="none"/>
          <w:u w:val="single"/>
          <w:lang w:val="en-US" w:eastAsia="zh-CN"/>
        </w:rPr>
        <w:t xml:space="preserve"> 730 </w:t>
      </w:r>
      <w:r>
        <w:rPr>
          <w:rFonts w:hint="eastAsia" w:ascii="宋体" w:hAnsi="宋体" w:eastAsia="宋体" w:cs="宋体"/>
          <w:color w:val="auto"/>
          <w:spacing w:val="0"/>
          <w:kern w:val="0"/>
          <w:position w:val="0"/>
          <w:sz w:val="21"/>
          <w:szCs w:val="21"/>
          <w:highlight w:val="none"/>
        </w:rPr>
        <w:t>日历天</w:t>
      </w:r>
      <w:r>
        <w:rPr>
          <w:rFonts w:hint="eastAsia" w:ascii="宋体" w:hAnsi="宋体" w:eastAsia="宋体" w:cs="宋体"/>
          <w:color w:val="auto"/>
          <w:spacing w:val="0"/>
          <w:position w:val="0"/>
          <w:sz w:val="21"/>
          <w:szCs w:val="21"/>
          <w:highlight w:val="none"/>
          <w:lang w:bidi="ar"/>
        </w:rPr>
        <w:t>。</w:t>
      </w:r>
    </w:p>
    <w:p>
      <w:pPr>
        <w:keepNext w:val="0"/>
        <w:keepLines w:val="0"/>
        <w:pageBreakBefore w:val="0"/>
        <w:widowControl/>
        <w:kinsoku/>
        <w:wordWrap/>
        <w:overflowPunct/>
        <w:topLinePunct w:val="0"/>
        <w:autoSpaceDE/>
        <w:autoSpaceDN/>
        <w:bidi w:val="0"/>
        <w:adjustRightInd/>
        <w:snapToGrid/>
        <w:spacing w:line="500" w:lineRule="exact"/>
        <w:ind w:right="0" w:rightChars="0" w:firstLine="420" w:firstLineChars="200"/>
        <w:textAlignment w:val="auto"/>
        <w:rPr>
          <w:rFonts w:hint="eastAsia" w:ascii="宋体" w:hAnsi="宋体" w:eastAsia="宋体" w:cs="宋体"/>
          <w:color w:val="auto"/>
          <w:spacing w:val="0"/>
          <w:position w:val="0"/>
          <w:sz w:val="21"/>
          <w:szCs w:val="21"/>
          <w:highlight w:val="none"/>
          <w:lang w:bidi="ar"/>
        </w:rPr>
      </w:pPr>
      <w:r>
        <w:rPr>
          <w:rFonts w:hint="eastAsia" w:ascii="宋体" w:hAnsi="宋体" w:eastAsia="宋体" w:cs="宋体"/>
          <w:color w:val="auto"/>
          <w:spacing w:val="0"/>
          <w:position w:val="0"/>
          <w:sz w:val="21"/>
          <w:szCs w:val="21"/>
          <w:highlight w:val="none"/>
          <w:lang w:bidi="ar"/>
        </w:rPr>
        <w:t>2.</w:t>
      </w:r>
      <w:r>
        <w:rPr>
          <w:rFonts w:hint="eastAsia" w:ascii="宋体" w:hAnsi="宋体" w:eastAsia="宋体" w:cs="宋体"/>
          <w:color w:val="auto"/>
          <w:spacing w:val="0"/>
          <w:position w:val="0"/>
          <w:sz w:val="21"/>
          <w:szCs w:val="21"/>
          <w:highlight w:val="none"/>
          <w:lang w:val="en-US" w:eastAsia="zh-CN" w:bidi="ar"/>
        </w:rPr>
        <w:t>6</w:t>
      </w:r>
      <w:r>
        <w:rPr>
          <w:rFonts w:hint="eastAsia" w:ascii="宋体" w:hAnsi="宋体" w:eastAsia="宋体" w:cs="宋体"/>
          <w:color w:val="auto"/>
          <w:spacing w:val="0"/>
          <w:position w:val="0"/>
          <w:sz w:val="21"/>
          <w:szCs w:val="21"/>
          <w:highlight w:val="none"/>
          <w:lang w:bidi="ar"/>
        </w:rPr>
        <w:t>质量：</w:t>
      </w:r>
      <w:r>
        <w:rPr>
          <w:rFonts w:hint="eastAsia" w:ascii="宋体" w:hAnsi="宋体" w:eastAsia="宋体" w:cs="宋体"/>
          <w:color w:val="auto"/>
          <w:spacing w:val="0"/>
          <w:position w:val="0"/>
          <w:sz w:val="21"/>
          <w:szCs w:val="21"/>
          <w:highlight w:val="none"/>
          <w:lang w:val="en-US" w:eastAsia="zh-CN" w:bidi="ar"/>
        </w:rPr>
        <w:t>工程交工验收的质量评定：</w:t>
      </w:r>
      <w:r>
        <w:rPr>
          <w:rFonts w:hint="eastAsia" w:ascii="宋体" w:hAnsi="宋体" w:eastAsia="宋体" w:cs="宋体"/>
          <w:color w:val="auto"/>
          <w:spacing w:val="0"/>
          <w:position w:val="0"/>
          <w:sz w:val="21"/>
          <w:szCs w:val="21"/>
          <w:highlight w:val="none"/>
          <w:u w:val="single"/>
          <w:lang w:val="en-US" w:eastAsia="zh-CN" w:bidi="ar"/>
        </w:rPr>
        <w:t>合格</w:t>
      </w:r>
      <w:r>
        <w:rPr>
          <w:rFonts w:hint="eastAsia" w:ascii="宋体" w:hAnsi="宋体" w:eastAsia="宋体" w:cs="宋体"/>
          <w:color w:val="auto"/>
          <w:spacing w:val="0"/>
          <w:position w:val="0"/>
          <w:sz w:val="21"/>
          <w:szCs w:val="21"/>
          <w:highlight w:val="none"/>
          <w:lang w:val="en-US" w:eastAsia="zh-CN" w:bidi="ar"/>
        </w:rPr>
        <w:t>；工程竣工验收的质量评定：</w:t>
      </w:r>
      <w:r>
        <w:rPr>
          <w:rFonts w:hint="eastAsia" w:ascii="宋体" w:hAnsi="宋体" w:eastAsia="宋体" w:cs="宋体"/>
          <w:color w:val="auto"/>
          <w:spacing w:val="0"/>
          <w:position w:val="0"/>
          <w:sz w:val="21"/>
          <w:szCs w:val="21"/>
          <w:highlight w:val="none"/>
          <w:u w:val="single"/>
          <w:lang w:val="en-US" w:eastAsia="zh-CN" w:bidi="ar"/>
        </w:rPr>
        <w:t>90分及以上</w:t>
      </w:r>
      <w:r>
        <w:rPr>
          <w:rFonts w:hint="eastAsia" w:ascii="宋体" w:hAnsi="宋体" w:eastAsia="宋体" w:cs="宋体"/>
          <w:color w:val="auto"/>
          <w:spacing w:val="0"/>
          <w:position w:val="0"/>
          <w:sz w:val="21"/>
          <w:szCs w:val="21"/>
          <w:highlight w:val="none"/>
          <w:lang w:val="en-US" w:eastAsia="zh-CN" w:bidi="ar"/>
        </w:rPr>
        <w:t>。</w:t>
      </w:r>
    </w:p>
    <w:p>
      <w:pPr>
        <w:keepNext w:val="0"/>
        <w:keepLines w:val="0"/>
        <w:pageBreakBefore w:val="0"/>
        <w:widowControl/>
        <w:kinsoku/>
        <w:wordWrap/>
        <w:overflowPunct/>
        <w:topLinePunct w:val="0"/>
        <w:autoSpaceDE/>
        <w:autoSpaceDN/>
        <w:bidi w:val="0"/>
        <w:adjustRightInd/>
        <w:snapToGrid/>
        <w:spacing w:line="500" w:lineRule="exact"/>
        <w:ind w:right="0" w:rightChars="0" w:firstLine="420" w:firstLineChars="200"/>
        <w:textAlignment w:val="auto"/>
        <w:outlineLvl w:val="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lang w:val="en-US" w:eastAsia="zh-CN" w:bidi="ar"/>
        </w:rPr>
        <w:t>2.7</w:t>
      </w:r>
      <w:r>
        <w:rPr>
          <w:rFonts w:hint="eastAsia" w:ascii="宋体" w:hAnsi="宋体" w:eastAsia="宋体" w:cs="宋体"/>
          <w:color w:val="auto"/>
          <w:spacing w:val="0"/>
          <w:position w:val="0"/>
          <w:sz w:val="21"/>
          <w:szCs w:val="21"/>
          <w:highlight w:val="none"/>
        </w:rPr>
        <w:t>本工程是否是市级及以上重点工程：</w:t>
      </w:r>
      <w:r>
        <w:rPr>
          <w:rFonts w:hint="eastAsia" w:ascii="宋体" w:hAnsi="宋体" w:eastAsia="宋体" w:cs="宋体"/>
          <w:color w:val="auto"/>
          <w:spacing w:val="0"/>
          <w:position w:val="0"/>
          <w:sz w:val="21"/>
          <w:szCs w:val="21"/>
          <w:highlight w:val="none"/>
          <w:u w:val="single"/>
          <w:lang w:val="en-US" w:eastAsia="zh-CN"/>
        </w:rPr>
        <w:t xml:space="preserve"> 否 </w:t>
      </w:r>
      <w:r>
        <w:rPr>
          <w:rFonts w:hint="eastAsia" w:ascii="宋体" w:hAnsi="宋体" w:eastAsia="宋体" w:cs="宋体"/>
          <w:color w:val="auto"/>
          <w:spacing w:val="0"/>
          <w:position w:val="0"/>
          <w:sz w:val="21"/>
          <w:szCs w:val="21"/>
          <w:highlight w:val="none"/>
        </w:rPr>
        <w:t>。</w:t>
      </w:r>
    </w:p>
    <w:p>
      <w:pPr>
        <w:keepNext w:val="0"/>
        <w:keepLines w:val="0"/>
        <w:pageBreakBefore w:val="0"/>
        <w:widowControl/>
        <w:wordWrap/>
        <w:overflowPunct/>
        <w:topLinePunct w:val="0"/>
        <w:bidi w:val="0"/>
        <w:spacing w:before="101" w:line="500" w:lineRule="exact"/>
        <w:ind w:left="74"/>
        <w:outlineLvl w:val="9"/>
        <w:rPr>
          <w:rFonts w:hint="eastAsia" w:ascii="宋体" w:hAnsi="宋体" w:eastAsia="宋体" w:cs="宋体"/>
          <w:b/>
          <w:bCs/>
          <w:color w:val="auto"/>
          <w:spacing w:val="0"/>
          <w:position w:val="0"/>
          <w:sz w:val="24"/>
          <w:szCs w:val="24"/>
          <w:highlight w:val="none"/>
        </w:rPr>
      </w:pPr>
      <w:bookmarkStart w:id="24" w:name="_Toc15773"/>
      <w:bookmarkStart w:id="25" w:name="_Toc8776"/>
      <w:r>
        <w:rPr>
          <w:rFonts w:hint="eastAsia" w:ascii="宋体" w:hAnsi="宋体" w:eastAsia="宋体" w:cs="宋体"/>
          <w:b/>
          <w:bCs/>
          <w:color w:val="auto"/>
          <w:spacing w:val="0"/>
          <w:position w:val="0"/>
          <w:sz w:val="24"/>
          <w:szCs w:val="24"/>
          <w:highlight w:val="none"/>
        </w:rPr>
        <w:t>3．投标人资格要求</w:t>
      </w:r>
      <w:bookmarkEnd w:id="24"/>
      <w:bookmarkEnd w:id="25"/>
    </w:p>
    <w:p>
      <w:pPr>
        <w:keepNext w:val="0"/>
        <w:keepLines w:val="0"/>
        <w:pageBreakBefore w:val="0"/>
        <w:widowControl/>
        <w:wordWrap/>
        <w:overflowPunct/>
        <w:topLinePunct w:val="0"/>
        <w:bidi w:val="0"/>
        <w:spacing w:before="65" w:line="500" w:lineRule="exact"/>
        <w:ind w:left="48" w:right="78" w:firstLine="417"/>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3.1 本次招标要求投标人须具备</w:t>
      </w:r>
      <w:r>
        <w:rPr>
          <w:rFonts w:hint="eastAsia" w:ascii="宋体" w:hAnsi="宋体" w:eastAsia="宋体" w:cs="宋体"/>
          <w:b w:val="0"/>
          <w:bCs w:val="0"/>
          <w:color w:val="auto"/>
          <w:spacing w:val="0"/>
          <w:position w:val="0"/>
          <w:sz w:val="21"/>
          <w:szCs w:val="21"/>
          <w:highlight w:val="none"/>
          <w:u w:val="single"/>
        </w:rPr>
        <w:t>公路工程施工总承包</w:t>
      </w:r>
      <w:r>
        <w:rPr>
          <w:rFonts w:hint="eastAsia" w:ascii="宋体" w:hAnsi="宋体" w:eastAsia="宋体" w:cs="宋体"/>
          <w:b w:val="0"/>
          <w:bCs w:val="0"/>
          <w:color w:val="auto"/>
          <w:spacing w:val="0"/>
          <w:position w:val="0"/>
          <w:sz w:val="21"/>
          <w:szCs w:val="21"/>
          <w:highlight w:val="none"/>
          <w:u w:val="single"/>
          <w:lang w:val="en-US" w:eastAsia="zh-CN"/>
        </w:rPr>
        <w:t>三级</w:t>
      </w:r>
      <w:r>
        <w:rPr>
          <w:rFonts w:hint="eastAsia" w:ascii="宋体" w:hAnsi="宋体" w:eastAsia="宋体" w:cs="宋体"/>
          <w:b w:val="0"/>
          <w:bCs w:val="0"/>
          <w:color w:val="auto"/>
          <w:spacing w:val="0"/>
          <w:position w:val="0"/>
          <w:szCs w:val="21"/>
          <w:highlight w:val="none"/>
          <w:u w:val="single"/>
          <w:lang w:val="en-US" w:eastAsia="zh-CN"/>
        </w:rPr>
        <w:t>及以上</w:t>
      </w:r>
      <w:r>
        <w:rPr>
          <w:rFonts w:hint="eastAsia" w:ascii="宋体" w:hAnsi="宋体" w:eastAsia="宋体" w:cs="宋体"/>
          <w:b w:val="0"/>
          <w:bCs w:val="0"/>
          <w:color w:val="auto"/>
          <w:spacing w:val="0"/>
          <w:position w:val="0"/>
          <w:szCs w:val="21"/>
          <w:highlight w:val="none"/>
          <w:u w:val="single"/>
          <w:lang w:eastAsia="zh-CN"/>
        </w:rPr>
        <w:t>资质</w:t>
      </w:r>
      <w:r>
        <w:rPr>
          <w:rFonts w:hint="eastAsia" w:ascii="宋体" w:hAnsi="宋体" w:eastAsia="宋体" w:cs="宋体"/>
          <w:b w:val="0"/>
          <w:bCs w:val="0"/>
          <w:color w:val="auto"/>
          <w:spacing w:val="0"/>
          <w:position w:val="0"/>
          <w:sz w:val="21"/>
          <w:szCs w:val="21"/>
          <w:highlight w:val="none"/>
        </w:rPr>
        <w:t>，具备有</w:t>
      </w:r>
      <w:r>
        <w:rPr>
          <w:rFonts w:hint="eastAsia" w:ascii="宋体" w:hAnsi="宋体" w:eastAsia="宋体" w:cs="宋体"/>
          <w:color w:val="auto"/>
          <w:spacing w:val="0"/>
          <w:position w:val="0"/>
          <w:sz w:val="21"/>
          <w:szCs w:val="21"/>
          <w:highlight w:val="none"/>
        </w:rPr>
        <w:t>效的安全生产许可证，并在人员</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设备、资金等方面具有相应的施工能力。</w:t>
      </w:r>
    </w:p>
    <w:p>
      <w:pPr>
        <w:keepNext w:val="0"/>
        <w:keepLines w:val="0"/>
        <w:pageBreakBefore w:val="0"/>
        <w:widowControl/>
        <w:wordWrap/>
        <w:overflowPunct/>
        <w:topLinePunct w:val="0"/>
        <w:bidi w:val="0"/>
        <w:spacing w:before="3" w:line="500" w:lineRule="exact"/>
        <w:ind w:right="63" w:firstLine="46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highlight w:val="none"/>
        </w:rPr>
        <w:t>投标人</w:t>
      </w:r>
      <w:r>
        <w:rPr>
          <w:rFonts w:hint="eastAsia" w:ascii="宋体" w:hAnsi="宋体" w:eastAsia="宋体" w:cs="宋体"/>
          <w:color w:val="auto"/>
          <w:spacing w:val="0"/>
          <w:position w:val="0"/>
          <w:sz w:val="21"/>
          <w:szCs w:val="21"/>
          <w:highlight w:val="none"/>
        </w:rPr>
        <w:t>应进入交通运输部 “全国公路建设市场信用信息管理系统(</w:t>
      </w:r>
      <w:r>
        <w:rPr>
          <w:rFonts w:hint="eastAsia" w:ascii="宋体" w:hAnsi="宋体" w:eastAsia="宋体" w:cs="宋体"/>
          <w:color w:val="auto"/>
          <w:spacing w:val="0"/>
          <w:position w:val="0"/>
          <w:sz w:val="21"/>
          <w:szCs w:val="21"/>
          <w:highlight w:val="none"/>
        </w:rPr>
        <w:fldChar w:fldCharType="begin"/>
      </w:r>
      <w:r>
        <w:rPr>
          <w:rFonts w:hint="eastAsia" w:ascii="宋体" w:hAnsi="宋体" w:eastAsia="宋体" w:cs="宋体"/>
          <w:color w:val="auto"/>
          <w:spacing w:val="0"/>
          <w:position w:val="0"/>
          <w:sz w:val="21"/>
          <w:szCs w:val="21"/>
          <w:highlight w:val="none"/>
        </w:rPr>
        <w:instrText xml:space="preserve"> HYPERLINK "http://glxy.mot.gov.cn)" </w:instrText>
      </w:r>
      <w:r>
        <w:rPr>
          <w:rFonts w:hint="eastAsia" w:ascii="宋体" w:hAnsi="宋体" w:eastAsia="宋体" w:cs="宋体"/>
          <w:color w:val="auto"/>
          <w:spacing w:val="0"/>
          <w:position w:val="0"/>
          <w:sz w:val="21"/>
          <w:szCs w:val="21"/>
          <w:highlight w:val="none"/>
        </w:rPr>
        <w:fldChar w:fldCharType="separate"/>
      </w:r>
      <w:r>
        <w:rPr>
          <w:rFonts w:hint="eastAsia" w:ascii="宋体" w:hAnsi="宋体" w:eastAsia="宋体" w:cs="宋体"/>
          <w:color w:val="auto"/>
          <w:spacing w:val="0"/>
          <w:position w:val="0"/>
          <w:sz w:val="21"/>
          <w:szCs w:val="21"/>
          <w:highlight w:val="none"/>
          <w:u w:val="single" w:color="auto"/>
        </w:rPr>
        <w:t>Http://glxy.mot.gov.cn)</w:t>
      </w:r>
      <w:r>
        <w:rPr>
          <w:rFonts w:hint="eastAsia" w:ascii="宋体" w:hAnsi="宋体" w:eastAsia="宋体" w:cs="宋体"/>
          <w:color w:val="auto"/>
          <w:spacing w:val="0"/>
          <w:position w:val="0"/>
          <w:sz w:val="21"/>
          <w:szCs w:val="21"/>
          <w:highlight w:val="none"/>
          <w:u w:val="single" w:color="auto"/>
        </w:rPr>
        <w:fldChar w:fldCharType="end"/>
      </w:r>
      <w:r>
        <w:rPr>
          <w:rFonts w:hint="eastAsia" w:ascii="宋体" w:hAnsi="宋体" w:eastAsia="宋体" w:cs="宋体"/>
          <w:color w:val="auto"/>
          <w:spacing w:val="0"/>
          <w:position w:val="0"/>
          <w:sz w:val="21"/>
          <w:szCs w:val="21"/>
          <w:highlight w:val="none"/>
        </w:rPr>
        <w:t>”中的公路工程施工资质企业名录，且投标人名称和资质与该名录中的相应企业名称和资质完全一致。</w:t>
      </w:r>
    </w:p>
    <w:p>
      <w:pPr>
        <w:keepNext w:val="0"/>
        <w:keepLines w:val="0"/>
        <w:pageBreakBefore w:val="0"/>
        <w:widowControl/>
        <w:wordWrap/>
        <w:overflowPunct/>
        <w:topLinePunct w:val="0"/>
        <w:bidi w:val="0"/>
        <w:spacing w:before="3" w:line="500" w:lineRule="exact"/>
        <w:ind w:right="63" w:firstLine="46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3.2 本次招标不接受联合体投标。</w:t>
      </w:r>
    </w:p>
    <w:p>
      <w:pPr>
        <w:keepNext w:val="0"/>
        <w:keepLines w:val="0"/>
        <w:pageBreakBefore w:val="0"/>
        <w:widowControl/>
        <w:wordWrap/>
        <w:overflowPunct/>
        <w:topLinePunct w:val="0"/>
        <w:bidi w:val="0"/>
        <w:spacing w:before="3" w:line="500" w:lineRule="exact"/>
        <w:ind w:right="63" w:firstLine="46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w:t>
      </w:r>
      <w:r>
        <w:rPr>
          <w:rFonts w:hint="eastAsia" w:ascii="宋体" w:hAnsi="宋体" w:eastAsia="宋体" w:cs="宋体"/>
          <w:color w:val="auto"/>
          <w:spacing w:val="0"/>
          <w:position w:val="0"/>
          <w:sz w:val="21"/>
          <w:szCs w:val="21"/>
          <w:highlight w:val="none"/>
          <w:lang w:val="en-US" w:eastAsia="zh-CN"/>
        </w:rPr>
        <w:t>3</w:t>
      </w:r>
      <w:r>
        <w:rPr>
          <w:rFonts w:hint="eastAsia" w:ascii="宋体" w:hAnsi="宋体" w:eastAsia="宋体" w:cs="宋体"/>
          <w:color w:val="auto"/>
          <w:spacing w:val="0"/>
          <w:position w:val="0"/>
          <w:sz w:val="21"/>
          <w:szCs w:val="21"/>
          <w:highlight w:val="none"/>
        </w:rPr>
        <w:t xml:space="preserve"> 与招标人存在利害关系可能影响招标公正性的单位，不得参加投标。单位负责人为同一人或者存在控股 (含法定代表人控股)、管理关系的不同单位，不得参加同一标段的投标，否则，相关投标均无效。</w:t>
      </w:r>
    </w:p>
    <w:p>
      <w:pPr>
        <w:keepNext w:val="0"/>
        <w:keepLines w:val="0"/>
        <w:pageBreakBefore w:val="0"/>
        <w:widowControl/>
        <w:kinsoku/>
        <w:wordWrap/>
        <w:overflowPunct/>
        <w:topLinePunct w:val="0"/>
        <w:autoSpaceDE/>
        <w:autoSpaceDN/>
        <w:bidi w:val="0"/>
        <w:adjustRightInd/>
        <w:snapToGrid/>
        <w:spacing w:line="500" w:lineRule="exact"/>
        <w:ind w:right="0" w:rightChars="0" w:firstLine="420" w:firstLineChars="200"/>
        <w:jc w:val="left"/>
        <w:textAlignment w:val="auto"/>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w:t>
      </w:r>
      <w:r>
        <w:rPr>
          <w:rFonts w:hint="eastAsia" w:ascii="宋体" w:hAnsi="宋体" w:eastAsia="宋体" w:cs="宋体"/>
          <w:color w:val="auto"/>
          <w:spacing w:val="0"/>
          <w:position w:val="0"/>
          <w:sz w:val="21"/>
          <w:szCs w:val="21"/>
          <w:highlight w:val="none"/>
          <w:lang w:val="en-US" w:eastAsia="zh-CN"/>
        </w:rPr>
        <w:t>4</w:t>
      </w:r>
      <w:r>
        <w:rPr>
          <w:rFonts w:hint="eastAsia" w:ascii="宋体" w:hAnsi="宋体" w:eastAsia="宋体" w:cs="宋体"/>
          <w:color w:val="auto"/>
          <w:spacing w:val="0"/>
          <w:position w:val="0"/>
          <w:sz w:val="21"/>
          <w:szCs w:val="21"/>
          <w:highlight w:val="none"/>
        </w:rPr>
        <w:t xml:space="preserve"> 其他要求：</w:t>
      </w:r>
      <w:r>
        <w:rPr>
          <w:rFonts w:hint="eastAsia" w:ascii="宋体" w:hAnsi="宋体" w:eastAsia="宋体" w:cs="宋体"/>
          <w:color w:val="auto"/>
          <w:spacing w:val="0"/>
          <w:position w:val="0"/>
          <w:sz w:val="21"/>
          <w:szCs w:val="21"/>
          <w:highlight w:val="none"/>
        </w:rPr>
        <w:sym w:font="Wingdings" w:char="0081"/>
      </w:r>
      <w:r>
        <w:rPr>
          <w:rFonts w:hint="eastAsia" w:ascii="宋体" w:hAnsi="宋体" w:eastAsia="宋体" w:cs="宋体"/>
          <w:color w:val="auto"/>
          <w:spacing w:val="0"/>
          <w:position w:val="0"/>
          <w:sz w:val="21"/>
          <w:szCs w:val="21"/>
          <w:highlight w:val="none"/>
        </w:rPr>
        <w:t>企业</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法定代表人</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项目负责人</w:t>
      </w:r>
      <w:r>
        <w:rPr>
          <w:rFonts w:hint="eastAsia" w:ascii="宋体" w:hAnsi="宋体" w:eastAsia="宋体" w:cs="宋体"/>
          <w:color w:val="auto"/>
          <w:spacing w:val="0"/>
          <w:position w:val="0"/>
          <w:sz w:val="21"/>
          <w:szCs w:val="21"/>
          <w:highlight w:val="none"/>
          <w:lang w:eastAsia="zh-CN"/>
        </w:rPr>
        <w:t>三年内</w:t>
      </w:r>
      <w:r>
        <w:rPr>
          <w:rFonts w:hint="eastAsia" w:ascii="宋体" w:hAnsi="宋体" w:eastAsia="宋体" w:cs="宋体"/>
          <w:color w:val="auto"/>
          <w:spacing w:val="0"/>
          <w:position w:val="0"/>
          <w:sz w:val="21"/>
          <w:szCs w:val="21"/>
          <w:highlight w:val="none"/>
        </w:rPr>
        <w:t>无行贿犯罪记录（以“中国裁判文书网”查询为准）；</w:t>
      </w:r>
      <w:r>
        <w:rPr>
          <w:rFonts w:hint="eastAsia" w:ascii="宋体" w:hAnsi="宋体" w:eastAsia="宋体" w:cs="宋体"/>
          <w:color w:val="auto"/>
          <w:spacing w:val="0"/>
          <w:position w:val="0"/>
          <w:sz w:val="21"/>
          <w:szCs w:val="21"/>
          <w:highlight w:val="none"/>
        </w:rPr>
        <w:sym w:font="Wingdings" w:char="0082"/>
      </w:r>
      <w:r>
        <w:rPr>
          <w:rFonts w:hint="eastAsia" w:ascii="宋体" w:hAnsi="宋体" w:eastAsia="宋体" w:cs="宋体"/>
          <w:color w:val="auto"/>
          <w:spacing w:val="0"/>
          <w:position w:val="0"/>
          <w:sz w:val="21"/>
          <w:szCs w:val="21"/>
          <w:highlight w:val="none"/>
        </w:rPr>
        <w:t>企业</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项目负责人没有被相关监管部门（行业主管部门、招投标监督部门）限制、清出</w:t>
      </w:r>
      <w:r>
        <w:rPr>
          <w:rFonts w:hint="eastAsia" w:ascii="宋体" w:hAnsi="宋体" w:eastAsia="宋体" w:cs="宋体"/>
          <w:color w:val="auto"/>
          <w:spacing w:val="0"/>
          <w:position w:val="0"/>
          <w:sz w:val="21"/>
          <w:szCs w:val="21"/>
          <w:highlight w:val="none"/>
          <w:lang w:val="en-US" w:eastAsia="zh-CN"/>
        </w:rPr>
        <w:t>嵊州市</w:t>
      </w:r>
      <w:r>
        <w:rPr>
          <w:rFonts w:hint="eastAsia" w:ascii="宋体" w:hAnsi="宋体" w:eastAsia="宋体" w:cs="宋体"/>
          <w:color w:val="auto"/>
          <w:spacing w:val="0"/>
          <w:position w:val="0"/>
          <w:sz w:val="21"/>
          <w:szCs w:val="21"/>
          <w:highlight w:val="none"/>
        </w:rPr>
        <w:t>市场记录（具体时间以监管部门规定时限为准）；</w:t>
      </w:r>
      <w:r>
        <w:rPr>
          <w:rFonts w:hint="eastAsia" w:ascii="宋体" w:hAnsi="宋体" w:eastAsia="宋体" w:cs="宋体"/>
          <w:color w:val="auto"/>
          <w:spacing w:val="0"/>
          <w:position w:val="0"/>
          <w:sz w:val="21"/>
          <w:szCs w:val="21"/>
          <w:highlight w:val="none"/>
        </w:rPr>
        <w:sym w:font="Wingdings" w:char="0083"/>
      </w:r>
      <w:r>
        <w:rPr>
          <w:rFonts w:hint="eastAsia" w:ascii="宋体" w:hAnsi="宋体" w:eastAsia="宋体" w:cs="宋体"/>
          <w:color w:val="auto"/>
          <w:spacing w:val="0"/>
          <w:position w:val="0"/>
          <w:sz w:val="21"/>
          <w:szCs w:val="21"/>
          <w:highlight w:val="none"/>
        </w:rPr>
        <w:t>在国家企业信用信息公示系统 (http://www.gsxt.gov.cn) 中</w:t>
      </w:r>
      <w:r>
        <w:rPr>
          <w:rFonts w:hint="eastAsia" w:ascii="宋体" w:hAnsi="宋体" w:eastAsia="宋体" w:cs="宋体"/>
          <w:color w:val="auto"/>
          <w:spacing w:val="0"/>
          <w:position w:val="0"/>
          <w:sz w:val="21"/>
          <w:szCs w:val="21"/>
          <w:highlight w:val="none"/>
          <w:lang w:val="en-US" w:eastAsia="zh-CN"/>
        </w:rPr>
        <w:t>未</w:t>
      </w:r>
      <w:r>
        <w:rPr>
          <w:rFonts w:hint="eastAsia" w:ascii="宋体" w:hAnsi="宋体" w:eastAsia="宋体" w:cs="宋体"/>
          <w:color w:val="auto"/>
          <w:spacing w:val="0"/>
          <w:position w:val="0"/>
          <w:sz w:val="21"/>
          <w:szCs w:val="21"/>
          <w:highlight w:val="none"/>
        </w:rPr>
        <w:t>被列入严重违法失信企业名单；④在“信用中国”网站 (</w:t>
      </w:r>
      <w:r>
        <w:rPr>
          <w:rFonts w:hint="eastAsia" w:ascii="宋体" w:hAnsi="宋体" w:eastAsia="宋体" w:cs="宋体"/>
          <w:color w:val="auto"/>
          <w:spacing w:val="0"/>
          <w:position w:val="0"/>
          <w:sz w:val="21"/>
          <w:szCs w:val="21"/>
          <w:highlight w:val="none"/>
        </w:rPr>
        <w:fldChar w:fldCharType="begin"/>
      </w:r>
      <w:r>
        <w:rPr>
          <w:rFonts w:hint="eastAsia" w:ascii="宋体" w:hAnsi="宋体" w:eastAsia="宋体" w:cs="宋体"/>
          <w:color w:val="auto"/>
          <w:spacing w:val="0"/>
          <w:position w:val="0"/>
          <w:sz w:val="21"/>
          <w:szCs w:val="21"/>
          <w:highlight w:val="none"/>
        </w:rPr>
        <w:instrText xml:space="preserve"> HYPERLINK "http://www.creditchina.gov.cn/" </w:instrText>
      </w:r>
      <w:r>
        <w:rPr>
          <w:rFonts w:hint="eastAsia" w:ascii="宋体" w:hAnsi="宋体" w:eastAsia="宋体" w:cs="宋体"/>
          <w:color w:val="auto"/>
          <w:spacing w:val="0"/>
          <w:position w:val="0"/>
          <w:sz w:val="21"/>
          <w:szCs w:val="21"/>
          <w:highlight w:val="none"/>
        </w:rPr>
        <w:fldChar w:fldCharType="separate"/>
      </w:r>
      <w:r>
        <w:rPr>
          <w:rFonts w:hint="eastAsia" w:ascii="宋体" w:hAnsi="宋体" w:eastAsia="宋体" w:cs="宋体"/>
          <w:color w:val="auto"/>
          <w:spacing w:val="0"/>
          <w:position w:val="0"/>
          <w:sz w:val="21"/>
          <w:szCs w:val="21"/>
          <w:highlight w:val="none"/>
        </w:rPr>
        <w:t>http://www.creditchina.gov.cn/</w:t>
      </w:r>
      <w:r>
        <w:rPr>
          <w:rFonts w:hint="eastAsia" w:ascii="宋体" w:hAnsi="宋体" w:eastAsia="宋体" w:cs="宋体"/>
          <w:color w:val="auto"/>
          <w:spacing w:val="0"/>
          <w:position w:val="0"/>
          <w:sz w:val="21"/>
          <w:szCs w:val="21"/>
          <w:highlight w:val="none"/>
        </w:rPr>
        <w:fldChar w:fldCharType="end"/>
      </w:r>
      <w:r>
        <w:rPr>
          <w:rFonts w:hint="eastAsia" w:ascii="宋体" w:hAnsi="宋体" w:eastAsia="宋体" w:cs="宋体"/>
          <w:color w:val="auto"/>
          <w:spacing w:val="0"/>
          <w:position w:val="0"/>
          <w:sz w:val="21"/>
          <w:szCs w:val="21"/>
          <w:highlight w:val="none"/>
        </w:rPr>
        <w:t>) 中</w:t>
      </w:r>
      <w:r>
        <w:rPr>
          <w:rFonts w:hint="eastAsia" w:ascii="宋体" w:hAnsi="宋体" w:eastAsia="宋体" w:cs="宋体"/>
          <w:color w:val="auto"/>
          <w:spacing w:val="0"/>
          <w:position w:val="0"/>
          <w:sz w:val="21"/>
          <w:szCs w:val="21"/>
          <w:highlight w:val="none"/>
          <w:lang w:val="en-US" w:eastAsia="zh-CN"/>
        </w:rPr>
        <w:t>未</w:t>
      </w:r>
      <w:r>
        <w:rPr>
          <w:rFonts w:hint="eastAsia" w:ascii="宋体" w:hAnsi="宋体" w:eastAsia="宋体" w:cs="宋体"/>
          <w:color w:val="auto"/>
          <w:spacing w:val="0"/>
          <w:position w:val="0"/>
          <w:sz w:val="21"/>
          <w:szCs w:val="21"/>
          <w:highlight w:val="none"/>
        </w:rPr>
        <w:t>被列入失信被执行人名单。如有特殊情况的，由投标人在投标文件中提供执行法院的有效依据。</w:t>
      </w:r>
    </w:p>
    <w:p>
      <w:pPr>
        <w:keepNext w:val="0"/>
        <w:keepLines w:val="0"/>
        <w:pageBreakBefore w:val="0"/>
        <w:widowControl/>
        <w:wordWrap/>
        <w:overflowPunct/>
        <w:topLinePunct w:val="0"/>
        <w:bidi w:val="0"/>
        <w:spacing w:before="101" w:line="500" w:lineRule="exact"/>
        <w:ind w:left="74"/>
        <w:outlineLvl w:val="9"/>
        <w:rPr>
          <w:rFonts w:hint="eastAsia" w:ascii="宋体" w:hAnsi="宋体" w:eastAsia="宋体" w:cs="宋体"/>
          <w:b/>
          <w:bCs/>
          <w:color w:val="auto"/>
          <w:spacing w:val="0"/>
          <w:position w:val="0"/>
          <w:sz w:val="24"/>
          <w:szCs w:val="24"/>
          <w:highlight w:val="none"/>
        </w:rPr>
      </w:pPr>
      <w:bookmarkStart w:id="26" w:name="_Toc18749"/>
      <w:bookmarkStart w:id="27" w:name="_Toc21481"/>
      <w:r>
        <w:rPr>
          <w:rFonts w:hint="eastAsia" w:ascii="宋体" w:hAnsi="宋体" w:eastAsia="宋体" w:cs="宋体"/>
          <w:b/>
          <w:bCs/>
          <w:color w:val="auto"/>
          <w:spacing w:val="0"/>
          <w:position w:val="0"/>
          <w:sz w:val="24"/>
          <w:szCs w:val="24"/>
          <w:highlight w:val="none"/>
        </w:rPr>
        <w:t>4．招标文件的获取</w:t>
      </w:r>
      <w:bookmarkEnd w:id="26"/>
      <w:bookmarkEnd w:id="27"/>
    </w:p>
    <w:p>
      <w:pPr>
        <w:keepNext w:val="0"/>
        <w:keepLines w:val="0"/>
        <w:pageBreakBefore w:val="0"/>
        <w:widowControl/>
        <w:wordWrap/>
        <w:overflowPunct/>
        <w:topLinePunct w:val="0"/>
        <w:bidi w:val="0"/>
        <w:spacing w:before="3" w:line="500" w:lineRule="exact"/>
        <w:ind w:right="63" w:firstLine="46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4.1本项目招标文件和补充（答疑、澄清）、修改文件在“嵊州市公共资源电子交易系统”发布，由投标人自行下载获取。</w:t>
      </w:r>
    </w:p>
    <w:p>
      <w:pPr>
        <w:keepNext w:val="0"/>
        <w:keepLines w:val="0"/>
        <w:pageBreakBefore w:val="0"/>
        <w:widowControl/>
        <w:wordWrap/>
        <w:overflowPunct/>
        <w:topLinePunct w:val="0"/>
        <w:bidi w:val="0"/>
        <w:spacing w:before="3" w:line="500" w:lineRule="exact"/>
        <w:ind w:right="63" w:firstLine="46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4.2招标文件领取时间从</w:t>
      </w:r>
      <w:r>
        <w:rPr>
          <w:rFonts w:hint="eastAsia" w:ascii="宋体" w:hAnsi="宋体" w:eastAsia="宋体" w:cs="宋体"/>
          <w:color w:val="auto"/>
          <w:spacing w:val="0"/>
          <w:position w:val="0"/>
          <w:sz w:val="21"/>
          <w:szCs w:val="21"/>
          <w:highlight w:val="none"/>
          <w:u w:val="single"/>
          <w:lang w:val="en-US" w:eastAsia="zh-CN"/>
        </w:rPr>
        <w:t xml:space="preserve"> </w:t>
      </w:r>
      <w:r>
        <w:rPr>
          <w:rFonts w:hint="eastAsia" w:ascii="宋体" w:hAnsi="宋体" w:eastAsia="宋体" w:cs="宋体"/>
          <w:color w:val="auto"/>
          <w:spacing w:val="0"/>
          <w:position w:val="0"/>
          <w:sz w:val="21"/>
          <w:szCs w:val="21"/>
          <w:highlight w:val="none"/>
          <w:u w:val="single"/>
        </w:rPr>
        <w:t>202</w:t>
      </w:r>
      <w:r>
        <w:rPr>
          <w:rFonts w:hint="eastAsia" w:ascii="宋体" w:hAnsi="宋体" w:eastAsia="宋体" w:cs="宋体"/>
          <w:color w:val="auto"/>
          <w:spacing w:val="0"/>
          <w:position w:val="0"/>
          <w:sz w:val="21"/>
          <w:szCs w:val="21"/>
          <w:highlight w:val="none"/>
          <w:u w:val="single"/>
          <w:lang w:val="en-US" w:eastAsia="zh-CN"/>
        </w:rPr>
        <w:t xml:space="preserve">3 </w:t>
      </w:r>
      <w:r>
        <w:rPr>
          <w:rFonts w:hint="eastAsia" w:ascii="宋体" w:hAnsi="宋体" w:eastAsia="宋体" w:cs="宋体"/>
          <w:color w:val="auto"/>
          <w:spacing w:val="0"/>
          <w:position w:val="0"/>
          <w:sz w:val="21"/>
          <w:szCs w:val="21"/>
          <w:highlight w:val="none"/>
        </w:rPr>
        <w:t>年</w:t>
      </w:r>
      <w:r>
        <w:rPr>
          <w:rFonts w:hint="eastAsia" w:ascii="宋体" w:hAnsi="宋体" w:eastAsia="宋体" w:cs="宋体"/>
          <w:color w:val="auto"/>
          <w:spacing w:val="0"/>
          <w:position w:val="0"/>
          <w:sz w:val="21"/>
          <w:szCs w:val="21"/>
          <w:highlight w:val="none"/>
          <w:u w:val="single"/>
          <w:lang w:val="en-US" w:eastAsia="zh-CN"/>
        </w:rPr>
        <w:t xml:space="preserve"> 5 </w:t>
      </w:r>
      <w:r>
        <w:rPr>
          <w:rFonts w:hint="eastAsia" w:ascii="宋体" w:hAnsi="宋体" w:eastAsia="宋体" w:cs="宋体"/>
          <w:color w:val="auto"/>
          <w:spacing w:val="0"/>
          <w:position w:val="0"/>
          <w:sz w:val="21"/>
          <w:szCs w:val="21"/>
          <w:highlight w:val="none"/>
        </w:rPr>
        <w:t>月</w:t>
      </w:r>
      <w:r>
        <w:rPr>
          <w:rFonts w:hint="eastAsia" w:ascii="宋体" w:hAnsi="宋体" w:eastAsia="宋体" w:cs="宋体"/>
          <w:color w:val="auto"/>
          <w:spacing w:val="0"/>
          <w:position w:val="0"/>
          <w:sz w:val="21"/>
          <w:szCs w:val="21"/>
          <w:highlight w:val="none"/>
          <w:u w:val="single"/>
          <w:lang w:val="en-US" w:eastAsia="zh-CN"/>
        </w:rPr>
        <w:t xml:space="preserve"> 26 </w:t>
      </w:r>
      <w:r>
        <w:rPr>
          <w:rFonts w:hint="eastAsia" w:ascii="宋体" w:hAnsi="宋体" w:eastAsia="宋体" w:cs="宋体"/>
          <w:color w:val="auto"/>
          <w:spacing w:val="0"/>
          <w:position w:val="0"/>
          <w:sz w:val="21"/>
          <w:szCs w:val="21"/>
          <w:highlight w:val="none"/>
        </w:rPr>
        <w:t>日起至</w:t>
      </w:r>
      <w:r>
        <w:rPr>
          <w:rFonts w:hint="eastAsia" w:ascii="宋体" w:hAnsi="宋体" w:eastAsia="宋体" w:cs="宋体"/>
          <w:color w:val="auto"/>
          <w:spacing w:val="0"/>
          <w:position w:val="0"/>
          <w:sz w:val="21"/>
          <w:szCs w:val="21"/>
          <w:highlight w:val="none"/>
          <w:u w:val="single"/>
          <w:lang w:val="en-US" w:eastAsia="zh-CN"/>
        </w:rPr>
        <w:t xml:space="preserve"> </w:t>
      </w:r>
      <w:r>
        <w:rPr>
          <w:rFonts w:hint="eastAsia" w:ascii="宋体" w:hAnsi="宋体" w:eastAsia="宋体" w:cs="宋体"/>
          <w:color w:val="auto"/>
          <w:spacing w:val="0"/>
          <w:position w:val="0"/>
          <w:sz w:val="21"/>
          <w:szCs w:val="21"/>
          <w:highlight w:val="none"/>
          <w:u w:val="single"/>
        </w:rPr>
        <w:t>202</w:t>
      </w:r>
      <w:r>
        <w:rPr>
          <w:rFonts w:hint="eastAsia" w:ascii="宋体" w:hAnsi="宋体" w:eastAsia="宋体" w:cs="宋体"/>
          <w:color w:val="auto"/>
          <w:spacing w:val="0"/>
          <w:position w:val="0"/>
          <w:sz w:val="21"/>
          <w:szCs w:val="21"/>
          <w:highlight w:val="none"/>
          <w:u w:val="single"/>
          <w:lang w:val="en-US" w:eastAsia="zh-CN"/>
        </w:rPr>
        <w:t xml:space="preserve">3 </w:t>
      </w:r>
      <w:r>
        <w:rPr>
          <w:rFonts w:hint="eastAsia" w:ascii="宋体" w:hAnsi="宋体" w:eastAsia="宋体" w:cs="宋体"/>
          <w:color w:val="auto"/>
          <w:spacing w:val="0"/>
          <w:position w:val="0"/>
          <w:sz w:val="21"/>
          <w:szCs w:val="21"/>
          <w:highlight w:val="none"/>
        </w:rPr>
        <w:t>年</w:t>
      </w:r>
      <w:r>
        <w:rPr>
          <w:rFonts w:hint="eastAsia" w:ascii="宋体" w:hAnsi="宋体" w:eastAsia="宋体" w:cs="宋体"/>
          <w:color w:val="auto"/>
          <w:spacing w:val="0"/>
          <w:position w:val="0"/>
          <w:sz w:val="21"/>
          <w:szCs w:val="21"/>
          <w:highlight w:val="none"/>
          <w:u w:val="single"/>
          <w:lang w:val="en-US" w:eastAsia="zh-CN"/>
        </w:rPr>
        <w:t xml:space="preserve"> 6 </w:t>
      </w:r>
      <w:r>
        <w:rPr>
          <w:rFonts w:hint="eastAsia" w:ascii="宋体" w:hAnsi="宋体" w:eastAsia="宋体" w:cs="宋体"/>
          <w:color w:val="auto"/>
          <w:spacing w:val="0"/>
          <w:position w:val="0"/>
          <w:sz w:val="21"/>
          <w:szCs w:val="21"/>
          <w:highlight w:val="none"/>
        </w:rPr>
        <w:t>月</w:t>
      </w:r>
      <w:r>
        <w:rPr>
          <w:rFonts w:hint="eastAsia" w:ascii="宋体" w:hAnsi="宋体" w:eastAsia="宋体" w:cs="宋体"/>
          <w:color w:val="auto"/>
          <w:spacing w:val="0"/>
          <w:position w:val="0"/>
          <w:sz w:val="21"/>
          <w:szCs w:val="21"/>
          <w:highlight w:val="none"/>
          <w:u w:val="single"/>
          <w:lang w:val="en-US" w:eastAsia="zh-CN"/>
        </w:rPr>
        <w:t xml:space="preserve"> 16 </w:t>
      </w:r>
      <w:r>
        <w:rPr>
          <w:rFonts w:hint="eastAsia" w:ascii="宋体" w:hAnsi="宋体" w:eastAsia="宋体" w:cs="宋体"/>
          <w:color w:val="auto"/>
          <w:spacing w:val="0"/>
          <w:position w:val="0"/>
          <w:sz w:val="21"/>
          <w:szCs w:val="21"/>
          <w:highlight w:val="none"/>
        </w:rPr>
        <w:t>日止。潜在投标人应自行关注嵊州市公共资源电子交易系统公告，招标人不再一一通知。投标人因自身贻误行为导致投标失败的，一律视为不响应招标文件，投标文件不予接受。</w:t>
      </w:r>
    </w:p>
    <w:p>
      <w:pPr>
        <w:keepNext w:val="0"/>
        <w:keepLines w:val="0"/>
        <w:pageBreakBefore w:val="0"/>
        <w:widowControl/>
        <w:wordWrap/>
        <w:overflowPunct/>
        <w:topLinePunct w:val="0"/>
        <w:bidi w:val="0"/>
        <w:spacing w:before="3" w:line="500" w:lineRule="exact"/>
        <w:ind w:right="63" w:firstLine="46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4.3潜在投标人须凭本企业适用于嵊州市公共资源交易中心的CA数字证书登录“嵊州市公共资源电子交易系统”，在对应的公告下方</w:t>
      </w:r>
      <w:r>
        <w:rPr>
          <w:rFonts w:hint="eastAsia" w:ascii="宋体" w:hAnsi="宋体" w:eastAsia="宋体" w:cs="宋体"/>
          <w:color w:val="auto"/>
          <w:spacing w:val="0"/>
          <w:position w:val="0"/>
          <w:sz w:val="21"/>
          <w:szCs w:val="21"/>
          <w:highlight w:val="none"/>
          <w:lang w:val="en-US" w:eastAsia="zh-CN"/>
        </w:rPr>
        <w:t>自行</w:t>
      </w:r>
      <w:r>
        <w:rPr>
          <w:rFonts w:hint="eastAsia" w:ascii="宋体" w:hAnsi="宋体" w:eastAsia="宋体" w:cs="宋体"/>
          <w:color w:val="auto"/>
          <w:spacing w:val="0"/>
          <w:position w:val="0"/>
          <w:sz w:val="21"/>
          <w:szCs w:val="21"/>
          <w:highlight w:val="none"/>
        </w:rPr>
        <w:t>下载招标文件。投标文件须填写相关信息，未填写相关信息的，投标文件不予接受。</w:t>
      </w:r>
    </w:p>
    <w:p>
      <w:pPr>
        <w:keepNext w:val="0"/>
        <w:keepLines w:val="0"/>
        <w:pageBreakBefore w:val="0"/>
        <w:widowControl/>
        <w:wordWrap/>
        <w:overflowPunct/>
        <w:topLinePunct w:val="0"/>
        <w:bidi w:val="0"/>
        <w:spacing w:before="3" w:line="500" w:lineRule="exact"/>
        <w:ind w:right="63" w:firstLine="46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4.4未取得嵊州市公共资源交易中心CA数字证书的潜在投标人，应先办理交易主体注册手续，取得嵊州市公共资源交易中心CA数字证书。</w:t>
      </w:r>
    </w:p>
    <w:p>
      <w:pPr>
        <w:keepNext w:val="0"/>
        <w:keepLines w:val="0"/>
        <w:pageBreakBefore w:val="0"/>
        <w:widowControl/>
        <w:wordWrap/>
        <w:overflowPunct/>
        <w:topLinePunct w:val="0"/>
        <w:bidi w:val="0"/>
        <w:spacing w:before="101" w:line="500" w:lineRule="exact"/>
        <w:ind w:left="74"/>
        <w:outlineLvl w:val="9"/>
        <w:rPr>
          <w:rFonts w:hint="eastAsia" w:ascii="宋体" w:hAnsi="宋体" w:eastAsia="宋体" w:cs="宋体"/>
          <w:b/>
          <w:bCs/>
          <w:color w:val="auto"/>
          <w:spacing w:val="0"/>
          <w:position w:val="0"/>
          <w:sz w:val="21"/>
          <w:szCs w:val="21"/>
          <w:highlight w:val="none"/>
        </w:rPr>
      </w:pPr>
      <w:bookmarkStart w:id="28" w:name="_Toc5280"/>
      <w:bookmarkStart w:id="29" w:name="_Toc22668"/>
      <w:r>
        <w:rPr>
          <w:rFonts w:hint="eastAsia" w:ascii="宋体" w:hAnsi="宋体" w:eastAsia="宋体" w:cs="宋体"/>
          <w:b/>
          <w:bCs/>
          <w:color w:val="auto"/>
          <w:spacing w:val="0"/>
          <w:position w:val="0"/>
          <w:sz w:val="21"/>
          <w:szCs w:val="21"/>
          <w:highlight w:val="none"/>
        </w:rPr>
        <w:t>5．投标文件的递交及相关事宜</w:t>
      </w:r>
      <w:bookmarkEnd w:id="28"/>
      <w:bookmarkEnd w:id="29"/>
    </w:p>
    <w:p>
      <w:pPr>
        <w:keepNext w:val="0"/>
        <w:keepLines w:val="0"/>
        <w:pageBreakBefore w:val="0"/>
        <w:widowControl/>
        <w:wordWrap/>
        <w:overflowPunct/>
        <w:topLinePunct w:val="0"/>
        <w:bidi w:val="0"/>
        <w:spacing w:before="3" w:line="500" w:lineRule="exact"/>
        <w:ind w:right="63" w:firstLine="469"/>
        <w:outlineLvl w:val="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5.1招标人不组织工程现场踏勘，不召开投标预备会。</w:t>
      </w:r>
    </w:p>
    <w:p>
      <w:pPr>
        <w:keepNext w:val="0"/>
        <w:keepLines w:val="0"/>
        <w:pageBreakBefore w:val="0"/>
        <w:widowControl/>
        <w:wordWrap/>
        <w:overflowPunct/>
        <w:topLinePunct w:val="0"/>
        <w:bidi w:val="0"/>
        <w:spacing w:before="3" w:line="500" w:lineRule="exact"/>
        <w:ind w:right="63" w:firstLine="46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5.2投标文件递交截止时间：</w:t>
      </w:r>
      <w:r>
        <w:rPr>
          <w:rFonts w:hint="eastAsia" w:ascii="宋体" w:hAnsi="宋体" w:eastAsia="宋体" w:cs="宋体"/>
          <w:color w:val="auto"/>
          <w:spacing w:val="0"/>
          <w:position w:val="0"/>
          <w:sz w:val="21"/>
          <w:szCs w:val="21"/>
          <w:highlight w:val="none"/>
          <w:u w:val="single"/>
          <w:lang w:val="en-US" w:eastAsia="zh-CN"/>
        </w:rPr>
        <w:t xml:space="preserve"> </w:t>
      </w:r>
      <w:r>
        <w:rPr>
          <w:rFonts w:hint="eastAsia" w:ascii="宋体" w:hAnsi="宋体" w:eastAsia="宋体" w:cs="宋体"/>
          <w:color w:val="auto"/>
          <w:spacing w:val="0"/>
          <w:position w:val="0"/>
          <w:sz w:val="21"/>
          <w:szCs w:val="21"/>
          <w:highlight w:val="none"/>
          <w:u w:val="single"/>
        </w:rPr>
        <w:t>202</w:t>
      </w:r>
      <w:r>
        <w:rPr>
          <w:rFonts w:hint="eastAsia" w:ascii="宋体" w:hAnsi="宋体" w:eastAsia="宋体" w:cs="宋体"/>
          <w:color w:val="auto"/>
          <w:spacing w:val="0"/>
          <w:position w:val="0"/>
          <w:sz w:val="21"/>
          <w:szCs w:val="21"/>
          <w:highlight w:val="none"/>
          <w:u w:val="single"/>
          <w:lang w:val="en-US" w:eastAsia="zh-CN"/>
        </w:rPr>
        <w:t xml:space="preserve">3 </w:t>
      </w:r>
      <w:r>
        <w:rPr>
          <w:rFonts w:hint="eastAsia" w:ascii="宋体" w:hAnsi="宋体" w:eastAsia="宋体" w:cs="宋体"/>
          <w:color w:val="auto"/>
          <w:spacing w:val="0"/>
          <w:position w:val="0"/>
          <w:sz w:val="21"/>
          <w:szCs w:val="21"/>
          <w:highlight w:val="none"/>
        </w:rPr>
        <w:t>年</w:t>
      </w:r>
      <w:r>
        <w:rPr>
          <w:rFonts w:hint="eastAsia" w:ascii="宋体" w:hAnsi="宋体" w:eastAsia="宋体" w:cs="宋体"/>
          <w:color w:val="auto"/>
          <w:spacing w:val="0"/>
          <w:position w:val="0"/>
          <w:sz w:val="21"/>
          <w:szCs w:val="21"/>
          <w:highlight w:val="none"/>
          <w:u w:val="single"/>
          <w:lang w:val="en-US" w:eastAsia="zh-CN"/>
        </w:rPr>
        <w:t xml:space="preserve"> 6 </w:t>
      </w:r>
      <w:r>
        <w:rPr>
          <w:rFonts w:hint="eastAsia" w:ascii="宋体" w:hAnsi="宋体" w:eastAsia="宋体" w:cs="宋体"/>
          <w:color w:val="auto"/>
          <w:spacing w:val="0"/>
          <w:position w:val="0"/>
          <w:sz w:val="21"/>
          <w:szCs w:val="21"/>
          <w:highlight w:val="none"/>
        </w:rPr>
        <w:t>月</w:t>
      </w:r>
      <w:r>
        <w:rPr>
          <w:rFonts w:hint="eastAsia" w:ascii="宋体" w:hAnsi="宋体" w:eastAsia="宋体" w:cs="宋体"/>
          <w:color w:val="auto"/>
          <w:spacing w:val="0"/>
          <w:position w:val="0"/>
          <w:sz w:val="21"/>
          <w:szCs w:val="21"/>
          <w:highlight w:val="none"/>
          <w:u w:val="single"/>
          <w:lang w:val="en-US" w:eastAsia="zh-CN"/>
        </w:rPr>
        <w:t xml:space="preserve"> 16 </w:t>
      </w:r>
      <w:r>
        <w:rPr>
          <w:rFonts w:hint="eastAsia" w:ascii="宋体" w:hAnsi="宋体" w:eastAsia="宋体" w:cs="宋体"/>
          <w:color w:val="auto"/>
          <w:spacing w:val="0"/>
          <w:position w:val="0"/>
          <w:sz w:val="21"/>
          <w:szCs w:val="21"/>
          <w:highlight w:val="none"/>
        </w:rPr>
        <w:t>日</w:t>
      </w:r>
      <w:r>
        <w:rPr>
          <w:rFonts w:hint="eastAsia" w:ascii="宋体" w:hAnsi="宋体" w:eastAsia="宋体" w:cs="宋体"/>
          <w:color w:val="auto"/>
          <w:spacing w:val="0"/>
          <w:position w:val="0"/>
          <w:sz w:val="21"/>
          <w:szCs w:val="21"/>
          <w:highlight w:val="none"/>
          <w:u w:val="single"/>
          <w:lang w:val="en-US" w:eastAsia="zh-CN"/>
        </w:rPr>
        <w:t xml:space="preserve"> 11 </w:t>
      </w:r>
      <w:r>
        <w:rPr>
          <w:rFonts w:hint="eastAsia" w:ascii="宋体" w:hAnsi="宋体" w:eastAsia="宋体" w:cs="宋体"/>
          <w:color w:val="auto"/>
          <w:spacing w:val="0"/>
          <w:position w:val="0"/>
          <w:sz w:val="21"/>
          <w:szCs w:val="21"/>
          <w:highlight w:val="none"/>
        </w:rPr>
        <w:t>时</w:t>
      </w:r>
      <w:r>
        <w:rPr>
          <w:rFonts w:hint="eastAsia" w:ascii="宋体" w:hAnsi="宋体" w:eastAsia="宋体" w:cs="宋体"/>
          <w:color w:val="auto"/>
          <w:spacing w:val="0"/>
          <w:position w:val="0"/>
          <w:sz w:val="21"/>
          <w:szCs w:val="21"/>
          <w:highlight w:val="none"/>
          <w:u w:val="single"/>
          <w:lang w:val="en-US" w:eastAsia="zh-CN"/>
        </w:rPr>
        <w:t xml:space="preserve"> </w:t>
      </w:r>
      <w:r>
        <w:rPr>
          <w:rFonts w:hint="eastAsia" w:ascii="宋体" w:hAnsi="宋体" w:eastAsia="宋体" w:cs="宋体"/>
          <w:color w:val="auto"/>
          <w:spacing w:val="0"/>
          <w:position w:val="0"/>
          <w:sz w:val="21"/>
          <w:szCs w:val="21"/>
          <w:highlight w:val="none"/>
          <w:u w:val="single"/>
        </w:rPr>
        <w:t>00</w:t>
      </w:r>
      <w:r>
        <w:rPr>
          <w:rFonts w:hint="eastAsia" w:ascii="宋体" w:hAnsi="宋体" w:eastAsia="宋体" w:cs="宋体"/>
          <w:color w:val="auto"/>
          <w:spacing w:val="0"/>
          <w:position w:val="0"/>
          <w:sz w:val="21"/>
          <w:szCs w:val="21"/>
          <w:highlight w:val="none"/>
          <w:u w:val="single"/>
          <w:lang w:val="en-US" w:eastAsia="zh-CN"/>
        </w:rPr>
        <w:t xml:space="preserve"> </w:t>
      </w:r>
      <w:r>
        <w:rPr>
          <w:rFonts w:hint="eastAsia" w:ascii="宋体" w:hAnsi="宋体" w:eastAsia="宋体" w:cs="宋体"/>
          <w:color w:val="auto"/>
          <w:spacing w:val="0"/>
          <w:position w:val="0"/>
          <w:sz w:val="21"/>
          <w:szCs w:val="21"/>
          <w:highlight w:val="none"/>
        </w:rPr>
        <w:t xml:space="preserve">分；   </w:t>
      </w:r>
    </w:p>
    <w:p>
      <w:pPr>
        <w:keepNext w:val="0"/>
        <w:keepLines w:val="0"/>
        <w:pageBreakBefore w:val="0"/>
        <w:widowControl/>
        <w:wordWrap/>
        <w:overflowPunct/>
        <w:topLinePunct w:val="0"/>
        <w:bidi w:val="0"/>
        <w:spacing w:before="3" w:line="500" w:lineRule="exact"/>
        <w:ind w:right="63" w:firstLine="46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lang w:val="en-US" w:eastAsia="zh-CN"/>
        </w:rPr>
        <w:t>5.3</w:t>
      </w:r>
      <w:r>
        <w:rPr>
          <w:rFonts w:hint="eastAsia" w:ascii="宋体" w:hAnsi="宋体" w:eastAsia="宋体" w:cs="宋体"/>
          <w:color w:val="auto"/>
          <w:spacing w:val="0"/>
          <w:position w:val="0"/>
          <w:sz w:val="21"/>
          <w:szCs w:val="21"/>
          <w:highlight w:val="none"/>
        </w:rPr>
        <w:t>. 提交方式：</w:t>
      </w:r>
    </w:p>
    <w:p>
      <w:pPr>
        <w:keepNext w:val="0"/>
        <w:keepLines w:val="0"/>
        <w:pageBreakBefore w:val="0"/>
        <w:widowControl/>
        <w:wordWrap/>
        <w:overflowPunct/>
        <w:topLinePunct w:val="0"/>
        <w:bidi w:val="0"/>
        <w:spacing w:before="3" w:line="500" w:lineRule="exact"/>
        <w:ind w:right="63" w:firstLine="46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lang w:val="en-US" w:eastAsia="zh-CN"/>
        </w:rPr>
        <w:t>5.3</w:t>
      </w:r>
      <w:r>
        <w:rPr>
          <w:rFonts w:hint="eastAsia" w:ascii="宋体" w:hAnsi="宋体" w:eastAsia="宋体" w:cs="宋体"/>
          <w:color w:val="auto"/>
          <w:spacing w:val="0"/>
          <w:position w:val="0"/>
          <w:sz w:val="21"/>
          <w:szCs w:val="21"/>
          <w:highlight w:val="none"/>
        </w:rPr>
        <w:t>.1电子投标文件采用网上递交的方式，上传至嵊州市公共资源电子交易系统，超过投标截止时间未完成上传的投标文件，交易平台将拒收。</w:t>
      </w:r>
    </w:p>
    <w:p>
      <w:pPr>
        <w:keepNext w:val="0"/>
        <w:keepLines w:val="0"/>
        <w:pageBreakBefore w:val="0"/>
        <w:widowControl/>
        <w:wordWrap/>
        <w:overflowPunct/>
        <w:topLinePunct w:val="0"/>
        <w:bidi w:val="0"/>
        <w:spacing w:before="3" w:line="500" w:lineRule="exact"/>
        <w:ind w:right="63" w:firstLine="46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lang w:val="en-US" w:eastAsia="zh-CN"/>
        </w:rPr>
        <w:t>5.3</w:t>
      </w:r>
      <w:r>
        <w:rPr>
          <w:rFonts w:hint="eastAsia" w:ascii="宋体" w:hAnsi="宋体" w:eastAsia="宋体" w:cs="宋体"/>
          <w:color w:val="auto"/>
          <w:spacing w:val="0"/>
          <w:position w:val="0"/>
          <w:sz w:val="21"/>
          <w:szCs w:val="21"/>
          <w:highlight w:val="none"/>
        </w:rPr>
        <w:t xml:space="preserve">.2应在投标截止时间前完成投标文件传输，否则视为撤回投标文件。 </w:t>
      </w:r>
    </w:p>
    <w:p>
      <w:pPr>
        <w:keepNext w:val="0"/>
        <w:keepLines w:val="0"/>
        <w:pageBreakBefore w:val="0"/>
        <w:widowControl/>
        <w:wordWrap/>
        <w:overflowPunct/>
        <w:topLinePunct w:val="0"/>
        <w:bidi w:val="0"/>
        <w:spacing w:before="3" w:line="500" w:lineRule="exact"/>
        <w:ind w:right="63" w:firstLine="46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lang w:val="en-US" w:eastAsia="zh-CN"/>
        </w:rPr>
        <w:t>5.4</w:t>
      </w:r>
      <w:r>
        <w:rPr>
          <w:rFonts w:hint="eastAsia" w:ascii="宋体" w:hAnsi="宋体" w:eastAsia="宋体" w:cs="宋体"/>
          <w:color w:val="auto"/>
          <w:spacing w:val="0"/>
          <w:position w:val="0"/>
          <w:sz w:val="21"/>
          <w:szCs w:val="21"/>
          <w:highlight w:val="none"/>
        </w:rPr>
        <w:t>、不见面系统开标时间及网址：</w:t>
      </w:r>
    </w:p>
    <w:p>
      <w:pPr>
        <w:keepNext w:val="0"/>
        <w:keepLines w:val="0"/>
        <w:pageBreakBefore w:val="0"/>
        <w:widowControl/>
        <w:wordWrap/>
        <w:overflowPunct/>
        <w:topLinePunct w:val="0"/>
        <w:bidi w:val="0"/>
        <w:spacing w:before="3" w:line="500" w:lineRule="exact"/>
        <w:ind w:right="63" w:firstLine="46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lang w:val="en-US" w:eastAsia="zh-CN"/>
        </w:rPr>
        <w:t>5.4</w:t>
      </w:r>
      <w:r>
        <w:rPr>
          <w:rFonts w:hint="eastAsia" w:ascii="宋体" w:hAnsi="宋体" w:eastAsia="宋体" w:cs="宋体"/>
          <w:color w:val="auto"/>
          <w:spacing w:val="0"/>
          <w:position w:val="0"/>
          <w:sz w:val="21"/>
          <w:szCs w:val="21"/>
          <w:highlight w:val="none"/>
        </w:rPr>
        <w:t>.1本项目开标时间为：同投标截止时间；</w:t>
      </w:r>
    </w:p>
    <w:p>
      <w:pPr>
        <w:keepNext w:val="0"/>
        <w:keepLines w:val="0"/>
        <w:pageBreakBefore w:val="0"/>
        <w:widowControl/>
        <w:wordWrap/>
        <w:overflowPunct/>
        <w:topLinePunct w:val="0"/>
        <w:bidi w:val="0"/>
        <w:spacing w:before="3" w:line="500" w:lineRule="exact"/>
        <w:ind w:right="63" w:firstLine="46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lang w:val="en-US" w:eastAsia="zh-CN"/>
        </w:rPr>
        <w:t>5.4</w:t>
      </w:r>
      <w:r>
        <w:rPr>
          <w:rFonts w:hint="eastAsia" w:ascii="宋体" w:hAnsi="宋体" w:eastAsia="宋体" w:cs="宋体"/>
          <w:color w:val="auto"/>
          <w:spacing w:val="0"/>
          <w:position w:val="0"/>
          <w:sz w:val="21"/>
          <w:szCs w:val="21"/>
          <w:highlight w:val="none"/>
        </w:rPr>
        <w:t>.2本项目采用不见面开标系统开标, 投标人须在本企业电脑上自行解密。</w:t>
      </w:r>
    </w:p>
    <w:p>
      <w:pPr>
        <w:keepNext w:val="0"/>
        <w:keepLines w:val="0"/>
        <w:pageBreakBefore w:val="0"/>
        <w:widowControl/>
        <w:wordWrap/>
        <w:overflowPunct/>
        <w:topLinePunct w:val="0"/>
        <w:bidi w:val="0"/>
        <w:spacing w:before="3" w:line="500" w:lineRule="exact"/>
        <w:ind w:right="63" w:firstLine="46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lang w:val="en-US" w:eastAsia="zh-CN"/>
        </w:rPr>
        <w:t>5.4</w:t>
      </w:r>
      <w:r>
        <w:rPr>
          <w:rFonts w:hint="eastAsia" w:ascii="宋体" w:hAnsi="宋体" w:eastAsia="宋体" w:cs="宋体"/>
          <w:color w:val="auto"/>
          <w:spacing w:val="0"/>
          <w:position w:val="0"/>
          <w:sz w:val="21"/>
          <w:szCs w:val="21"/>
          <w:highlight w:val="none"/>
        </w:rPr>
        <w:t>.3投标人现场开标观摩地点：本项目暂不邀请投标人现场观摩。</w:t>
      </w:r>
    </w:p>
    <w:p>
      <w:pPr>
        <w:keepNext w:val="0"/>
        <w:keepLines w:val="0"/>
        <w:pageBreakBefore w:val="0"/>
        <w:widowControl/>
        <w:wordWrap/>
        <w:overflowPunct/>
        <w:topLinePunct w:val="0"/>
        <w:bidi w:val="0"/>
        <w:spacing w:before="3" w:line="500" w:lineRule="exact"/>
        <w:ind w:right="63" w:firstLine="46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lang w:val="en-US" w:eastAsia="zh-CN"/>
        </w:rPr>
        <w:t>5.4</w:t>
      </w:r>
      <w:r>
        <w:rPr>
          <w:rFonts w:hint="eastAsia" w:ascii="宋体" w:hAnsi="宋体" w:eastAsia="宋体" w:cs="宋体"/>
          <w:color w:val="auto"/>
          <w:spacing w:val="0"/>
          <w:position w:val="0"/>
          <w:sz w:val="21"/>
          <w:szCs w:val="21"/>
          <w:highlight w:val="none"/>
        </w:rPr>
        <w:t>.4不见面开标大厅登录网址：http://220.191.224.7:8088/BidOpening/bidopeninghallaction/hall/login，请各投标单位使用IE11浏览器访问嵊州网上不见面开标大厅，使用CA锁登录，完成远程开标。</w:t>
      </w:r>
    </w:p>
    <w:p>
      <w:pPr>
        <w:keepNext w:val="0"/>
        <w:keepLines w:val="0"/>
        <w:pageBreakBefore w:val="0"/>
        <w:widowControl/>
        <w:wordWrap/>
        <w:overflowPunct/>
        <w:topLinePunct w:val="0"/>
        <w:bidi w:val="0"/>
        <w:spacing w:before="3" w:line="500" w:lineRule="exact"/>
        <w:ind w:right="63" w:firstLine="46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lang w:val="en-US" w:eastAsia="zh-CN"/>
        </w:rPr>
        <w:t>5.4</w:t>
      </w:r>
      <w:r>
        <w:rPr>
          <w:rFonts w:hint="eastAsia" w:ascii="宋体" w:hAnsi="宋体" w:eastAsia="宋体" w:cs="宋体"/>
          <w:color w:val="auto"/>
          <w:spacing w:val="0"/>
          <w:position w:val="0"/>
          <w:sz w:val="21"/>
          <w:szCs w:val="21"/>
          <w:highlight w:val="none"/>
        </w:rPr>
        <w:t>.5投标人授权委托人在开标期间须及时关注电子招投标交易平台信息，并按要求在规定时间内予以回复。</w:t>
      </w:r>
    </w:p>
    <w:p>
      <w:pPr>
        <w:keepNext w:val="0"/>
        <w:keepLines w:val="0"/>
        <w:pageBreakBefore w:val="0"/>
        <w:widowControl/>
        <w:wordWrap/>
        <w:overflowPunct/>
        <w:topLinePunct w:val="0"/>
        <w:bidi w:val="0"/>
        <w:spacing w:before="3" w:line="500" w:lineRule="exact"/>
        <w:ind w:right="63" w:firstLine="46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备注：各投标人在电子招投标过程中碰到各类技术问题请咨询:QQ技术支持群：306060147、823929228。</w:t>
      </w:r>
    </w:p>
    <w:p>
      <w:pPr>
        <w:keepNext w:val="0"/>
        <w:keepLines w:val="0"/>
        <w:pageBreakBefore w:val="0"/>
        <w:widowControl/>
        <w:numPr>
          <w:ilvl w:val="0"/>
          <w:numId w:val="2"/>
        </w:numPr>
        <w:wordWrap/>
        <w:overflowPunct/>
        <w:topLinePunct w:val="0"/>
        <w:bidi w:val="0"/>
        <w:spacing w:before="101" w:line="500" w:lineRule="exact"/>
        <w:ind w:left="74"/>
        <w:outlineLvl w:val="9"/>
        <w:rPr>
          <w:rFonts w:hint="eastAsia" w:ascii="宋体" w:hAnsi="宋体" w:eastAsia="宋体" w:cs="宋体"/>
          <w:b/>
          <w:bCs/>
          <w:color w:val="auto"/>
          <w:spacing w:val="0"/>
          <w:position w:val="0"/>
          <w:sz w:val="24"/>
          <w:szCs w:val="24"/>
          <w:highlight w:val="none"/>
          <w:lang w:val="en-US" w:eastAsia="zh-CN"/>
        </w:rPr>
      </w:pPr>
      <w:bookmarkStart w:id="30" w:name="_Toc21052"/>
      <w:r>
        <w:rPr>
          <w:rFonts w:hint="eastAsia" w:ascii="宋体" w:hAnsi="宋体" w:eastAsia="宋体" w:cs="宋体"/>
          <w:b/>
          <w:bCs/>
          <w:color w:val="auto"/>
          <w:spacing w:val="0"/>
          <w:position w:val="0"/>
          <w:sz w:val="24"/>
          <w:szCs w:val="24"/>
          <w:highlight w:val="none"/>
          <w:lang w:val="en-US" w:eastAsia="zh-CN"/>
        </w:rPr>
        <w:t>发布公告的媒介</w:t>
      </w:r>
      <w:bookmarkEnd w:id="30"/>
    </w:p>
    <w:p>
      <w:pPr>
        <w:keepNext w:val="0"/>
        <w:keepLines w:val="0"/>
        <w:pageBreakBefore w:val="0"/>
        <w:widowControl/>
        <w:numPr>
          <w:ilvl w:val="0"/>
          <w:numId w:val="0"/>
        </w:numPr>
        <w:wordWrap/>
        <w:overflowPunct/>
        <w:topLinePunct w:val="0"/>
        <w:bidi w:val="0"/>
        <w:spacing w:before="3" w:line="500" w:lineRule="exact"/>
        <w:ind w:right="63" w:rightChars="0" w:firstLine="420" w:firstLineChars="200"/>
        <w:rPr>
          <w:rFonts w:hint="eastAsia" w:ascii="宋体" w:hAnsi="宋体" w:eastAsia="宋体" w:cs="宋体"/>
          <w:color w:val="auto"/>
          <w:spacing w:val="0"/>
          <w:position w:val="0"/>
          <w:sz w:val="21"/>
          <w:szCs w:val="21"/>
          <w:highlight w:val="none"/>
          <w:lang w:eastAsia="zh-CN"/>
        </w:rPr>
      </w:pPr>
      <w:r>
        <w:rPr>
          <w:rFonts w:hint="eastAsia" w:ascii="宋体" w:hAnsi="宋体" w:eastAsia="宋体" w:cs="宋体"/>
          <w:color w:val="auto"/>
          <w:spacing w:val="0"/>
          <w:position w:val="0"/>
          <w:sz w:val="21"/>
          <w:szCs w:val="21"/>
          <w:highlight w:val="none"/>
        </w:rPr>
        <w:t>本次招标公告同时在</w:t>
      </w:r>
      <w:r>
        <w:rPr>
          <w:rFonts w:hint="eastAsia" w:ascii="宋体" w:hAnsi="宋体" w:eastAsia="宋体" w:cs="宋体"/>
          <w:color w:val="auto"/>
          <w:spacing w:val="0"/>
          <w:position w:val="0"/>
          <w:sz w:val="21"/>
          <w:szCs w:val="21"/>
          <w:highlight w:val="none"/>
          <w:u w:val="single"/>
        </w:rPr>
        <w:t>嵊州市</w:t>
      </w:r>
      <w:r>
        <w:rPr>
          <w:rFonts w:hint="eastAsia" w:ascii="宋体" w:hAnsi="宋体" w:eastAsia="宋体" w:cs="宋体"/>
          <w:color w:val="auto"/>
          <w:spacing w:val="0"/>
          <w:position w:val="0"/>
          <w:sz w:val="21"/>
          <w:szCs w:val="21"/>
          <w:highlight w:val="none"/>
          <w:u w:val="single"/>
          <w:lang w:val="en-US" w:eastAsia="zh-CN"/>
        </w:rPr>
        <w:t>人民政府门户网站</w:t>
      </w:r>
      <w:r>
        <w:rPr>
          <w:rFonts w:hint="eastAsia" w:ascii="宋体" w:hAnsi="宋体" w:eastAsia="宋体" w:cs="宋体"/>
          <w:color w:val="auto"/>
          <w:spacing w:val="0"/>
          <w:position w:val="0"/>
          <w:sz w:val="21"/>
          <w:szCs w:val="21"/>
          <w:highlight w:val="none"/>
          <w:u w:val="single"/>
        </w:rPr>
        <w:t>公共资源交易</w:t>
      </w:r>
      <w:r>
        <w:rPr>
          <w:rFonts w:hint="eastAsia" w:ascii="宋体" w:hAnsi="宋体" w:eastAsia="宋体" w:cs="宋体"/>
          <w:color w:val="auto"/>
          <w:spacing w:val="0"/>
          <w:position w:val="0"/>
          <w:sz w:val="21"/>
          <w:szCs w:val="21"/>
          <w:highlight w:val="none"/>
          <w:u w:val="single"/>
          <w:lang w:val="en-US" w:eastAsia="zh-CN"/>
        </w:rPr>
        <w:t>平台</w:t>
      </w:r>
      <w:r>
        <w:rPr>
          <w:rFonts w:hint="eastAsia" w:ascii="宋体" w:hAnsi="宋体" w:eastAsia="宋体" w:cs="宋体"/>
          <w:color w:val="auto"/>
          <w:spacing w:val="13"/>
          <w:sz w:val="21"/>
          <w:szCs w:val="21"/>
          <w:highlight w:val="none"/>
          <w:u w:val="single"/>
          <w:lang w:eastAsia="zh-CN"/>
        </w:rPr>
        <w:t>（http://www.szzj.gov.cn/）</w:t>
      </w:r>
      <w:r>
        <w:rPr>
          <w:rFonts w:hint="eastAsia" w:ascii="宋体" w:hAnsi="宋体" w:eastAsia="宋体" w:cs="宋体"/>
          <w:color w:val="auto"/>
          <w:spacing w:val="0"/>
          <w:position w:val="0"/>
          <w:sz w:val="21"/>
          <w:szCs w:val="21"/>
          <w:highlight w:val="none"/>
        </w:rPr>
        <w:t>上发布</w:t>
      </w:r>
      <w:r>
        <w:rPr>
          <w:rFonts w:hint="eastAsia" w:ascii="宋体" w:hAnsi="宋体" w:eastAsia="宋体" w:cs="宋体"/>
          <w:color w:val="auto"/>
          <w:spacing w:val="0"/>
          <w:position w:val="0"/>
          <w:sz w:val="21"/>
          <w:szCs w:val="21"/>
          <w:highlight w:val="none"/>
          <w:lang w:eastAsia="zh-CN"/>
        </w:rPr>
        <w:t>。</w:t>
      </w:r>
    </w:p>
    <w:p>
      <w:pPr>
        <w:keepNext w:val="0"/>
        <w:keepLines w:val="0"/>
        <w:pageBreakBefore w:val="0"/>
        <w:widowControl/>
        <w:numPr>
          <w:ilvl w:val="0"/>
          <w:numId w:val="2"/>
        </w:numPr>
        <w:wordWrap/>
        <w:overflowPunct/>
        <w:topLinePunct w:val="0"/>
        <w:bidi w:val="0"/>
        <w:spacing w:before="101" w:line="500" w:lineRule="exact"/>
        <w:ind w:left="74" w:leftChars="0" w:firstLine="0" w:firstLineChars="0"/>
        <w:outlineLvl w:val="9"/>
        <w:rPr>
          <w:rFonts w:hint="eastAsia" w:ascii="宋体" w:hAnsi="宋体" w:eastAsia="宋体" w:cs="宋体"/>
          <w:b/>
          <w:bCs/>
          <w:color w:val="auto"/>
          <w:spacing w:val="0"/>
          <w:position w:val="0"/>
          <w:sz w:val="24"/>
          <w:szCs w:val="24"/>
          <w:highlight w:val="none"/>
          <w:lang w:eastAsia="zh-CN"/>
        </w:rPr>
      </w:pPr>
      <w:bookmarkStart w:id="31" w:name="_Toc4559"/>
      <w:bookmarkStart w:id="32" w:name="_Toc13217"/>
      <w:r>
        <w:rPr>
          <w:rFonts w:hint="eastAsia" w:ascii="宋体" w:hAnsi="宋体" w:eastAsia="宋体" w:cs="宋体"/>
          <w:b/>
          <w:bCs/>
          <w:color w:val="auto"/>
          <w:spacing w:val="0"/>
          <w:position w:val="0"/>
          <w:sz w:val="24"/>
          <w:szCs w:val="24"/>
          <w:highlight w:val="none"/>
        </w:rPr>
        <w:t>联系方式</w:t>
      </w:r>
      <w:bookmarkEnd w:id="31"/>
      <w:bookmarkEnd w:id="32"/>
    </w:p>
    <w:p>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default"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rPr>
        <w:t>招 标 人：</w:t>
      </w:r>
      <w:r>
        <w:rPr>
          <w:rFonts w:hint="eastAsia" w:ascii="宋体" w:hAnsi="宋体" w:eastAsia="宋体" w:cs="宋体"/>
          <w:color w:val="auto"/>
          <w:szCs w:val="21"/>
          <w:highlight w:val="none"/>
          <w:u w:val="single"/>
          <w:lang w:eastAsia="zh-CN"/>
        </w:rPr>
        <w:t>嵊州市交通投资发展集团有限公司</w:t>
      </w:r>
      <w:r>
        <w:rPr>
          <w:rFonts w:hint="eastAsia" w:ascii="宋体" w:hAnsi="宋体" w:eastAsia="宋体" w:cs="宋体"/>
          <w:color w:val="auto"/>
          <w:szCs w:val="21"/>
          <w:highlight w:val="none"/>
          <w:u w:val="none"/>
          <w:lang w:val="en-US" w:eastAsia="zh-CN"/>
        </w:rPr>
        <w:t xml:space="preserve">   </w:t>
      </w:r>
      <w:r>
        <w:rPr>
          <w:rFonts w:hint="eastAsia" w:ascii="宋体" w:hAnsi="宋体" w:eastAsia="宋体" w:cs="宋体"/>
          <w:color w:val="auto"/>
          <w:szCs w:val="21"/>
          <w:highlight w:val="none"/>
        </w:rPr>
        <w:t>招标代理机构：</w:t>
      </w:r>
      <w:r>
        <w:rPr>
          <w:rFonts w:hint="eastAsia" w:ascii="宋体" w:hAnsi="宋体" w:eastAsia="宋体" w:cs="宋体"/>
          <w:color w:val="auto"/>
          <w:szCs w:val="21"/>
          <w:highlight w:val="none"/>
          <w:u w:val="single"/>
          <w:lang w:val="en-US" w:eastAsia="zh-CN"/>
        </w:rPr>
        <w:t xml:space="preserve">浙江华耀建设咨询有限公司  </w:t>
      </w:r>
    </w:p>
    <w:p>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宋体" w:hAnsi="宋体" w:eastAsia="宋体" w:cs="宋体"/>
          <w:color w:val="auto"/>
          <w:szCs w:val="21"/>
          <w:highlight w:val="none"/>
          <w:lang w:val="en-US"/>
        </w:rPr>
      </w:pPr>
      <w:r>
        <w:rPr>
          <w:rFonts w:hint="eastAsia" w:ascii="宋体" w:hAnsi="宋体" w:eastAsia="宋体" w:cs="宋体"/>
          <w:color w:val="auto"/>
          <w:szCs w:val="21"/>
          <w:highlight w:val="none"/>
        </w:rPr>
        <w:t>地    址：</w:t>
      </w:r>
      <w:r>
        <w:rPr>
          <w:rFonts w:hint="eastAsia" w:ascii="宋体" w:hAnsi="宋体" w:eastAsia="宋体" w:cs="宋体"/>
          <w:color w:val="auto"/>
          <w:szCs w:val="21"/>
          <w:highlight w:val="none"/>
          <w:u w:val="single"/>
          <w:lang w:eastAsia="zh-CN"/>
        </w:rPr>
        <w:t>嵊州市浦口街道华发南路88号</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none"/>
          <w:lang w:val="en-US" w:eastAsia="zh-CN"/>
        </w:rPr>
        <w:t xml:space="preserve">   </w:t>
      </w:r>
      <w:r>
        <w:rPr>
          <w:rFonts w:hint="eastAsia" w:ascii="宋体" w:hAnsi="宋体" w:eastAsia="宋体" w:cs="宋体"/>
          <w:color w:val="auto"/>
          <w:szCs w:val="21"/>
          <w:highlight w:val="none"/>
        </w:rPr>
        <w:t>地        址：</w:t>
      </w:r>
      <w:r>
        <w:rPr>
          <w:rFonts w:hint="eastAsia" w:ascii="宋体" w:hAnsi="宋体" w:eastAsia="宋体" w:cs="宋体"/>
          <w:color w:val="auto"/>
          <w:szCs w:val="21"/>
          <w:highlight w:val="none"/>
          <w:u w:val="single"/>
          <w:lang w:eastAsia="zh-CN"/>
        </w:rPr>
        <w:t>嵊州市新悦路88号君悦大厦七楼</w:t>
      </w:r>
      <w:r>
        <w:rPr>
          <w:rFonts w:hint="eastAsia" w:ascii="宋体" w:hAnsi="宋体" w:eastAsia="宋体" w:cs="宋体"/>
          <w:color w:val="auto"/>
          <w:szCs w:val="21"/>
          <w:highlight w:val="none"/>
          <w:u w:val="single"/>
          <w:lang w:val="en-US" w:eastAsia="zh-CN"/>
        </w:rPr>
        <w:t xml:space="preserve">         </w:t>
      </w:r>
    </w:p>
    <w:p>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宋体" w:hAnsi="宋体" w:eastAsia="宋体" w:cs="宋体"/>
          <w:b/>
          <w:color w:val="auto"/>
          <w:spacing w:val="26"/>
          <w:szCs w:val="21"/>
          <w:highlight w:val="none"/>
          <w:u w:val="single"/>
        </w:rPr>
      </w:pPr>
      <w:r>
        <w:rPr>
          <w:rFonts w:hint="eastAsia" w:ascii="宋体" w:hAnsi="宋体" w:eastAsia="宋体" w:cs="宋体"/>
          <w:color w:val="auto"/>
          <w:szCs w:val="21"/>
          <w:highlight w:val="none"/>
        </w:rPr>
        <w:t>邮政编码：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eastAsia="zh-CN"/>
        </w:rPr>
        <w:t>312400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none"/>
          <w:lang w:val="en-US" w:eastAsia="zh-CN"/>
        </w:rPr>
        <w:t xml:space="preserve">     </w:t>
      </w:r>
      <w:r>
        <w:rPr>
          <w:rFonts w:hint="eastAsia" w:ascii="宋体" w:hAnsi="宋体" w:eastAsia="宋体" w:cs="宋体"/>
          <w:color w:val="auto"/>
          <w:szCs w:val="21"/>
          <w:highlight w:val="none"/>
        </w:rPr>
        <w:t>邮 政 编  码：</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lang w:eastAsia="zh-CN"/>
        </w:rPr>
        <w:t>312400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rPr>
        <w:t>联 系 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屠浙锋            </w:t>
      </w:r>
      <w:r>
        <w:rPr>
          <w:rFonts w:hint="eastAsia" w:ascii="宋体" w:hAnsi="宋体" w:eastAsia="宋体" w:cs="宋体"/>
          <w:color w:val="auto"/>
          <w:szCs w:val="21"/>
          <w:highlight w:val="none"/>
          <w:u w:val="none"/>
          <w:lang w:val="en-US" w:eastAsia="zh-CN"/>
        </w:rPr>
        <w:t xml:space="preserve">   </w:t>
      </w:r>
      <w:r>
        <w:rPr>
          <w:rFonts w:hint="eastAsia" w:ascii="宋体" w:hAnsi="宋体" w:eastAsia="宋体" w:cs="宋体"/>
          <w:color w:val="auto"/>
          <w:szCs w:val="21"/>
          <w:highlight w:val="none"/>
        </w:rPr>
        <w:t>联   系   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黄平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p>
    <w:p>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    话：</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0575-83298607          </w:t>
      </w:r>
      <w:r>
        <w:rPr>
          <w:rFonts w:hint="eastAsia" w:ascii="宋体" w:hAnsi="宋体" w:eastAsia="宋体" w:cs="宋体"/>
          <w:color w:val="auto"/>
          <w:szCs w:val="21"/>
          <w:highlight w:val="none"/>
          <w:u w:val="none"/>
          <w:lang w:val="en-US" w:eastAsia="zh-CN"/>
        </w:rPr>
        <w:t xml:space="preserve">  </w:t>
      </w:r>
      <w:r>
        <w:rPr>
          <w:rFonts w:hint="eastAsia" w:ascii="宋体" w:hAnsi="宋体" w:eastAsia="宋体" w:cs="宋体"/>
          <w:color w:val="auto"/>
          <w:szCs w:val="21"/>
          <w:highlight w:val="none"/>
        </w:rPr>
        <w:t>电        话：</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0575-81392050            </w:t>
      </w:r>
      <w:r>
        <w:rPr>
          <w:rFonts w:hint="eastAsia" w:ascii="宋体" w:hAnsi="宋体" w:eastAsia="宋体" w:cs="宋体"/>
          <w:color w:val="auto"/>
          <w:szCs w:val="21"/>
          <w:highlight w:val="none"/>
          <w:u w:val="single"/>
        </w:rPr>
        <w:t xml:space="preserve">      </w:t>
      </w:r>
    </w:p>
    <w:p>
      <w:pPr>
        <w:keepNext w:val="0"/>
        <w:keepLines w:val="0"/>
        <w:pageBreakBefore w:val="0"/>
        <w:widowControl/>
        <w:wordWrap/>
        <w:overflowPunct/>
        <w:topLinePunct w:val="0"/>
        <w:bidi w:val="0"/>
        <w:spacing w:line="500" w:lineRule="exact"/>
        <w:jc w:val="right"/>
        <w:rPr>
          <w:rFonts w:hint="eastAsia" w:ascii="宋体" w:hAnsi="宋体" w:eastAsia="宋体" w:cs="宋体"/>
          <w:b/>
          <w:bCs/>
          <w:color w:val="auto"/>
          <w:spacing w:val="13"/>
          <w:sz w:val="40"/>
          <w:szCs w:val="40"/>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202</w:t>
      </w:r>
      <w:r>
        <w:rPr>
          <w:rFonts w:hint="eastAsia" w:ascii="宋体" w:hAnsi="宋体" w:eastAsia="宋体" w:cs="宋体"/>
          <w:color w:val="auto"/>
          <w:szCs w:val="21"/>
          <w:highlight w:val="none"/>
          <w:u w:val="single"/>
          <w:lang w:val="en-US" w:eastAsia="zh-CN"/>
        </w:rPr>
        <w:t xml:space="preserve">3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 xml:space="preserve">  5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val="en-US" w:eastAsia="zh-CN"/>
        </w:rPr>
        <w:t xml:space="preserve"> 26 </w:t>
      </w:r>
      <w:r>
        <w:rPr>
          <w:rFonts w:hint="eastAsia" w:ascii="宋体" w:hAnsi="宋体" w:eastAsia="宋体" w:cs="宋体"/>
          <w:color w:val="auto"/>
          <w:szCs w:val="21"/>
          <w:highlight w:val="none"/>
        </w:rPr>
        <w:t>日</w:t>
      </w:r>
      <w:bookmarkStart w:id="33" w:name="_bookmark23"/>
      <w:bookmarkEnd w:id="33"/>
      <w:bookmarkStart w:id="34" w:name="_bookmark24"/>
      <w:bookmarkEnd w:id="34"/>
    </w:p>
    <w:p>
      <w:pPr>
        <w:spacing w:before="318" w:line="227" w:lineRule="auto"/>
        <w:ind w:left="3365"/>
        <w:rPr>
          <w:rFonts w:hint="eastAsia" w:ascii="宋体" w:hAnsi="宋体" w:eastAsia="宋体" w:cs="宋体"/>
          <w:b/>
          <w:bCs/>
          <w:color w:val="auto"/>
          <w:sz w:val="40"/>
          <w:szCs w:val="40"/>
          <w:highlight w:val="none"/>
        </w:rPr>
      </w:pPr>
      <w:r>
        <w:rPr>
          <w:rFonts w:hint="eastAsia" w:ascii="宋体" w:hAnsi="宋体" w:eastAsia="宋体" w:cs="宋体"/>
          <w:b/>
          <w:bCs/>
          <w:color w:val="auto"/>
          <w:spacing w:val="13"/>
          <w:sz w:val="40"/>
          <w:szCs w:val="40"/>
          <w:highlight w:val="none"/>
        </w:rPr>
        <w:t>第</w:t>
      </w:r>
      <w:r>
        <w:rPr>
          <w:rFonts w:hint="eastAsia" w:ascii="宋体" w:hAnsi="宋体" w:eastAsia="宋体" w:cs="宋体"/>
          <w:b/>
          <w:bCs/>
          <w:color w:val="auto"/>
          <w:spacing w:val="7"/>
          <w:sz w:val="40"/>
          <w:szCs w:val="40"/>
          <w:highlight w:val="none"/>
        </w:rPr>
        <w:t>二章 投标人须知</w:t>
      </w:r>
    </w:p>
    <w:p>
      <w:pPr>
        <w:spacing w:before="101" w:line="408" w:lineRule="exact"/>
        <w:ind w:left="129"/>
        <w:outlineLvl w:val="1"/>
        <w:rPr>
          <w:color w:val="auto"/>
          <w:highlight w:val="none"/>
        </w:rPr>
      </w:pPr>
      <w:bookmarkStart w:id="35" w:name="_Toc16187"/>
      <w:r>
        <w:rPr>
          <w:rFonts w:ascii="黑体" w:hAnsi="黑体" w:eastAsia="黑体" w:cs="黑体"/>
          <w:color w:val="auto"/>
          <w:spacing w:val="8"/>
          <w:sz w:val="28"/>
          <w:szCs w:val="28"/>
          <w:highlight w:val="none"/>
        </w:rPr>
        <w:t>投标人须知前附表</w:t>
      </w:r>
      <w:bookmarkEnd w:id="35"/>
    </w:p>
    <w:p>
      <w:pPr>
        <w:spacing w:line="68" w:lineRule="auto"/>
        <w:rPr>
          <w:rFonts w:ascii="Arial"/>
          <w:color w:val="auto"/>
          <w:sz w:val="2"/>
          <w:highlight w:val="none"/>
        </w:rPr>
      </w:pPr>
    </w:p>
    <w:tbl>
      <w:tblPr>
        <w:tblStyle w:val="19"/>
        <w:tblW w:w="9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6"/>
        <w:gridCol w:w="1982"/>
        <w:gridCol w:w="6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9" w:type="dxa"/>
            <w:vAlign w:val="top"/>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b w:val="0"/>
                <w:bCs w:val="0"/>
                <w:color w:val="auto"/>
                <w:sz w:val="22"/>
                <w:szCs w:val="22"/>
                <w:highlight w:val="none"/>
                <w:vertAlign w:val="baseline"/>
              </w:rPr>
            </w:pPr>
            <w:r>
              <w:rPr>
                <w:rFonts w:hint="eastAsia" w:ascii="宋体" w:hAnsi="宋体" w:eastAsia="宋体" w:cs="宋体"/>
                <w:b w:val="0"/>
                <w:bCs w:val="0"/>
                <w:color w:val="auto"/>
                <w:spacing w:val="7"/>
                <w:sz w:val="22"/>
                <w:szCs w:val="22"/>
                <w:highlight w:val="none"/>
                <w14:textOutline w14:w="3788" w14:cap="flat" w14:cmpd="sng">
                  <w14:solidFill>
                    <w14:srgbClr w14:val="000000"/>
                  </w14:solidFill>
                  <w14:prstDash w14:val="solid"/>
                  <w14:miter w14:val="0"/>
                </w14:textOutline>
              </w:rPr>
              <w:t>条款号</w:t>
            </w:r>
          </w:p>
        </w:tc>
        <w:tc>
          <w:tcPr>
            <w:tcW w:w="2205" w:type="dxa"/>
            <w:vAlign w:val="top"/>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b w:val="0"/>
                <w:bCs w:val="0"/>
                <w:color w:val="auto"/>
                <w:sz w:val="22"/>
                <w:szCs w:val="22"/>
                <w:highlight w:val="none"/>
                <w:vertAlign w:val="baseline"/>
              </w:rPr>
            </w:pPr>
            <w:r>
              <w:rPr>
                <w:rFonts w:hint="eastAsia" w:ascii="宋体" w:hAnsi="宋体" w:eastAsia="宋体" w:cs="宋体"/>
                <w:b w:val="0"/>
                <w:bCs w:val="0"/>
                <w:color w:val="auto"/>
                <w:spacing w:val="8"/>
                <w:sz w:val="22"/>
                <w:szCs w:val="22"/>
                <w:highlight w:val="none"/>
                <w14:textOutline w14:w="3788" w14:cap="flat" w14:cmpd="sng">
                  <w14:solidFill>
                    <w14:srgbClr w14:val="000000"/>
                  </w14:solidFill>
                  <w14:prstDash w14:val="solid"/>
                  <w14:miter w14:val="0"/>
                </w14:textOutline>
              </w:rPr>
              <w:t>条</w:t>
            </w:r>
            <w:r>
              <w:rPr>
                <w:rFonts w:hint="eastAsia" w:ascii="宋体" w:hAnsi="宋体" w:eastAsia="宋体" w:cs="宋体"/>
                <w:b w:val="0"/>
                <w:bCs w:val="0"/>
                <w:color w:val="auto"/>
                <w:spacing w:val="6"/>
                <w:sz w:val="22"/>
                <w:szCs w:val="22"/>
                <w:highlight w:val="none"/>
              </w:rPr>
              <w:t xml:space="preserve"> </w:t>
            </w:r>
            <w:r>
              <w:rPr>
                <w:rFonts w:hint="eastAsia" w:ascii="宋体" w:hAnsi="宋体" w:eastAsia="宋体" w:cs="宋体"/>
                <w:b w:val="0"/>
                <w:bCs w:val="0"/>
                <w:color w:val="auto"/>
                <w:spacing w:val="6"/>
                <w:sz w:val="22"/>
                <w:szCs w:val="22"/>
                <w:highlight w:val="none"/>
                <w14:textOutline w14:w="3788" w14:cap="flat" w14:cmpd="sng">
                  <w14:solidFill>
                    <w14:srgbClr w14:val="000000"/>
                  </w14:solidFill>
                  <w14:prstDash w14:val="solid"/>
                  <w14:miter w14:val="0"/>
                </w14:textOutline>
              </w:rPr>
              <w:t>款</w:t>
            </w:r>
            <w:r>
              <w:rPr>
                <w:rFonts w:hint="eastAsia" w:ascii="宋体" w:hAnsi="宋体" w:eastAsia="宋体" w:cs="宋体"/>
                <w:b w:val="0"/>
                <w:bCs w:val="0"/>
                <w:color w:val="auto"/>
                <w:spacing w:val="6"/>
                <w:sz w:val="22"/>
                <w:szCs w:val="22"/>
                <w:highlight w:val="none"/>
              </w:rPr>
              <w:t xml:space="preserve"> </w:t>
            </w:r>
            <w:r>
              <w:rPr>
                <w:rFonts w:hint="eastAsia" w:ascii="宋体" w:hAnsi="宋体" w:eastAsia="宋体" w:cs="宋体"/>
                <w:b w:val="0"/>
                <w:bCs w:val="0"/>
                <w:color w:val="auto"/>
                <w:spacing w:val="6"/>
                <w:sz w:val="22"/>
                <w:szCs w:val="22"/>
                <w:highlight w:val="none"/>
                <w14:textOutline w14:w="3788" w14:cap="flat" w14:cmpd="sng">
                  <w14:solidFill>
                    <w14:srgbClr w14:val="000000"/>
                  </w14:solidFill>
                  <w14:prstDash w14:val="solid"/>
                  <w14:miter w14:val="0"/>
                </w14:textOutline>
              </w:rPr>
              <w:t>名</w:t>
            </w:r>
            <w:r>
              <w:rPr>
                <w:rFonts w:hint="eastAsia" w:ascii="宋体" w:hAnsi="宋体" w:eastAsia="宋体" w:cs="宋体"/>
                <w:b w:val="0"/>
                <w:bCs w:val="0"/>
                <w:color w:val="auto"/>
                <w:spacing w:val="6"/>
                <w:sz w:val="22"/>
                <w:szCs w:val="22"/>
                <w:highlight w:val="none"/>
              </w:rPr>
              <w:t xml:space="preserve"> </w:t>
            </w:r>
            <w:r>
              <w:rPr>
                <w:rFonts w:hint="eastAsia" w:ascii="宋体" w:hAnsi="宋体" w:eastAsia="宋体" w:cs="宋体"/>
                <w:b w:val="0"/>
                <w:bCs w:val="0"/>
                <w:color w:val="auto"/>
                <w:spacing w:val="6"/>
                <w:sz w:val="22"/>
                <w:szCs w:val="22"/>
                <w:highlight w:val="none"/>
                <w14:textOutline w14:w="3788" w14:cap="flat" w14:cmpd="sng">
                  <w14:solidFill>
                    <w14:srgbClr w14:val="000000"/>
                  </w14:solidFill>
                  <w14:prstDash w14:val="solid"/>
                  <w14:miter w14:val="0"/>
                </w14:textOutline>
              </w:rPr>
              <w:t>称</w:t>
            </w:r>
          </w:p>
        </w:tc>
        <w:tc>
          <w:tcPr>
            <w:tcW w:w="6138" w:type="dxa"/>
            <w:vAlign w:val="top"/>
          </w:tcPr>
          <w:p>
            <w:pPr>
              <w:keepNext w:val="0"/>
              <w:keepLines w:val="0"/>
              <w:pageBreakBefore w:val="0"/>
              <w:widowControl w:val="0"/>
              <w:wordWrap/>
              <w:overflowPunct/>
              <w:topLinePunct w:val="0"/>
              <w:bidi w:val="0"/>
              <w:spacing w:line="340" w:lineRule="exact"/>
              <w:ind w:left="0" w:leftChars="0" w:right="0" w:rightChars="0"/>
              <w:jc w:val="center"/>
              <w:rPr>
                <w:rFonts w:hint="eastAsia" w:ascii="宋体" w:hAnsi="宋体" w:eastAsia="宋体" w:cs="宋体"/>
                <w:b w:val="0"/>
                <w:bCs w:val="0"/>
                <w:color w:val="auto"/>
                <w:sz w:val="22"/>
                <w:szCs w:val="22"/>
                <w:highlight w:val="none"/>
                <w:vertAlign w:val="baseline"/>
              </w:rPr>
            </w:pPr>
            <w:r>
              <w:rPr>
                <w:rFonts w:hint="eastAsia" w:ascii="宋体" w:hAnsi="宋体" w:eastAsia="宋体" w:cs="宋体"/>
                <w:b w:val="0"/>
                <w:bCs w:val="0"/>
                <w:color w:val="auto"/>
                <w:spacing w:val="10"/>
                <w:sz w:val="22"/>
                <w:szCs w:val="22"/>
                <w:highlight w:val="none"/>
                <w14:textOutline w14:w="3788" w14:cap="flat" w14:cmpd="sng">
                  <w14:solidFill>
                    <w14:srgbClr w14:val="000000"/>
                  </w14:solidFill>
                  <w14:prstDash w14:val="solid"/>
                  <w14:miter w14:val="0"/>
                </w14:textOutline>
              </w:rPr>
              <w:t>编</w:t>
            </w:r>
            <w:r>
              <w:rPr>
                <w:rFonts w:hint="eastAsia" w:ascii="宋体" w:hAnsi="宋体" w:eastAsia="宋体" w:cs="宋体"/>
                <w:b w:val="0"/>
                <w:bCs w:val="0"/>
                <w:color w:val="auto"/>
                <w:spacing w:val="6"/>
                <w:sz w:val="22"/>
                <w:szCs w:val="22"/>
                <w:highlight w:val="none"/>
              </w:rPr>
              <w:t xml:space="preserve"> </w:t>
            </w:r>
            <w:r>
              <w:rPr>
                <w:rFonts w:hint="eastAsia" w:ascii="宋体" w:hAnsi="宋体" w:eastAsia="宋体" w:cs="宋体"/>
                <w:b w:val="0"/>
                <w:bCs w:val="0"/>
                <w:color w:val="auto"/>
                <w:spacing w:val="6"/>
                <w:sz w:val="22"/>
                <w:szCs w:val="22"/>
                <w:highlight w:val="none"/>
                <w14:textOutline w14:w="3788" w14:cap="flat" w14:cmpd="sng">
                  <w14:solidFill>
                    <w14:srgbClr w14:val="000000"/>
                  </w14:solidFill>
                  <w14:prstDash w14:val="solid"/>
                  <w14:miter w14:val="0"/>
                </w14:textOutline>
              </w:rPr>
              <w:t>列</w:t>
            </w:r>
            <w:r>
              <w:rPr>
                <w:rFonts w:hint="eastAsia" w:ascii="宋体" w:hAnsi="宋体" w:eastAsia="宋体" w:cs="宋体"/>
                <w:b w:val="0"/>
                <w:bCs w:val="0"/>
                <w:color w:val="auto"/>
                <w:spacing w:val="6"/>
                <w:sz w:val="22"/>
                <w:szCs w:val="22"/>
                <w:highlight w:val="none"/>
              </w:rPr>
              <w:t xml:space="preserve"> </w:t>
            </w:r>
            <w:r>
              <w:rPr>
                <w:rFonts w:hint="eastAsia" w:ascii="宋体" w:hAnsi="宋体" w:eastAsia="宋体" w:cs="宋体"/>
                <w:b w:val="0"/>
                <w:bCs w:val="0"/>
                <w:color w:val="auto"/>
                <w:spacing w:val="6"/>
                <w:sz w:val="22"/>
                <w:szCs w:val="22"/>
                <w:highlight w:val="none"/>
                <w14:textOutline w14:w="3788" w14:cap="flat" w14:cmpd="sng">
                  <w14:solidFill>
                    <w14:srgbClr w14:val="000000"/>
                  </w14:solidFill>
                  <w14:prstDash w14:val="solid"/>
                  <w14:miter w14:val="0"/>
                </w14:textOutline>
              </w:rPr>
              <w:t>内</w:t>
            </w:r>
            <w:r>
              <w:rPr>
                <w:rFonts w:hint="eastAsia" w:ascii="宋体" w:hAnsi="宋体" w:eastAsia="宋体" w:cs="宋体"/>
                <w:b w:val="0"/>
                <w:bCs w:val="0"/>
                <w:color w:val="auto"/>
                <w:spacing w:val="6"/>
                <w:sz w:val="22"/>
                <w:szCs w:val="22"/>
                <w:highlight w:val="none"/>
              </w:rPr>
              <w:t xml:space="preserve"> </w:t>
            </w:r>
            <w:r>
              <w:rPr>
                <w:rFonts w:hint="eastAsia" w:ascii="宋体" w:hAnsi="宋体" w:eastAsia="宋体" w:cs="宋体"/>
                <w:b w:val="0"/>
                <w:bCs w:val="0"/>
                <w:color w:val="auto"/>
                <w:spacing w:val="6"/>
                <w:sz w:val="22"/>
                <w:szCs w:val="22"/>
                <w:highlight w:val="none"/>
                <w14:textOutline w14:w="3788" w14:cap="flat" w14:cmpd="sng">
                  <w14:solidFill>
                    <w14:srgbClr w14:val="000000"/>
                  </w14:solidFill>
                  <w14:prstDash w14:val="solid"/>
                  <w14:miter w14:val="0"/>
                </w14:textOutline>
              </w:rPr>
              <w:t>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9" w:type="dxa"/>
            <w:vAlign w:val="center"/>
          </w:tcPr>
          <w:p>
            <w:pPr>
              <w:keepNext w:val="0"/>
              <w:keepLines w:val="0"/>
              <w:pageBreakBefore w:val="0"/>
              <w:widowControl w:val="0"/>
              <w:wordWrap/>
              <w:overflowPunct/>
              <w:topLinePunct w:val="0"/>
              <w:bidi w:val="0"/>
              <w:spacing w:line="360" w:lineRule="exact"/>
              <w:ind w:right="0" w:rightChars="0" w:firstLine="188" w:firstLineChars="10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1"/>
                <w:sz w:val="21"/>
                <w:szCs w:val="21"/>
                <w:highlight w:val="none"/>
              </w:rPr>
              <w:t>1</w:t>
            </w:r>
            <w:r>
              <w:rPr>
                <w:rFonts w:hint="eastAsia" w:ascii="宋体" w:hAnsi="宋体" w:eastAsia="宋体" w:cs="宋体"/>
                <w:color w:val="auto"/>
                <w:spacing w:val="-8"/>
                <w:sz w:val="21"/>
                <w:szCs w:val="21"/>
                <w:highlight w:val="none"/>
              </w:rPr>
              <w:t>. 1.2</w:t>
            </w:r>
          </w:p>
        </w:tc>
        <w:tc>
          <w:tcPr>
            <w:tcW w:w="2205"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7"/>
                <w:sz w:val="21"/>
                <w:szCs w:val="21"/>
                <w:highlight w:val="none"/>
              </w:rPr>
              <w:t>招</w:t>
            </w:r>
            <w:r>
              <w:rPr>
                <w:rFonts w:hint="eastAsia" w:ascii="宋体" w:hAnsi="宋体" w:eastAsia="宋体" w:cs="宋体"/>
                <w:color w:val="auto"/>
                <w:spacing w:val="6"/>
                <w:sz w:val="21"/>
                <w:szCs w:val="21"/>
                <w:highlight w:val="none"/>
              </w:rPr>
              <w:t>标人</w:t>
            </w:r>
          </w:p>
        </w:tc>
        <w:tc>
          <w:tcPr>
            <w:tcW w:w="6138" w:type="dxa"/>
            <w:vAlign w:val="top"/>
          </w:tcPr>
          <w:p>
            <w:pPr>
              <w:keepNext w:val="0"/>
              <w:keepLines w:val="0"/>
              <w:pageBreakBefore w:val="0"/>
              <w:widowControl w:val="0"/>
              <w:wordWrap/>
              <w:overflowPunct/>
              <w:topLinePunct w:val="0"/>
              <w:bidi w:val="0"/>
              <w:spacing w:line="340" w:lineRule="exact"/>
              <w:ind w:left="0" w:right="0"/>
              <w:jc w:val="left"/>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rPr>
              <w:t>名  称：</w:t>
            </w:r>
            <w:r>
              <w:rPr>
                <w:rFonts w:hint="eastAsia" w:ascii="宋体" w:hAnsi="宋体" w:eastAsia="宋体" w:cs="宋体"/>
                <w:color w:val="auto"/>
                <w:sz w:val="21"/>
                <w:szCs w:val="21"/>
                <w:highlight w:val="none"/>
                <w:u w:val="none"/>
                <w:lang w:eastAsia="zh-CN"/>
              </w:rPr>
              <w:t>嵊州市交通投资发展集团有限公司</w:t>
            </w:r>
          </w:p>
          <w:p>
            <w:pPr>
              <w:keepNext w:val="0"/>
              <w:keepLines w:val="0"/>
              <w:pageBreakBefore w:val="0"/>
              <w:widowControl w:val="0"/>
              <w:wordWrap/>
              <w:overflowPunct/>
              <w:topLinePunct w:val="0"/>
              <w:bidi w:val="0"/>
              <w:spacing w:line="340" w:lineRule="exact"/>
              <w:ind w:left="0" w:right="0"/>
              <w:jc w:val="left"/>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rPr>
              <w:t>地  址：</w:t>
            </w:r>
            <w:r>
              <w:rPr>
                <w:rFonts w:hint="eastAsia" w:ascii="宋体" w:hAnsi="宋体" w:eastAsia="宋体" w:cs="宋体"/>
                <w:color w:val="auto"/>
                <w:sz w:val="21"/>
                <w:szCs w:val="21"/>
                <w:highlight w:val="none"/>
                <w:u w:val="none"/>
                <w:lang w:eastAsia="zh-CN"/>
              </w:rPr>
              <w:t>嵊州市浦口街道华发南路88号</w:t>
            </w:r>
          </w:p>
          <w:p>
            <w:pPr>
              <w:keepNext w:val="0"/>
              <w:keepLines w:val="0"/>
              <w:pageBreakBefore w:val="0"/>
              <w:widowControl w:val="0"/>
              <w:wordWrap/>
              <w:overflowPunct/>
              <w:topLinePunct w:val="0"/>
              <w:bidi w:val="0"/>
              <w:spacing w:line="340" w:lineRule="exact"/>
              <w:ind w:left="0" w:right="0"/>
              <w:jc w:val="left"/>
              <w:rPr>
                <w:rFonts w:hint="eastAsia" w:ascii="宋体" w:hAnsi="宋体" w:eastAsia="宋体" w:cs="宋体"/>
                <w:color w:val="auto"/>
                <w:sz w:val="21"/>
                <w:szCs w:val="21"/>
                <w:highlight w:val="none"/>
                <w:u w:val="none"/>
              </w:rPr>
            </w:pPr>
            <w:r>
              <w:rPr>
                <w:rFonts w:hint="eastAsia" w:ascii="宋体" w:hAnsi="宋体" w:eastAsia="宋体" w:cs="宋体"/>
                <w:b w:val="0"/>
                <w:bCs w:val="0"/>
                <w:color w:val="auto"/>
                <w:kern w:val="2"/>
                <w:sz w:val="21"/>
                <w:szCs w:val="21"/>
                <w:highlight w:val="none"/>
              </w:rPr>
              <w:t>邮政编码：312400</w:t>
            </w:r>
          </w:p>
          <w:p>
            <w:pPr>
              <w:keepNext w:val="0"/>
              <w:keepLines w:val="0"/>
              <w:pageBreakBefore w:val="0"/>
              <w:widowControl w:val="0"/>
              <w:wordWrap/>
              <w:overflowPunct/>
              <w:topLinePunct w:val="0"/>
              <w:bidi w:val="0"/>
              <w:spacing w:line="340" w:lineRule="exact"/>
              <w:ind w:left="0" w:right="0"/>
              <w:jc w:val="left"/>
              <w:rPr>
                <w:rFonts w:hint="eastAsia" w:ascii="宋体" w:hAnsi="宋体" w:eastAsia="宋体" w:cs="宋体"/>
                <w:color w:val="auto"/>
                <w:sz w:val="21"/>
                <w:szCs w:val="21"/>
                <w:highlight w:val="none"/>
                <w:u w:val="none"/>
                <w:lang w:val="en-US"/>
              </w:rPr>
            </w:pPr>
            <w:r>
              <w:rPr>
                <w:rFonts w:hint="eastAsia" w:ascii="宋体" w:hAnsi="宋体" w:eastAsia="宋体" w:cs="宋体"/>
                <w:color w:val="auto"/>
                <w:sz w:val="21"/>
                <w:szCs w:val="21"/>
                <w:highlight w:val="none"/>
                <w:u w:val="none"/>
              </w:rPr>
              <w:t>联系人：</w:t>
            </w:r>
            <w:r>
              <w:rPr>
                <w:rFonts w:hint="eastAsia" w:ascii="宋体" w:hAnsi="宋体" w:eastAsia="宋体" w:cs="宋体"/>
                <w:color w:val="auto"/>
                <w:sz w:val="21"/>
                <w:szCs w:val="21"/>
                <w:highlight w:val="none"/>
                <w:u w:val="none"/>
                <w:lang w:val="en-US" w:eastAsia="zh-CN"/>
              </w:rPr>
              <w:t xml:space="preserve">屠浙锋    </w:t>
            </w:r>
          </w:p>
          <w:p>
            <w:pPr>
              <w:keepNext w:val="0"/>
              <w:keepLines w:val="0"/>
              <w:pageBreakBefore w:val="0"/>
              <w:widowControl w:val="0"/>
              <w:wordWrap/>
              <w:overflowPunct/>
              <w:topLinePunct w:val="0"/>
              <w:bidi w:val="0"/>
              <w:spacing w:line="340" w:lineRule="exact"/>
              <w:ind w:left="0" w:leftChars="0" w:right="0" w:rightChars="0"/>
              <w:jc w:val="left"/>
              <w:rPr>
                <w:rFonts w:hint="eastAsia" w:ascii="宋体" w:hAnsi="宋体" w:eastAsia="宋体" w:cs="宋体"/>
                <w:color w:val="auto"/>
                <w:sz w:val="21"/>
                <w:szCs w:val="21"/>
                <w:highlight w:val="none"/>
                <w:u w:val="none"/>
                <w:vertAlign w:val="baseline"/>
                <w:lang w:val="en-US"/>
              </w:rPr>
            </w:pPr>
            <w:r>
              <w:rPr>
                <w:rFonts w:hint="eastAsia" w:ascii="宋体" w:hAnsi="宋体" w:eastAsia="宋体" w:cs="宋体"/>
                <w:color w:val="auto"/>
                <w:sz w:val="21"/>
                <w:szCs w:val="21"/>
                <w:highlight w:val="none"/>
                <w:u w:val="none"/>
              </w:rPr>
              <w:t>电  话：</w:t>
            </w:r>
            <w:r>
              <w:rPr>
                <w:rFonts w:hint="eastAsia" w:ascii="宋体" w:hAnsi="宋体" w:eastAsia="宋体" w:cs="宋体"/>
                <w:color w:val="auto"/>
                <w:sz w:val="21"/>
                <w:szCs w:val="21"/>
                <w:highlight w:val="none"/>
                <w:u w:val="none"/>
                <w:lang w:val="en-US" w:eastAsia="zh-CN"/>
              </w:rPr>
              <w:t xml:space="preserve">0575-83298607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1179" w:type="dxa"/>
            <w:vAlign w:val="center"/>
          </w:tcPr>
          <w:p>
            <w:pPr>
              <w:keepNext w:val="0"/>
              <w:keepLines w:val="0"/>
              <w:pageBreakBefore w:val="0"/>
              <w:widowControl w:val="0"/>
              <w:wordWrap/>
              <w:overflowPunct/>
              <w:topLinePunct w:val="0"/>
              <w:bidi w:val="0"/>
              <w:spacing w:line="360" w:lineRule="exact"/>
              <w:ind w:left="0" w:right="0"/>
              <w:jc w:val="center"/>
              <w:rPr>
                <w:rFonts w:hint="eastAsia" w:ascii="宋体" w:hAnsi="宋体" w:eastAsia="宋体" w:cs="宋体"/>
                <w:color w:val="auto"/>
                <w:sz w:val="21"/>
                <w:szCs w:val="21"/>
                <w:highlight w:val="none"/>
              </w:rPr>
            </w:pPr>
          </w:p>
          <w:p>
            <w:pPr>
              <w:keepNext w:val="0"/>
              <w:keepLines w:val="0"/>
              <w:pageBreakBefore w:val="0"/>
              <w:widowControl w:val="0"/>
              <w:wordWrap/>
              <w:overflowPunct/>
              <w:topLinePunct w:val="0"/>
              <w:bidi w:val="0"/>
              <w:spacing w:line="360" w:lineRule="exact"/>
              <w:ind w:right="0" w:rightChars="0" w:firstLine="188" w:firstLineChars="10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1"/>
                <w:sz w:val="21"/>
                <w:szCs w:val="21"/>
                <w:highlight w:val="none"/>
              </w:rPr>
              <w:t>1</w:t>
            </w:r>
            <w:r>
              <w:rPr>
                <w:rFonts w:hint="eastAsia" w:ascii="宋体" w:hAnsi="宋体" w:eastAsia="宋体" w:cs="宋体"/>
                <w:color w:val="auto"/>
                <w:spacing w:val="-8"/>
                <w:sz w:val="21"/>
                <w:szCs w:val="21"/>
                <w:highlight w:val="none"/>
              </w:rPr>
              <w:t>. 1.3</w:t>
            </w:r>
          </w:p>
        </w:tc>
        <w:tc>
          <w:tcPr>
            <w:tcW w:w="2205" w:type="dxa"/>
            <w:vAlign w:val="center"/>
          </w:tcPr>
          <w:p>
            <w:pPr>
              <w:keepNext w:val="0"/>
              <w:keepLines w:val="0"/>
              <w:pageBreakBefore w:val="0"/>
              <w:widowControl w:val="0"/>
              <w:wordWrap/>
              <w:overflowPunct/>
              <w:topLinePunct w:val="0"/>
              <w:bidi w:val="0"/>
              <w:spacing w:line="360" w:lineRule="exact"/>
              <w:ind w:left="0" w:right="0"/>
              <w:jc w:val="center"/>
              <w:rPr>
                <w:rFonts w:hint="eastAsia" w:ascii="宋体" w:hAnsi="宋体" w:eastAsia="宋体" w:cs="宋体"/>
                <w:color w:val="auto"/>
                <w:sz w:val="21"/>
                <w:szCs w:val="21"/>
                <w:highlight w:val="none"/>
              </w:rPr>
            </w:pPr>
          </w:p>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8"/>
                <w:sz w:val="21"/>
                <w:szCs w:val="21"/>
                <w:highlight w:val="none"/>
              </w:rPr>
              <w:t>招标代理机构</w:t>
            </w:r>
          </w:p>
        </w:tc>
        <w:tc>
          <w:tcPr>
            <w:tcW w:w="6138" w:type="dxa"/>
            <w:vAlign w:val="top"/>
          </w:tcPr>
          <w:p>
            <w:pPr>
              <w:keepNext w:val="0"/>
              <w:keepLines w:val="0"/>
              <w:pageBreakBefore w:val="0"/>
              <w:widowControl w:val="0"/>
              <w:wordWrap/>
              <w:overflowPunct/>
              <w:topLinePunct w:val="0"/>
              <w:bidi w:val="0"/>
              <w:spacing w:line="340" w:lineRule="exact"/>
              <w:ind w:left="0" w:right="0"/>
              <w:jc w:val="left"/>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vertAlign w:val="baseline"/>
              </w:rPr>
              <w:t>名</w:t>
            </w:r>
            <w:r>
              <w:rPr>
                <w:rFonts w:hint="eastAsia" w:ascii="宋体" w:hAnsi="宋体" w:eastAsia="宋体" w:cs="宋体"/>
                <w:color w:val="auto"/>
                <w:sz w:val="21"/>
                <w:szCs w:val="21"/>
                <w:highlight w:val="none"/>
                <w:u w:val="none"/>
              </w:rPr>
              <w:t xml:space="preserve">  称：</w:t>
            </w:r>
            <w:r>
              <w:rPr>
                <w:rFonts w:hint="eastAsia" w:ascii="宋体" w:hAnsi="宋体" w:eastAsia="宋体" w:cs="宋体"/>
                <w:color w:val="auto"/>
                <w:sz w:val="21"/>
                <w:szCs w:val="21"/>
                <w:highlight w:val="none"/>
                <w:u w:val="none"/>
                <w:lang w:val="en-US" w:eastAsia="zh-CN"/>
              </w:rPr>
              <w:t>浙江华耀建设咨询有限公司</w:t>
            </w:r>
          </w:p>
          <w:p>
            <w:pPr>
              <w:keepNext w:val="0"/>
              <w:keepLines w:val="0"/>
              <w:pageBreakBefore w:val="0"/>
              <w:widowControl w:val="0"/>
              <w:wordWrap/>
              <w:overflowPunct/>
              <w:topLinePunct w:val="0"/>
              <w:bidi w:val="0"/>
              <w:spacing w:line="340" w:lineRule="exact"/>
              <w:ind w:left="0" w:right="0"/>
              <w:jc w:val="left"/>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rPr>
              <w:t>地  址：</w:t>
            </w:r>
            <w:r>
              <w:rPr>
                <w:rFonts w:hint="eastAsia" w:ascii="宋体" w:hAnsi="宋体" w:eastAsia="宋体" w:cs="宋体"/>
                <w:color w:val="auto"/>
                <w:sz w:val="21"/>
                <w:szCs w:val="21"/>
                <w:highlight w:val="none"/>
                <w:u w:val="none"/>
                <w:lang w:eastAsia="zh-CN"/>
              </w:rPr>
              <w:t>嵊州市新悦路88号君悦大厦七楼</w:t>
            </w:r>
          </w:p>
          <w:p>
            <w:pPr>
              <w:keepNext w:val="0"/>
              <w:keepLines w:val="0"/>
              <w:pageBreakBefore w:val="0"/>
              <w:widowControl w:val="0"/>
              <w:wordWrap/>
              <w:overflowPunct/>
              <w:topLinePunct w:val="0"/>
              <w:bidi w:val="0"/>
              <w:spacing w:line="340" w:lineRule="exact"/>
              <w:ind w:left="0" w:right="0"/>
              <w:jc w:val="left"/>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rPr>
              <w:t>联系人：</w:t>
            </w:r>
            <w:r>
              <w:rPr>
                <w:rFonts w:hint="eastAsia" w:ascii="宋体" w:hAnsi="宋体" w:eastAsia="宋体" w:cs="宋体"/>
                <w:color w:val="auto"/>
                <w:sz w:val="21"/>
                <w:szCs w:val="21"/>
                <w:highlight w:val="none"/>
                <w:u w:val="none"/>
                <w:lang w:val="en-US" w:eastAsia="zh-CN"/>
              </w:rPr>
              <w:t>黄平</w:t>
            </w:r>
          </w:p>
          <w:p>
            <w:pPr>
              <w:keepNext w:val="0"/>
              <w:keepLines w:val="0"/>
              <w:pageBreakBefore w:val="0"/>
              <w:widowControl w:val="0"/>
              <w:wordWrap/>
              <w:overflowPunct/>
              <w:topLinePunct w:val="0"/>
              <w:bidi w:val="0"/>
              <w:spacing w:line="340" w:lineRule="exact"/>
              <w:ind w:left="0" w:right="0"/>
              <w:jc w:val="left"/>
              <w:rPr>
                <w:rFonts w:hint="default" w:ascii="宋体" w:hAnsi="宋体" w:eastAsia="宋体" w:cs="宋体"/>
                <w:color w:val="auto"/>
                <w:sz w:val="21"/>
                <w:szCs w:val="21"/>
                <w:highlight w:val="none"/>
                <w:u w:val="none"/>
                <w:vertAlign w:val="baseline"/>
                <w:lang w:val="en-US"/>
              </w:rPr>
            </w:pPr>
            <w:r>
              <w:rPr>
                <w:rFonts w:hint="eastAsia" w:ascii="宋体" w:hAnsi="宋体" w:eastAsia="宋体" w:cs="宋体"/>
                <w:color w:val="auto"/>
                <w:sz w:val="21"/>
                <w:szCs w:val="21"/>
                <w:highlight w:val="none"/>
                <w:u w:val="none"/>
              </w:rPr>
              <w:t>电  话：</w:t>
            </w:r>
            <w:r>
              <w:rPr>
                <w:rFonts w:hint="eastAsia" w:ascii="宋体" w:hAnsi="宋体" w:eastAsia="宋体" w:cs="宋体"/>
                <w:color w:val="auto"/>
                <w:sz w:val="21"/>
                <w:szCs w:val="21"/>
                <w:highlight w:val="none"/>
                <w:u w:val="none"/>
                <w:lang w:val="en-US" w:eastAsia="zh-CN"/>
              </w:rPr>
              <w:t>0575-81392050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1179" w:type="dxa"/>
            <w:vAlign w:val="center"/>
          </w:tcPr>
          <w:p>
            <w:pPr>
              <w:keepNext w:val="0"/>
              <w:keepLines w:val="0"/>
              <w:pageBreakBefore w:val="0"/>
              <w:widowControl w:val="0"/>
              <w:wordWrap/>
              <w:overflowPunct/>
              <w:topLinePunct w:val="0"/>
              <w:bidi w:val="0"/>
              <w:spacing w:line="360" w:lineRule="exact"/>
              <w:ind w:right="0" w:rightChars="0" w:firstLine="188" w:firstLineChars="10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1"/>
                <w:sz w:val="21"/>
                <w:szCs w:val="21"/>
                <w:highlight w:val="none"/>
              </w:rPr>
              <w:t>1</w:t>
            </w:r>
            <w:r>
              <w:rPr>
                <w:rFonts w:hint="eastAsia" w:ascii="宋体" w:hAnsi="宋体" w:eastAsia="宋体" w:cs="宋体"/>
                <w:color w:val="auto"/>
                <w:spacing w:val="-8"/>
                <w:sz w:val="21"/>
                <w:szCs w:val="21"/>
                <w:highlight w:val="none"/>
              </w:rPr>
              <w:t>. 1.4</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8"/>
                <w:sz w:val="21"/>
                <w:szCs w:val="21"/>
                <w:highlight w:val="none"/>
              </w:rPr>
              <w:t>招标项目名称</w:t>
            </w:r>
          </w:p>
        </w:tc>
        <w:tc>
          <w:tcPr>
            <w:tcW w:w="6138" w:type="dxa"/>
            <w:vAlign w:val="center"/>
          </w:tcPr>
          <w:p>
            <w:pPr>
              <w:keepNext w:val="0"/>
              <w:keepLines w:val="0"/>
              <w:pageBreakBefore w:val="0"/>
              <w:widowControl w:val="0"/>
              <w:wordWrap/>
              <w:overflowPunct/>
              <w:topLinePunct w:val="0"/>
              <w:bidi w:val="0"/>
              <w:spacing w:line="340" w:lineRule="exact"/>
              <w:ind w:left="0" w:leftChars="0" w:right="0" w:rightChars="0"/>
              <w:jc w:val="left"/>
              <w:rPr>
                <w:rFonts w:hint="eastAsia" w:ascii="宋体" w:hAnsi="宋体" w:eastAsia="宋体" w:cs="宋体"/>
                <w:color w:val="auto"/>
                <w:sz w:val="21"/>
                <w:szCs w:val="21"/>
                <w:highlight w:val="none"/>
                <w:u w:val="none"/>
                <w:vertAlign w:val="baseline"/>
              </w:rPr>
            </w:pPr>
            <w:r>
              <w:rPr>
                <w:rFonts w:hint="eastAsia" w:ascii="宋体" w:hAnsi="宋体" w:eastAsia="宋体" w:cs="宋体"/>
                <w:color w:val="auto"/>
                <w:sz w:val="21"/>
                <w:szCs w:val="21"/>
                <w:highlight w:val="none"/>
                <w:u w:val="none"/>
                <w:vertAlign w:val="baseline"/>
                <w:lang w:val="en-US" w:eastAsia="zh-CN"/>
              </w:rPr>
              <w:t xml:space="preserve">嵊州市三溪水库配套工程（上竹线楼家-三溪段道路改建工程）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179" w:type="dxa"/>
            <w:vAlign w:val="center"/>
          </w:tcPr>
          <w:p>
            <w:pPr>
              <w:keepNext w:val="0"/>
              <w:keepLines w:val="0"/>
              <w:pageBreakBefore w:val="0"/>
              <w:widowControl w:val="0"/>
              <w:wordWrap/>
              <w:overflowPunct/>
              <w:topLinePunct w:val="0"/>
              <w:bidi w:val="0"/>
              <w:spacing w:line="360" w:lineRule="exact"/>
              <w:ind w:right="0" w:rightChars="0" w:firstLine="188" w:firstLineChars="10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1"/>
                <w:sz w:val="21"/>
                <w:szCs w:val="21"/>
                <w:highlight w:val="none"/>
              </w:rPr>
              <w:t>1</w:t>
            </w:r>
            <w:r>
              <w:rPr>
                <w:rFonts w:hint="eastAsia" w:ascii="宋体" w:hAnsi="宋体" w:eastAsia="宋体" w:cs="宋体"/>
                <w:color w:val="auto"/>
                <w:spacing w:val="-8"/>
                <w:sz w:val="21"/>
                <w:szCs w:val="21"/>
                <w:highlight w:val="none"/>
              </w:rPr>
              <w:t>. 1.5</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8"/>
                <w:sz w:val="21"/>
                <w:szCs w:val="21"/>
                <w:highlight w:val="none"/>
              </w:rPr>
              <w:t>标段建设地点</w:t>
            </w:r>
          </w:p>
        </w:tc>
        <w:tc>
          <w:tcPr>
            <w:tcW w:w="6138" w:type="dxa"/>
            <w:vAlign w:val="center"/>
          </w:tcPr>
          <w:p>
            <w:pPr>
              <w:keepNext w:val="0"/>
              <w:keepLines w:val="0"/>
              <w:pageBreakBefore w:val="0"/>
              <w:widowControl w:val="0"/>
              <w:wordWrap/>
              <w:overflowPunct/>
              <w:topLinePunct w:val="0"/>
              <w:bidi w:val="0"/>
              <w:spacing w:line="340" w:lineRule="exact"/>
              <w:ind w:left="0" w:leftChars="0" w:right="0" w:rightChars="0"/>
              <w:jc w:val="left"/>
              <w:rPr>
                <w:rFonts w:hint="eastAsia" w:ascii="宋体" w:hAnsi="宋体" w:eastAsia="宋体" w:cs="宋体"/>
                <w:color w:val="auto"/>
                <w:sz w:val="21"/>
                <w:szCs w:val="21"/>
                <w:highlight w:val="none"/>
                <w:u w:val="none"/>
                <w:vertAlign w:val="baseline"/>
              </w:rPr>
            </w:pPr>
            <w:r>
              <w:rPr>
                <w:rFonts w:hint="eastAsia" w:ascii="宋体" w:hAnsi="宋体" w:eastAsia="宋体" w:cs="宋体"/>
                <w:color w:val="auto"/>
                <w:sz w:val="21"/>
                <w:szCs w:val="21"/>
                <w:highlight w:val="none"/>
                <w:u w:val="none"/>
                <w:vertAlign w:val="baseline"/>
                <w:lang w:val="en-US" w:eastAsia="zh-CN"/>
              </w:rPr>
              <w:t>项目起点位于石璜镇楼家村，上竹线与浦溪线交叉口处，起点桩号K0+000，终点位于石璜镇三溪村，终点桩号K6+895，起终点均接既有上竹线。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79" w:type="dxa"/>
            <w:vAlign w:val="center"/>
          </w:tcPr>
          <w:p>
            <w:pPr>
              <w:keepNext w:val="0"/>
              <w:keepLines w:val="0"/>
              <w:pageBreakBefore w:val="0"/>
              <w:widowControl w:val="0"/>
              <w:wordWrap/>
              <w:overflowPunct/>
              <w:topLinePunct w:val="0"/>
              <w:bidi w:val="0"/>
              <w:spacing w:line="360" w:lineRule="exact"/>
              <w:ind w:right="0" w:rightChars="0" w:firstLine="208" w:firstLineChars="10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
                <w:sz w:val="21"/>
                <w:szCs w:val="21"/>
                <w:highlight w:val="none"/>
              </w:rPr>
              <w:t>1</w:t>
            </w:r>
            <w:r>
              <w:rPr>
                <w:rFonts w:hint="eastAsia" w:ascii="宋体" w:hAnsi="宋体" w:eastAsia="宋体" w:cs="宋体"/>
                <w:color w:val="auto"/>
                <w:sz w:val="21"/>
                <w:szCs w:val="21"/>
                <w:highlight w:val="none"/>
              </w:rPr>
              <w:t>.2.1</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9"/>
                <w:sz w:val="21"/>
                <w:szCs w:val="21"/>
                <w:highlight w:val="none"/>
              </w:rPr>
              <w:t>资</w:t>
            </w:r>
            <w:r>
              <w:rPr>
                <w:rFonts w:hint="eastAsia" w:ascii="宋体" w:hAnsi="宋体" w:eastAsia="宋体" w:cs="宋体"/>
                <w:color w:val="auto"/>
                <w:spacing w:val="7"/>
                <w:sz w:val="21"/>
                <w:szCs w:val="21"/>
                <w:highlight w:val="none"/>
              </w:rPr>
              <w:t>金来源及比例</w:t>
            </w:r>
          </w:p>
        </w:tc>
        <w:tc>
          <w:tcPr>
            <w:tcW w:w="6138" w:type="dxa"/>
            <w:vAlign w:val="top"/>
          </w:tcPr>
          <w:p>
            <w:pPr>
              <w:keepNext w:val="0"/>
              <w:keepLines w:val="0"/>
              <w:pageBreakBefore w:val="0"/>
              <w:widowControl w:val="0"/>
              <w:wordWrap/>
              <w:overflowPunct/>
              <w:topLinePunct w:val="0"/>
              <w:bidi w:val="0"/>
              <w:spacing w:line="340" w:lineRule="exact"/>
              <w:ind w:left="0" w:leftChars="0" w:right="0" w:rightChars="0"/>
              <w:jc w:val="left"/>
              <w:rPr>
                <w:rFonts w:hint="eastAsia" w:ascii="宋体" w:hAnsi="宋体" w:eastAsia="宋体" w:cs="宋体"/>
                <w:color w:val="auto"/>
                <w:sz w:val="21"/>
                <w:szCs w:val="21"/>
                <w:highlight w:val="none"/>
                <w:u w:val="none"/>
                <w:vertAlign w:val="baseline"/>
              </w:rPr>
            </w:pPr>
            <w:r>
              <w:rPr>
                <w:rFonts w:hint="eastAsia" w:ascii="宋体" w:hAnsi="宋体" w:eastAsia="宋体" w:cs="宋体"/>
                <w:b w:val="0"/>
                <w:bCs w:val="0"/>
                <w:color w:val="auto"/>
                <w:spacing w:val="0"/>
                <w:position w:val="0"/>
                <w:sz w:val="21"/>
                <w:szCs w:val="21"/>
                <w:highlight w:val="none"/>
                <w:u w:val="none"/>
                <w:lang w:val="en-US" w:eastAsia="zh-CN" w:bidi="ar"/>
              </w:rPr>
              <w:t>财政资金及国有资金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179" w:type="dxa"/>
            <w:vAlign w:val="center"/>
          </w:tcPr>
          <w:p>
            <w:pPr>
              <w:keepNext w:val="0"/>
              <w:keepLines w:val="0"/>
              <w:pageBreakBefore w:val="0"/>
              <w:widowControl w:val="0"/>
              <w:wordWrap/>
              <w:overflowPunct/>
              <w:topLinePunct w:val="0"/>
              <w:bidi w:val="0"/>
              <w:spacing w:line="360" w:lineRule="exact"/>
              <w:ind w:right="0" w:rightChars="0" w:firstLine="208" w:firstLineChars="10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
                <w:sz w:val="21"/>
                <w:szCs w:val="21"/>
                <w:highlight w:val="none"/>
              </w:rPr>
              <w:t>1</w:t>
            </w:r>
            <w:r>
              <w:rPr>
                <w:rFonts w:hint="eastAsia" w:ascii="宋体" w:hAnsi="宋体" w:eastAsia="宋体" w:cs="宋体"/>
                <w:color w:val="auto"/>
                <w:sz w:val="21"/>
                <w:szCs w:val="21"/>
                <w:highlight w:val="none"/>
              </w:rPr>
              <w:t>.2.2</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0"/>
                <w:sz w:val="21"/>
                <w:szCs w:val="21"/>
                <w:highlight w:val="none"/>
              </w:rPr>
              <w:t>资</w:t>
            </w:r>
            <w:r>
              <w:rPr>
                <w:rFonts w:hint="eastAsia" w:ascii="宋体" w:hAnsi="宋体" w:eastAsia="宋体" w:cs="宋体"/>
                <w:color w:val="auto"/>
                <w:spacing w:val="6"/>
                <w:sz w:val="21"/>
                <w:szCs w:val="21"/>
                <w:highlight w:val="none"/>
              </w:rPr>
              <w:t>金落实情况</w:t>
            </w:r>
          </w:p>
        </w:tc>
        <w:tc>
          <w:tcPr>
            <w:tcW w:w="6138" w:type="dxa"/>
            <w:vAlign w:val="center"/>
          </w:tcPr>
          <w:p>
            <w:pPr>
              <w:keepNext w:val="0"/>
              <w:keepLines w:val="0"/>
              <w:pageBreakBefore w:val="0"/>
              <w:widowControl w:val="0"/>
              <w:wordWrap/>
              <w:overflowPunct/>
              <w:topLinePunct w:val="0"/>
              <w:bidi w:val="0"/>
              <w:spacing w:line="340" w:lineRule="exact"/>
              <w:ind w:left="0" w:leftChars="0" w:right="0" w:rightChars="0"/>
              <w:jc w:val="left"/>
              <w:rPr>
                <w:rFonts w:hint="eastAsia" w:ascii="宋体" w:hAnsi="宋体" w:eastAsia="宋体" w:cs="宋体"/>
                <w:color w:val="auto"/>
                <w:sz w:val="21"/>
                <w:szCs w:val="21"/>
                <w:highlight w:val="none"/>
                <w:u w:val="none"/>
                <w:vertAlign w:val="baseline"/>
              </w:rPr>
            </w:pPr>
            <w:r>
              <w:rPr>
                <w:rFonts w:hint="eastAsia" w:ascii="宋体" w:hAnsi="宋体" w:eastAsia="宋体" w:cs="宋体"/>
                <w:color w:val="auto"/>
                <w:spacing w:val="6"/>
                <w:sz w:val="21"/>
                <w:szCs w:val="21"/>
                <w:highlight w:val="none"/>
                <w:u w:val="none"/>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79" w:type="dxa"/>
            <w:vAlign w:val="center"/>
          </w:tcPr>
          <w:p>
            <w:pPr>
              <w:keepNext w:val="0"/>
              <w:keepLines w:val="0"/>
              <w:pageBreakBefore w:val="0"/>
              <w:widowControl w:val="0"/>
              <w:wordWrap/>
              <w:overflowPunct/>
              <w:topLinePunct w:val="0"/>
              <w:bidi w:val="0"/>
              <w:spacing w:line="360" w:lineRule="exact"/>
              <w:ind w:right="0" w:rightChars="0" w:firstLine="208" w:firstLineChars="10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
                <w:sz w:val="21"/>
                <w:szCs w:val="21"/>
                <w:highlight w:val="none"/>
              </w:rPr>
              <w:t>1</w:t>
            </w:r>
            <w:r>
              <w:rPr>
                <w:rFonts w:hint="eastAsia" w:ascii="宋体" w:hAnsi="宋体" w:eastAsia="宋体" w:cs="宋体"/>
                <w:color w:val="auto"/>
                <w:sz w:val="21"/>
                <w:szCs w:val="21"/>
                <w:highlight w:val="none"/>
              </w:rPr>
              <w:t>.3.1</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7"/>
                <w:sz w:val="21"/>
                <w:szCs w:val="21"/>
                <w:highlight w:val="none"/>
              </w:rPr>
              <w:t>招标范围</w:t>
            </w:r>
          </w:p>
        </w:tc>
        <w:tc>
          <w:tcPr>
            <w:tcW w:w="6138" w:type="dxa"/>
            <w:vAlign w:val="top"/>
          </w:tcPr>
          <w:p>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color w:val="auto"/>
                <w:sz w:val="21"/>
                <w:szCs w:val="21"/>
                <w:highlight w:val="none"/>
                <w:u w:val="none"/>
                <w:vertAlign w:val="baseline"/>
              </w:rPr>
            </w:pPr>
            <w:r>
              <w:rPr>
                <w:rFonts w:hint="eastAsia" w:ascii="宋体" w:hAnsi="宋体" w:eastAsia="宋体" w:cs="宋体"/>
                <w:color w:val="auto"/>
                <w:spacing w:val="0"/>
                <w:kern w:val="0"/>
                <w:position w:val="0"/>
                <w:sz w:val="21"/>
                <w:szCs w:val="21"/>
                <w:highlight w:val="none"/>
                <w:lang w:val="en-US" w:eastAsia="zh-CN"/>
              </w:rPr>
              <w:t>《嵊州市三溪水库配套工程（上竹线楼家-三溪段道路改建工程）》施工图范围内的路基工程、路面工程、交通安全设施工程、桥梁工程及附属设施工程等建设内容（具体招标范围以工程量清单为准）。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trPr>
        <w:tc>
          <w:tcPr>
            <w:tcW w:w="1179"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pacing w:val="-1"/>
                <w:sz w:val="21"/>
                <w:szCs w:val="21"/>
                <w:highlight w:val="none"/>
              </w:rPr>
            </w:pPr>
          </w:p>
          <w:p>
            <w:pPr>
              <w:keepNext w:val="0"/>
              <w:keepLines w:val="0"/>
              <w:pageBreakBefore w:val="0"/>
              <w:widowControl w:val="0"/>
              <w:wordWrap/>
              <w:overflowPunct/>
              <w:topLinePunct w:val="0"/>
              <w:bidi w:val="0"/>
              <w:spacing w:line="360" w:lineRule="exact"/>
              <w:ind w:right="0" w:rightChars="0" w:firstLine="208" w:firstLineChars="10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
                <w:sz w:val="21"/>
                <w:szCs w:val="21"/>
                <w:highlight w:val="none"/>
              </w:rPr>
              <w:t>1</w:t>
            </w:r>
            <w:r>
              <w:rPr>
                <w:rFonts w:hint="eastAsia" w:ascii="宋体" w:hAnsi="宋体" w:eastAsia="宋体" w:cs="宋体"/>
                <w:color w:val="auto"/>
                <w:sz w:val="21"/>
                <w:szCs w:val="21"/>
                <w:highlight w:val="none"/>
              </w:rPr>
              <w:t>.3.2</w:t>
            </w:r>
          </w:p>
        </w:tc>
        <w:tc>
          <w:tcPr>
            <w:tcW w:w="2205" w:type="dxa"/>
            <w:vAlign w:val="center"/>
          </w:tcPr>
          <w:p>
            <w:pPr>
              <w:keepNext w:val="0"/>
              <w:keepLines w:val="0"/>
              <w:pageBreakBefore w:val="0"/>
              <w:widowControl w:val="0"/>
              <w:wordWrap/>
              <w:overflowPunct/>
              <w:topLinePunct w:val="0"/>
              <w:bidi w:val="0"/>
              <w:spacing w:line="360" w:lineRule="exact"/>
              <w:ind w:left="0" w:right="0"/>
              <w:jc w:val="center"/>
              <w:rPr>
                <w:rFonts w:hint="eastAsia" w:ascii="宋体" w:hAnsi="宋体" w:eastAsia="宋体" w:cs="宋体"/>
                <w:color w:val="auto"/>
                <w:sz w:val="21"/>
                <w:szCs w:val="21"/>
                <w:highlight w:val="none"/>
              </w:rPr>
            </w:pPr>
          </w:p>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8"/>
                <w:sz w:val="21"/>
                <w:szCs w:val="21"/>
                <w:highlight w:val="none"/>
              </w:rPr>
              <w:t>计</w:t>
            </w:r>
            <w:r>
              <w:rPr>
                <w:rFonts w:hint="eastAsia" w:ascii="宋体" w:hAnsi="宋体" w:eastAsia="宋体" w:cs="宋体"/>
                <w:color w:val="auto"/>
                <w:spacing w:val="7"/>
                <w:sz w:val="21"/>
                <w:szCs w:val="21"/>
                <w:highlight w:val="none"/>
              </w:rPr>
              <w:t>划工期</w:t>
            </w:r>
          </w:p>
        </w:tc>
        <w:tc>
          <w:tcPr>
            <w:tcW w:w="6138" w:type="dxa"/>
            <w:vAlign w:val="top"/>
          </w:tcPr>
          <w:p>
            <w:pPr>
              <w:keepNext w:val="0"/>
              <w:keepLines w:val="0"/>
              <w:pageBreakBefore w:val="0"/>
              <w:widowControl w:val="0"/>
              <w:wordWrap/>
              <w:overflowPunct/>
              <w:topLinePunct w:val="0"/>
              <w:bidi w:val="0"/>
              <w:spacing w:line="340" w:lineRule="exact"/>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计划</w:t>
            </w:r>
            <w:r>
              <w:rPr>
                <w:rFonts w:hint="eastAsia" w:ascii="宋体" w:hAnsi="宋体" w:eastAsia="宋体" w:cs="宋体"/>
                <w:color w:val="auto"/>
                <w:spacing w:val="5"/>
                <w:sz w:val="21"/>
                <w:szCs w:val="21"/>
                <w:highlight w:val="none"/>
              </w:rPr>
              <w:t>工</w:t>
            </w:r>
            <w:r>
              <w:rPr>
                <w:rFonts w:hint="eastAsia" w:ascii="宋体" w:hAnsi="宋体" w:eastAsia="宋体" w:cs="宋体"/>
                <w:color w:val="auto"/>
                <w:spacing w:val="3"/>
                <w:sz w:val="21"/>
                <w:szCs w:val="21"/>
                <w:highlight w:val="none"/>
              </w:rPr>
              <w:t>期：</w:t>
            </w:r>
            <w:r>
              <w:rPr>
                <w:rFonts w:hint="eastAsia" w:ascii="宋体" w:hAnsi="宋体" w:eastAsia="宋体" w:cs="宋体"/>
                <w:color w:val="auto"/>
                <w:spacing w:val="3"/>
                <w:sz w:val="21"/>
                <w:szCs w:val="21"/>
                <w:highlight w:val="none"/>
                <w:u w:val="single"/>
                <w:lang w:val="en-US" w:eastAsia="zh-CN"/>
              </w:rPr>
              <w:t xml:space="preserve"> 730 </w:t>
            </w:r>
            <w:r>
              <w:rPr>
                <w:rFonts w:hint="eastAsia" w:ascii="宋体" w:hAnsi="宋体" w:eastAsia="宋体" w:cs="宋体"/>
                <w:color w:val="auto"/>
                <w:spacing w:val="3"/>
                <w:sz w:val="21"/>
                <w:szCs w:val="21"/>
                <w:highlight w:val="none"/>
              </w:rPr>
              <w:t>日历天</w:t>
            </w:r>
          </w:p>
          <w:p>
            <w:pPr>
              <w:keepNext w:val="0"/>
              <w:keepLines w:val="0"/>
              <w:pageBreakBefore w:val="0"/>
              <w:widowControl w:val="0"/>
              <w:wordWrap/>
              <w:overflowPunct/>
              <w:topLinePunct w:val="0"/>
              <w:bidi w:val="0"/>
              <w:spacing w:line="340" w:lineRule="exact"/>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计划开工日期：___年___月__</w:t>
            </w:r>
            <w:r>
              <w:rPr>
                <w:rFonts w:hint="eastAsia" w:ascii="宋体" w:hAnsi="宋体" w:eastAsia="宋体" w:cs="宋体"/>
                <w:color w:val="auto"/>
                <w:spacing w:val="5"/>
                <w:sz w:val="21"/>
                <w:szCs w:val="21"/>
                <w:highlight w:val="none"/>
              </w:rPr>
              <w:t>日</w:t>
            </w:r>
            <w:r>
              <w:rPr>
                <w:rFonts w:hint="eastAsia" w:ascii="宋体" w:hAnsi="宋体" w:eastAsia="宋体" w:cs="宋体"/>
                <w:color w:val="auto"/>
                <w:szCs w:val="21"/>
                <w:highlight w:val="none"/>
                <w:lang w:bidi="ar"/>
              </w:rPr>
              <w:t>（具体开工日期以监理人发出的开工通知为准）</w:t>
            </w:r>
          </w:p>
          <w:p>
            <w:pPr>
              <w:keepNext w:val="0"/>
              <w:keepLines w:val="0"/>
              <w:pageBreakBefore w:val="0"/>
              <w:widowControl w:val="0"/>
              <w:wordWrap/>
              <w:overflowPunct/>
              <w:topLinePunct w:val="0"/>
              <w:bidi w:val="0"/>
              <w:spacing w:line="340" w:lineRule="exact"/>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计划交工日期：___年___月__</w:t>
            </w:r>
            <w:r>
              <w:rPr>
                <w:rFonts w:hint="eastAsia" w:ascii="宋体" w:hAnsi="宋体" w:eastAsia="宋体" w:cs="宋体"/>
                <w:color w:val="auto"/>
                <w:spacing w:val="5"/>
                <w:sz w:val="21"/>
                <w:szCs w:val="21"/>
                <w:highlight w:val="none"/>
              </w:rPr>
              <w:t>日</w:t>
            </w:r>
          </w:p>
          <w:p>
            <w:pPr>
              <w:keepNext w:val="0"/>
              <w:keepLines w:val="0"/>
              <w:pageBreakBefore w:val="0"/>
              <w:widowControl w:val="0"/>
              <w:tabs>
                <w:tab w:val="left" w:pos="4812"/>
              </w:tabs>
              <w:wordWrap/>
              <w:overflowPunct/>
              <w:topLinePunct w:val="0"/>
              <w:bidi w:val="0"/>
              <w:spacing w:line="340" w:lineRule="exact"/>
              <w:ind w:left="0" w:leftChars="0" w:right="0" w:rightChars="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pacing w:val="12"/>
                <w:sz w:val="21"/>
                <w:szCs w:val="21"/>
                <w:highlight w:val="none"/>
              </w:rPr>
              <w:t>节</w:t>
            </w:r>
            <w:r>
              <w:rPr>
                <w:rFonts w:hint="eastAsia" w:ascii="宋体" w:hAnsi="宋体" w:eastAsia="宋体" w:cs="宋体"/>
                <w:color w:val="auto"/>
                <w:spacing w:val="7"/>
                <w:sz w:val="21"/>
                <w:szCs w:val="21"/>
                <w:highlight w:val="none"/>
              </w:rPr>
              <w:t>点</w:t>
            </w:r>
            <w:r>
              <w:rPr>
                <w:rFonts w:hint="eastAsia" w:ascii="宋体" w:hAnsi="宋体" w:eastAsia="宋体" w:cs="宋体"/>
                <w:color w:val="auto"/>
                <w:spacing w:val="6"/>
                <w:sz w:val="21"/>
                <w:szCs w:val="21"/>
                <w:highlight w:val="none"/>
              </w:rPr>
              <w:t>工期要求：</w:t>
            </w:r>
            <w:r>
              <w:rPr>
                <w:rFonts w:hint="eastAsia" w:ascii="宋体" w:hAnsi="宋体" w:eastAsia="宋体" w:cs="宋体"/>
                <w:color w:val="auto"/>
                <w:spacing w:val="6"/>
                <w:sz w:val="21"/>
                <w:szCs w:val="21"/>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1179" w:type="dxa"/>
            <w:vAlign w:val="center"/>
          </w:tcPr>
          <w:p>
            <w:pPr>
              <w:keepNext w:val="0"/>
              <w:keepLines w:val="0"/>
              <w:pageBreakBefore w:val="0"/>
              <w:widowControl w:val="0"/>
              <w:wordWrap/>
              <w:overflowPunct/>
              <w:topLinePunct w:val="0"/>
              <w:bidi w:val="0"/>
              <w:spacing w:line="360" w:lineRule="exact"/>
              <w:ind w:right="0" w:rightChars="0" w:firstLine="208" w:firstLineChars="10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
                <w:sz w:val="21"/>
                <w:szCs w:val="21"/>
                <w:highlight w:val="none"/>
              </w:rPr>
              <w:t>1</w:t>
            </w:r>
            <w:r>
              <w:rPr>
                <w:rFonts w:hint="eastAsia" w:ascii="宋体" w:hAnsi="宋体" w:eastAsia="宋体" w:cs="宋体"/>
                <w:color w:val="auto"/>
                <w:sz w:val="21"/>
                <w:szCs w:val="21"/>
                <w:highlight w:val="none"/>
              </w:rPr>
              <w:t>.3.3</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7"/>
                <w:sz w:val="21"/>
                <w:szCs w:val="21"/>
                <w:highlight w:val="none"/>
              </w:rPr>
              <w:t>质量要求</w:t>
            </w:r>
          </w:p>
        </w:tc>
        <w:tc>
          <w:tcPr>
            <w:tcW w:w="6138" w:type="dxa"/>
            <w:vAlign w:val="center"/>
          </w:tcPr>
          <w:p>
            <w:pPr>
              <w:keepNext w:val="0"/>
              <w:keepLines w:val="0"/>
              <w:pageBreakBefore w:val="0"/>
              <w:widowControl w:val="0"/>
              <w:wordWrap/>
              <w:overflowPunct/>
              <w:topLinePunct w:val="0"/>
              <w:bidi w:val="0"/>
              <w:spacing w:line="340" w:lineRule="exact"/>
              <w:ind w:left="0" w:right="0"/>
              <w:jc w:val="both"/>
              <w:rPr>
                <w:rFonts w:hint="eastAsia" w:ascii="宋体" w:hAnsi="宋体" w:eastAsia="宋体" w:cs="宋体"/>
                <w:color w:val="auto"/>
                <w:sz w:val="21"/>
                <w:szCs w:val="21"/>
                <w:highlight w:val="none"/>
              </w:rPr>
            </w:pPr>
            <w:r>
              <w:rPr>
                <w:rFonts w:hint="eastAsia" w:ascii="宋体" w:hAnsi="宋体" w:eastAsia="宋体" w:cs="宋体"/>
                <w:color w:val="auto"/>
                <w:spacing w:val="13"/>
                <w:sz w:val="21"/>
                <w:szCs w:val="21"/>
                <w:highlight w:val="none"/>
              </w:rPr>
              <w:t>标</w:t>
            </w:r>
            <w:r>
              <w:rPr>
                <w:rFonts w:hint="eastAsia" w:ascii="宋体" w:hAnsi="宋体" w:eastAsia="宋体" w:cs="宋体"/>
                <w:color w:val="auto"/>
                <w:spacing w:val="9"/>
                <w:sz w:val="21"/>
                <w:szCs w:val="21"/>
                <w:highlight w:val="none"/>
              </w:rPr>
              <w:t>段工程交工验收的质量评定：</w:t>
            </w:r>
            <w:r>
              <w:rPr>
                <w:rFonts w:hint="eastAsia" w:ascii="宋体" w:hAnsi="宋体" w:eastAsia="宋体" w:cs="宋体"/>
                <w:color w:val="auto"/>
                <w:spacing w:val="9"/>
                <w:sz w:val="21"/>
                <w:szCs w:val="21"/>
                <w:highlight w:val="none"/>
                <w:u w:val="single" w:color="auto"/>
              </w:rPr>
              <w:t>合格</w:t>
            </w:r>
          </w:p>
          <w:p>
            <w:pPr>
              <w:keepNext w:val="0"/>
              <w:keepLines w:val="0"/>
              <w:pageBreakBefore w:val="0"/>
              <w:widowControl w:val="0"/>
              <w:wordWrap/>
              <w:overflowPunct/>
              <w:topLinePunct w:val="0"/>
              <w:bidi w:val="0"/>
              <w:spacing w:line="340" w:lineRule="exact"/>
              <w:ind w:left="0" w:leftChars="0" w:right="0" w:rightChars="0"/>
              <w:jc w:val="both"/>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6"/>
                <w:sz w:val="21"/>
                <w:szCs w:val="21"/>
                <w:highlight w:val="none"/>
              </w:rPr>
              <w:t>标</w:t>
            </w:r>
            <w:r>
              <w:rPr>
                <w:rFonts w:hint="eastAsia" w:ascii="宋体" w:hAnsi="宋体" w:eastAsia="宋体" w:cs="宋体"/>
                <w:color w:val="auto"/>
                <w:spacing w:val="12"/>
                <w:sz w:val="21"/>
                <w:szCs w:val="21"/>
                <w:highlight w:val="none"/>
              </w:rPr>
              <w:t>段</w:t>
            </w:r>
            <w:r>
              <w:rPr>
                <w:rFonts w:hint="eastAsia" w:ascii="宋体" w:hAnsi="宋体" w:eastAsia="宋体" w:cs="宋体"/>
                <w:color w:val="auto"/>
                <w:spacing w:val="8"/>
                <w:sz w:val="21"/>
                <w:szCs w:val="21"/>
                <w:highlight w:val="none"/>
              </w:rPr>
              <w:t>工程竣工验收的质量评定：</w:t>
            </w:r>
            <w:r>
              <w:rPr>
                <w:rFonts w:hint="eastAsia" w:ascii="宋体" w:hAnsi="宋体" w:eastAsia="宋体" w:cs="宋体"/>
                <w:color w:val="auto"/>
                <w:spacing w:val="8"/>
                <w:sz w:val="21"/>
                <w:szCs w:val="21"/>
                <w:highlight w:val="none"/>
                <w:u w:val="single" w:color="auto"/>
              </w:rPr>
              <w:t>90分及以上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79" w:type="dxa"/>
            <w:vAlign w:val="center"/>
          </w:tcPr>
          <w:p>
            <w:pPr>
              <w:keepNext w:val="0"/>
              <w:keepLines w:val="0"/>
              <w:pageBreakBefore w:val="0"/>
              <w:widowControl w:val="0"/>
              <w:wordWrap/>
              <w:overflowPunct/>
              <w:topLinePunct w:val="0"/>
              <w:bidi w:val="0"/>
              <w:spacing w:line="360" w:lineRule="exact"/>
              <w:ind w:right="0" w:rightChars="0" w:firstLine="208" w:firstLineChars="10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
                <w:sz w:val="21"/>
                <w:szCs w:val="21"/>
                <w:highlight w:val="none"/>
              </w:rPr>
              <w:t>1</w:t>
            </w:r>
            <w:r>
              <w:rPr>
                <w:rFonts w:hint="eastAsia" w:ascii="宋体" w:hAnsi="宋体" w:eastAsia="宋体" w:cs="宋体"/>
                <w:color w:val="auto"/>
                <w:sz w:val="21"/>
                <w:szCs w:val="21"/>
                <w:highlight w:val="none"/>
              </w:rPr>
              <w:t>.3.4</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7"/>
                <w:sz w:val="21"/>
                <w:szCs w:val="21"/>
                <w:highlight w:val="none"/>
              </w:rPr>
              <w:t>安</w:t>
            </w:r>
            <w:r>
              <w:rPr>
                <w:rFonts w:hint="eastAsia" w:ascii="宋体" w:hAnsi="宋体" w:eastAsia="宋体" w:cs="宋体"/>
                <w:color w:val="auto"/>
                <w:spacing w:val="6"/>
                <w:sz w:val="21"/>
                <w:szCs w:val="21"/>
                <w:highlight w:val="none"/>
              </w:rPr>
              <w:t>全目标</w:t>
            </w:r>
          </w:p>
        </w:tc>
        <w:tc>
          <w:tcPr>
            <w:tcW w:w="6138" w:type="dxa"/>
            <w:vAlign w:val="center"/>
          </w:tcPr>
          <w:p>
            <w:pPr>
              <w:keepNext w:val="0"/>
              <w:keepLines w:val="0"/>
              <w:pageBreakBefore w:val="0"/>
              <w:widowControl w:val="0"/>
              <w:wordWrap/>
              <w:overflowPunct/>
              <w:topLinePunct w:val="0"/>
              <w:bidi w:val="0"/>
              <w:spacing w:line="340" w:lineRule="exact"/>
              <w:ind w:left="0" w:leftChars="0" w:right="0" w:rightChars="0"/>
              <w:jc w:val="both"/>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1"/>
                <w:sz w:val="21"/>
                <w:szCs w:val="21"/>
                <w:highlight w:val="none"/>
              </w:rPr>
              <w:t>不</w:t>
            </w:r>
            <w:r>
              <w:rPr>
                <w:rFonts w:hint="eastAsia" w:ascii="宋体" w:hAnsi="宋体" w:eastAsia="宋体" w:cs="宋体"/>
                <w:color w:val="auto"/>
                <w:spacing w:val="9"/>
                <w:sz w:val="21"/>
                <w:szCs w:val="21"/>
                <w:highlight w:val="none"/>
              </w:rPr>
              <w:t>发生较大及以上生产安全责任事故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0" w:hRule="atLeast"/>
        </w:trPr>
        <w:tc>
          <w:tcPr>
            <w:tcW w:w="1179" w:type="dxa"/>
            <w:vAlign w:val="center"/>
          </w:tcPr>
          <w:p>
            <w:pPr>
              <w:keepNext w:val="0"/>
              <w:keepLines w:val="0"/>
              <w:pageBreakBefore w:val="0"/>
              <w:widowControl w:val="0"/>
              <w:wordWrap/>
              <w:overflowPunct/>
              <w:topLinePunct w:val="0"/>
              <w:bidi w:val="0"/>
              <w:spacing w:line="360" w:lineRule="exact"/>
              <w:ind w:left="0" w:leftChars="0" w:right="0" w:rightChars="0" w:firstLine="208" w:firstLineChars="10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
                <w:sz w:val="21"/>
                <w:szCs w:val="21"/>
                <w:highlight w:val="none"/>
              </w:rPr>
              <w:t>1</w:t>
            </w:r>
            <w:r>
              <w:rPr>
                <w:rFonts w:hint="eastAsia" w:ascii="宋体" w:hAnsi="宋体" w:eastAsia="宋体" w:cs="宋体"/>
                <w:color w:val="auto"/>
                <w:sz w:val="21"/>
                <w:szCs w:val="21"/>
                <w:highlight w:val="none"/>
              </w:rPr>
              <w:t>.4.1</w:t>
            </w:r>
          </w:p>
        </w:tc>
        <w:tc>
          <w:tcPr>
            <w:tcW w:w="2205"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投</w:t>
            </w:r>
            <w:r>
              <w:rPr>
                <w:rFonts w:hint="eastAsia" w:ascii="宋体" w:hAnsi="宋体" w:eastAsia="宋体" w:cs="宋体"/>
                <w:color w:val="auto"/>
                <w:spacing w:val="11"/>
                <w:sz w:val="21"/>
                <w:szCs w:val="21"/>
                <w:highlight w:val="none"/>
              </w:rPr>
              <w:t>标人资质条件、能力和</w:t>
            </w:r>
            <w:r>
              <w:rPr>
                <w:rFonts w:hint="eastAsia" w:ascii="宋体" w:hAnsi="宋体" w:eastAsia="宋体" w:cs="宋体"/>
                <w:color w:val="auto"/>
                <w:spacing w:val="5"/>
                <w:sz w:val="21"/>
                <w:szCs w:val="21"/>
                <w:highlight w:val="none"/>
              </w:rPr>
              <w:t>信</w:t>
            </w:r>
            <w:r>
              <w:rPr>
                <w:rFonts w:hint="eastAsia" w:ascii="宋体" w:hAnsi="宋体" w:eastAsia="宋体" w:cs="宋体"/>
                <w:color w:val="auto"/>
                <w:spacing w:val="4"/>
                <w:sz w:val="21"/>
                <w:szCs w:val="21"/>
                <w:highlight w:val="none"/>
              </w:rPr>
              <w:t>誉</w:t>
            </w:r>
          </w:p>
        </w:tc>
        <w:tc>
          <w:tcPr>
            <w:tcW w:w="6138" w:type="dxa"/>
            <w:vAlign w:val="center"/>
          </w:tcPr>
          <w:p>
            <w:pPr>
              <w:keepNext w:val="0"/>
              <w:keepLines w:val="0"/>
              <w:pageBreakBefore w:val="0"/>
              <w:widowControl w:val="0"/>
              <w:wordWrap/>
              <w:overflowPunct/>
              <w:topLinePunct w:val="0"/>
              <w:bidi w:val="0"/>
              <w:spacing w:line="340" w:lineRule="exact"/>
              <w:ind w:left="0" w:right="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资质条件：见附录1</w:t>
            </w:r>
          </w:p>
          <w:p>
            <w:pPr>
              <w:keepNext w:val="0"/>
              <w:keepLines w:val="0"/>
              <w:pageBreakBefore w:val="0"/>
              <w:widowControl w:val="0"/>
              <w:wordWrap/>
              <w:overflowPunct/>
              <w:topLinePunct w:val="0"/>
              <w:bidi w:val="0"/>
              <w:spacing w:line="340" w:lineRule="exact"/>
              <w:ind w:left="0" w:right="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财务要求：见附录</w:t>
            </w:r>
            <w:r>
              <w:rPr>
                <w:rFonts w:hint="eastAsia" w:ascii="宋体" w:hAnsi="宋体" w:eastAsia="宋体" w:cs="宋体"/>
                <w:color w:val="auto"/>
                <w:sz w:val="21"/>
                <w:szCs w:val="21"/>
                <w:highlight w:val="none"/>
                <w:lang w:val="en-US" w:eastAsia="zh-CN"/>
              </w:rPr>
              <w:t>2</w:t>
            </w:r>
          </w:p>
          <w:p>
            <w:pPr>
              <w:keepNext w:val="0"/>
              <w:keepLines w:val="0"/>
              <w:pageBreakBefore w:val="0"/>
              <w:widowControl w:val="0"/>
              <w:wordWrap/>
              <w:overflowPunct/>
              <w:topLinePunct w:val="0"/>
              <w:bidi w:val="0"/>
              <w:spacing w:line="340" w:lineRule="exact"/>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业绩要求：见附录</w:t>
            </w:r>
            <w:r>
              <w:rPr>
                <w:rFonts w:hint="eastAsia" w:ascii="宋体" w:hAnsi="宋体" w:eastAsia="宋体" w:cs="宋体"/>
                <w:color w:val="auto"/>
                <w:sz w:val="21"/>
                <w:szCs w:val="21"/>
                <w:highlight w:val="none"/>
                <w:lang w:val="en-US" w:eastAsia="zh-CN"/>
              </w:rPr>
              <w:t>3</w:t>
            </w:r>
          </w:p>
          <w:p>
            <w:pPr>
              <w:keepNext w:val="0"/>
              <w:keepLines w:val="0"/>
              <w:pageBreakBefore w:val="0"/>
              <w:widowControl w:val="0"/>
              <w:wordWrap/>
              <w:overflowPunct/>
              <w:topLinePunct w:val="0"/>
              <w:bidi w:val="0"/>
              <w:spacing w:line="340" w:lineRule="exact"/>
              <w:ind w:left="0" w:right="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信誉要求：见附录4</w:t>
            </w:r>
          </w:p>
          <w:p>
            <w:pPr>
              <w:keepNext w:val="0"/>
              <w:keepLines w:val="0"/>
              <w:pageBreakBefore w:val="0"/>
              <w:widowControl w:val="0"/>
              <w:wordWrap/>
              <w:overflowPunct/>
              <w:topLinePunct w:val="0"/>
              <w:bidi w:val="0"/>
              <w:spacing w:line="340" w:lineRule="exact"/>
              <w:ind w:left="0" w:right="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项目经理、</w:t>
            </w:r>
            <w:r>
              <w:rPr>
                <w:rFonts w:hint="eastAsia" w:ascii="宋体" w:hAnsi="宋体" w:eastAsia="宋体" w:cs="宋体"/>
                <w:color w:val="auto"/>
                <w:sz w:val="21"/>
                <w:szCs w:val="21"/>
                <w:highlight w:val="none"/>
                <w:lang w:val="en-US" w:eastAsia="zh-CN"/>
              </w:rPr>
              <w:t>项目技术负责人和安全</w:t>
            </w:r>
            <w:r>
              <w:rPr>
                <w:rFonts w:hint="eastAsia" w:ascii="宋体" w:hAnsi="宋体" w:eastAsia="宋体" w:cs="宋体"/>
                <w:color w:val="auto"/>
                <w:sz w:val="21"/>
                <w:szCs w:val="21"/>
                <w:highlight w:val="none"/>
                <w:lang w:eastAsia="zh-CN"/>
              </w:rPr>
              <w:t>负责人资格：见附录5</w:t>
            </w:r>
          </w:p>
          <w:p>
            <w:pPr>
              <w:keepNext w:val="0"/>
              <w:keepLines w:val="0"/>
              <w:pageBreakBefore w:val="0"/>
              <w:widowControl w:val="0"/>
              <w:wordWrap/>
              <w:overflowPunct/>
              <w:topLinePunct w:val="0"/>
              <w:bidi w:val="0"/>
              <w:spacing w:line="340" w:lineRule="exact"/>
              <w:ind w:left="0" w:right="0"/>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lang w:eastAsia="zh-CN"/>
              </w:rPr>
              <w:t>其他要求：无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trPr>
        <w:tc>
          <w:tcPr>
            <w:tcW w:w="1179" w:type="dxa"/>
            <w:vAlign w:val="center"/>
          </w:tcPr>
          <w:p>
            <w:pPr>
              <w:keepNext w:val="0"/>
              <w:keepLines w:val="0"/>
              <w:pageBreakBefore w:val="0"/>
              <w:widowControl w:val="0"/>
              <w:wordWrap/>
              <w:overflowPunct/>
              <w:topLinePunct w:val="0"/>
              <w:bidi w:val="0"/>
              <w:spacing w:line="360" w:lineRule="exact"/>
              <w:ind w:left="0" w:right="0"/>
              <w:jc w:val="center"/>
              <w:rPr>
                <w:rFonts w:hint="eastAsia" w:ascii="宋体" w:hAnsi="宋体" w:eastAsia="宋体" w:cs="宋体"/>
                <w:color w:val="auto"/>
                <w:sz w:val="21"/>
                <w:szCs w:val="21"/>
                <w:highlight w:val="none"/>
              </w:rPr>
            </w:pPr>
          </w:p>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
                <w:sz w:val="21"/>
                <w:szCs w:val="21"/>
                <w:highlight w:val="none"/>
              </w:rPr>
              <w:t>1</w:t>
            </w:r>
            <w:r>
              <w:rPr>
                <w:rFonts w:hint="eastAsia" w:ascii="宋体" w:hAnsi="宋体" w:eastAsia="宋体" w:cs="宋体"/>
                <w:color w:val="auto"/>
                <w:sz w:val="21"/>
                <w:szCs w:val="21"/>
                <w:highlight w:val="none"/>
              </w:rPr>
              <w:t>.4.2</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3"/>
                <w:sz w:val="21"/>
                <w:szCs w:val="21"/>
                <w:highlight w:val="none"/>
              </w:rPr>
              <w:t>是</w:t>
            </w:r>
            <w:r>
              <w:rPr>
                <w:rFonts w:hint="eastAsia" w:ascii="宋体" w:hAnsi="宋体" w:eastAsia="宋体" w:cs="宋体"/>
                <w:color w:val="auto"/>
                <w:spacing w:val="8"/>
                <w:sz w:val="21"/>
                <w:szCs w:val="21"/>
                <w:highlight w:val="none"/>
              </w:rPr>
              <w:t>否接受联合体</w:t>
            </w:r>
            <w:r>
              <w:rPr>
                <w:rFonts w:hint="eastAsia" w:ascii="宋体" w:hAnsi="宋体" w:eastAsia="宋体" w:cs="宋体"/>
                <w:color w:val="auto"/>
                <w:spacing w:val="8"/>
                <w:sz w:val="21"/>
                <w:szCs w:val="21"/>
                <w:highlight w:val="none"/>
                <w:lang w:val="en-US" w:eastAsia="zh-CN"/>
              </w:rPr>
              <w:t>投</w:t>
            </w:r>
            <w:r>
              <w:rPr>
                <w:rFonts w:hint="eastAsia" w:ascii="宋体" w:hAnsi="宋体" w:eastAsia="宋体" w:cs="宋体"/>
                <w:color w:val="auto"/>
                <w:spacing w:val="8"/>
                <w:sz w:val="21"/>
                <w:szCs w:val="21"/>
                <w:highlight w:val="none"/>
              </w:rPr>
              <w:t>标</w:t>
            </w:r>
          </w:p>
        </w:tc>
        <w:tc>
          <w:tcPr>
            <w:tcW w:w="6138" w:type="dxa"/>
            <w:vAlign w:val="center"/>
          </w:tcPr>
          <w:p>
            <w:pPr>
              <w:keepNext w:val="0"/>
              <w:keepLines w:val="0"/>
              <w:pageBreakBefore w:val="0"/>
              <w:widowControl w:val="0"/>
              <w:wordWrap/>
              <w:overflowPunct/>
              <w:topLinePunct w:val="0"/>
              <w:bidi w:val="0"/>
              <w:spacing w:line="320" w:lineRule="exact"/>
              <w:ind w:left="0"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☑不接受</w:t>
            </w:r>
          </w:p>
          <w:p>
            <w:pPr>
              <w:keepNext w:val="0"/>
              <w:keepLines w:val="0"/>
              <w:pageBreakBefore w:val="0"/>
              <w:widowControl w:val="0"/>
              <w:wordWrap/>
              <w:overflowPunct/>
              <w:topLinePunct w:val="0"/>
              <w:bidi w:val="0"/>
              <w:spacing w:line="320" w:lineRule="exact"/>
              <w:ind w:left="0"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□接受，应满足以下要求：</w:t>
            </w:r>
          </w:p>
          <w:p>
            <w:pPr>
              <w:keepNext w:val="0"/>
              <w:keepLines w:val="0"/>
              <w:pageBreakBefore w:val="0"/>
              <w:widowControl w:val="0"/>
              <w:wordWrap/>
              <w:overflowPunct/>
              <w:topLinePunct w:val="0"/>
              <w:bidi w:val="0"/>
              <w:spacing w:line="320" w:lineRule="exact"/>
              <w:ind w:left="0"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 联合体所有成员数量不得超过___家；</w:t>
            </w:r>
          </w:p>
          <w:p>
            <w:pPr>
              <w:keepNext w:val="0"/>
              <w:keepLines w:val="0"/>
              <w:pageBreakBefore w:val="0"/>
              <w:widowControl w:val="0"/>
              <w:wordWrap/>
              <w:overflowPunct/>
              <w:topLinePunct w:val="0"/>
              <w:bidi w:val="0"/>
              <w:spacing w:line="320" w:lineRule="exact"/>
              <w:ind w:left="0"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 联合体牵头人应具有___________资质；</w:t>
            </w:r>
          </w:p>
          <w:p>
            <w:pPr>
              <w:keepNext w:val="0"/>
              <w:keepLines w:val="0"/>
              <w:pageBreakBefore w:val="0"/>
              <w:widowControl w:val="0"/>
              <w:wordWrap/>
              <w:overflowPunct/>
              <w:topLinePunct w:val="0"/>
              <w:bidi w:val="0"/>
              <w:spacing w:line="320" w:lineRule="exact"/>
              <w:ind w:left="0" w:right="0"/>
              <w:jc w:val="both"/>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lang w:eastAsia="zh-CN"/>
              </w:rPr>
              <w:t>(3) __________________________________。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
                <w:sz w:val="21"/>
                <w:szCs w:val="21"/>
                <w:highlight w:val="none"/>
              </w:rPr>
              <w:t>1</w:t>
            </w:r>
            <w:r>
              <w:rPr>
                <w:rFonts w:hint="eastAsia" w:ascii="宋体" w:hAnsi="宋体" w:eastAsia="宋体" w:cs="宋体"/>
                <w:color w:val="auto"/>
                <w:sz w:val="21"/>
                <w:szCs w:val="21"/>
                <w:highlight w:val="none"/>
              </w:rPr>
              <w:t>.4.3</w:t>
            </w:r>
          </w:p>
        </w:tc>
        <w:tc>
          <w:tcPr>
            <w:tcW w:w="2205"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u w:val="none"/>
                <w:vertAlign w:val="baseline"/>
              </w:rPr>
            </w:pPr>
            <w:r>
              <w:rPr>
                <w:rFonts w:hint="eastAsia" w:ascii="宋体" w:hAnsi="宋体" w:eastAsia="宋体" w:cs="宋体"/>
                <w:color w:val="auto"/>
                <w:spacing w:val="12"/>
                <w:sz w:val="21"/>
                <w:szCs w:val="21"/>
                <w:highlight w:val="none"/>
                <w:u w:val="none"/>
              </w:rPr>
              <w:t>投</w:t>
            </w:r>
            <w:r>
              <w:rPr>
                <w:rFonts w:hint="eastAsia" w:ascii="宋体" w:hAnsi="宋体" w:eastAsia="宋体" w:cs="宋体"/>
                <w:color w:val="auto"/>
                <w:spacing w:val="11"/>
                <w:sz w:val="21"/>
                <w:szCs w:val="21"/>
                <w:highlight w:val="none"/>
                <w:u w:val="none"/>
              </w:rPr>
              <w:t>标人不得存在的其他关</w:t>
            </w:r>
            <w:r>
              <w:rPr>
                <w:rFonts w:hint="eastAsia" w:ascii="宋体" w:hAnsi="宋体" w:eastAsia="宋体" w:cs="宋体"/>
                <w:color w:val="auto"/>
                <w:spacing w:val="7"/>
                <w:sz w:val="21"/>
                <w:szCs w:val="21"/>
                <w:highlight w:val="none"/>
                <w:u w:val="none"/>
              </w:rPr>
              <w:t>联</w:t>
            </w:r>
            <w:r>
              <w:rPr>
                <w:rFonts w:hint="eastAsia" w:ascii="宋体" w:hAnsi="宋体" w:eastAsia="宋体" w:cs="宋体"/>
                <w:color w:val="auto"/>
                <w:spacing w:val="6"/>
                <w:sz w:val="21"/>
                <w:szCs w:val="21"/>
                <w:highlight w:val="none"/>
                <w:u w:val="none"/>
              </w:rPr>
              <w:t>情形</w:t>
            </w:r>
          </w:p>
        </w:tc>
        <w:tc>
          <w:tcPr>
            <w:tcW w:w="6138" w:type="dxa"/>
            <w:vAlign w:val="center"/>
          </w:tcPr>
          <w:p>
            <w:pPr>
              <w:keepNext w:val="0"/>
              <w:keepLines w:val="0"/>
              <w:pageBreakBefore w:val="0"/>
              <w:widowControl w:val="0"/>
              <w:wordWrap/>
              <w:overflowPunct/>
              <w:topLinePunct w:val="0"/>
              <w:bidi w:val="0"/>
              <w:spacing w:line="340" w:lineRule="exact"/>
              <w:jc w:val="both"/>
              <w:rPr>
                <w:rFonts w:hint="eastAsia" w:ascii="宋体" w:hAnsi="宋体" w:eastAsia="宋体" w:cs="宋体"/>
                <w:color w:val="auto"/>
                <w:sz w:val="21"/>
                <w:szCs w:val="21"/>
                <w:highlight w:val="none"/>
                <w:u w:val="none"/>
                <w:vertAlign w:val="baseline"/>
                <w:lang w:val="en-US"/>
              </w:rPr>
            </w:pPr>
            <w:r>
              <w:rPr>
                <w:rFonts w:hint="eastAsia" w:ascii="宋体" w:hAnsi="宋体" w:eastAsia="宋体" w:cs="宋体"/>
                <w:color w:val="auto"/>
                <w:spacing w:val="6"/>
                <w:sz w:val="21"/>
                <w:szCs w:val="21"/>
                <w:highlight w:val="none"/>
                <w:u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0" w:hRule="atLeast"/>
        </w:trPr>
        <w:tc>
          <w:tcPr>
            <w:tcW w:w="1179" w:type="dxa"/>
            <w:vAlign w:val="center"/>
          </w:tcPr>
          <w:p>
            <w:pPr>
              <w:keepNext w:val="0"/>
              <w:keepLines w:val="0"/>
              <w:pageBreakBefore w:val="0"/>
              <w:widowControl w:val="0"/>
              <w:wordWrap/>
              <w:overflowPunct/>
              <w:topLinePunct w:val="0"/>
              <w:bidi w:val="0"/>
              <w:spacing w:line="360" w:lineRule="exact"/>
              <w:ind w:left="0" w:right="0"/>
              <w:jc w:val="center"/>
              <w:rPr>
                <w:rFonts w:hint="eastAsia" w:ascii="宋体" w:hAnsi="宋体" w:eastAsia="宋体" w:cs="宋体"/>
                <w:color w:val="auto"/>
                <w:sz w:val="21"/>
                <w:szCs w:val="21"/>
                <w:highlight w:val="none"/>
              </w:rPr>
            </w:pPr>
          </w:p>
          <w:p>
            <w:pPr>
              <w:keepNext w:val="0"/>
              <w:keepLines w:val="0"/>
              <w:pageBreakBefore w:val="0"/>
              <w:widowControl w:val="0"/>
              <w:wordWrap/>
              <w:overflowPunct/>
              <w:topLinePunct w:val="0"/>
              <w:bidi w:val="0"/>
              <w:spacing w:line="360" w:lineRule="exact"/>
              <w:ind w:left="0" w:right="0"/>
              <w:jc w:val="center"/>
              <w:rPr>
                <w:rFonts w:hint="eastAsia" w:ascii="宋体" w:hAnsi="宋体" w:eastAsia="宋体" w:cs="宋体"/>
                <w:color w:val="auto"/>
                <w:sz w:val="21"/>
                <w:szCs w:val="21"/>
                <w:highlight w:val="none"/>
              </w:rPr>
            </w:pPr>
          </w:p>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
                <w:sz w:val="21"/>
                <w:szCs w:val="21"/>
                <w:highlight w:val="none"/>
              </w:rPr>
              <w:t>1</w:t>
            </w:r>
            <w:r>
              <w:rPr>
                <w:rFonts w:hint="eastAsia" w:ascii="宋体" w:hAnsi="宋体" w:eastAsia="宋体" w:cs="宋体"/>
                <w:color w:val="auto"/>
                <w:sz w:val="21"/>
                <w:szCs w:val="21"/>
                <w:highlight w:val="none"/>
              </w:rPr>
              <w:t>.4.4</w:t>
            </w:r>
          </w:p>
        </w:tc>
        <w:tc>
          <w:tcPr>
            <w:tcW w:w="2205" w:type="dxa"/>
            <w:vAlign w:val="center"/>
          </w:tcPr>
          <w:p>
            <w:pPr>
              <w:keepNext w:val="0"/>
              <w:keepLines w:val="0"/>
              <w:pageBreakBefore w:val="0"/>
              <w:widowControl w:val="0"/>
              <w:wordWrap/>
              <w:overflowPunct/>
              <w:topLinePunct w:val="0"/>
              <w:bidi w:val="0"/>
              <w:spacing w:line="360" w:lineRule="exact"/>
              <w:ind w:left="0" w:right="0"/>
              <w:jc w:val="center"/>
              <w:rPr>
                <w:rFonts w:hint="eastAsia" w:ascii="宋体" w:hAnsi="宋体" w:eastAsia="宋体" w:cs="宋体"/>
                <w:color w:val="auto"/>
                <w:sz w:val="21"/>
                <w:szCs w:val="21"/>
                <w:highlight w:val="none"/>
              </w:rPr>
            </w:pPr>
          </w:p>
          <w:p>
            <w:pPr>
              <w:keepNext w:val="0"/>
              <w:keepLines w:val="0"/>
              <w:pageBreakBefore w:val="0"/>
              <w:widowControl w:val="0"/>
              <w:wordWrap/>
              <w:overflowPunct/>
              <w:topLinePunct w:val="0"/>
              <w:bidi w:val="0"/>
              <w:spacing w:line="360" w:lineRule="exact"/>
              <w:ind w:left="0" w:leftChars="0" w:right="0" w:rightChars="0" w:firstLine="2" w:firstLine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投</w:t>
            </w:r>
            <w:r>
              <w:rPr>
                <w:rFonts w:hint="eastAsia" w:ascii="宋体" w:hAnsi="宋体" w:eastAsia="宋体" w:cs="宋体"/>
                <w:color w:val="auto"/>
                <w:spacing w:val="11"/>
                <w:sz w:val="21"/>
                <w:szCs w:val="21"/>
                <w:highlight w:val="none"/>
              </w:rPr>
              <w:t>标人不得存在下列不良</w:t>
            </w:r>
            <w:r>
              <w:rPr>
                <w:rFonts w:hint="eastAsia" w:ascii="宋体" w:hAnsi="宋体" w:eastAsia="宋体" w:cs="宋体"/>
                <w:color w:val="auto"/>
                <w:spacing w:val="8"/>
                <w:sz w:val="21"/>
                <w:szCs w:val="21"/>
                <w:highlight w:val="none"/>
              </w:rPr>
              <w:t>信</w:t>
            </w:r>
            <w:r>
              <w:rPr>
                <w:rFonts w:hint="eastAsia" w:ascii="宋体" w:hAnsi="宋体" w:eastAsia="宋体" w:cs="宋体"/>
                <w:color w:val="auto"/>
                <w:spacing w:val="7"/>
                <w:sz w:val="21"/>
                <w:szCs w:val="21"/>
                <w:highlight w:val="none"/>
              </w:rPr>
              <w:t>用记录</w:t>
            </w:r>
          </w:p>
        </w:tc>
        <w:tc>
          <w:tcPr>
            <w:tcW w:w="6138" w:type="dxa"/>
            <w:vAlign w:val="center"/>
          </w:tcPr>
          <w:p>
            <w:pPr>
              <w:keepNext w:val="0"/>
              <w:keepLines w:val="0"/>
              <w:pageBreakBefore w:val="0"/>
              <w:widowControl w:val="0"/>
              <w:kinsoku/>
              <w:wordWrap/>
              <w:overflowPunct/>
              <w:topLinePunct w:val="0"/>
              <w:autoSpaceDE/>
              <w:autoSpaceDN/>
              <w:bidi w:val="0"/>
              <w:adjustRightInd/>
              <w:snapToGrid/>
              <w:spacing w:line="340" w:lineRule="exact"/>
              <w:ind w:left="0" w:right="0" w:rightChars="0"/>
              <w:jc w:val="both"/>
              <w:textAlignment w:val="auto"/>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sym w:font="Wingdings" w:char="0081"/>
            </w:r>
            <w:r>
              <w:rPr>
                <w:rFonts w:hint="eastAsia" w:ascii="宋体" w:hAnsi="宋体" w:eastAsia="宋体" w:cs="宋体"/>
                <w:color w:val="auto"/>
                <w:spacing w:val="0"/>
                <w:position w:val="0"/>
                <w:sz w:val="21"/>
                <w:szCs w:val="21"/>
                <w:highlight w:val="none"/>
              </w:rPr>
              <w:t>企业</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法定代表人</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项目负责人</w:t>
            </w:r>
            <w:r>
              <w:rPr>
                <w:rFonts w:hint="eastAsia" w:ascii="宋体" w:hAnsi="宋体" w:eastAsia="宋体" w:cs="宋体"/>
                <w:color w:val="auto"/>
                <w:spacing w:val="0"/>
                <w:position w:val="0"/>
                <w:sz w:val="21"/>
                <w:szCs w:val="21"/>
                <w:highlight w:val="none"/>
                <w:lang w:eastAsia="zh-CN"/>
              </w:rPr>
              <w:t>三年内</w:t>
            </w:r>
            <w:r>
              <w:rPr>
                <w:rFonts w:hint="eastAsia" w:ascii="宋体" w:hAnsi="宋体" w:eastAsia="宋体" w:cs="宋体"/>
                <w:color w:val="auto"/>
                <w:spacing w:val="0"/>
                <w:position w:val="0"/>
                <w:sz w:val="21"/>
                <w:szCs w:val="21"/>
                <w:highlight w:val="none"/>
              </w:rPr>
              <w:t>无行贿犯罪记录（以“中国裁判文书网”查询为准）；</w:t>
            </w:r>
          </w:p>
          <w:p>
            <w:pPr>
              <w:keepNext w:val="0"/>
              <w:keepLines w:val="0"/>
              <w:pageBreakBefore w:val="0"/>
              <w:widowControl w:val="0"/>
              <w:kinsoku/>
              <w:wordWrap/>
              <w:overflowPunct/>
              <w:topLinePunct w:val="0"/>
              <w:autoSpaceDE/>
              <w:autoSpaceDN/>
              <w:bidi w:val="0"/>
              <w:adjustRightInd/>
              <w:snapToGrid/>
              <w:spacing w:line="340" w:lineRule="exact"/>
              <w:ind w:left="0" w:right="0" w:rightChars="0"/>
              <w:jc w:val="both"/>
              <w:textAlignment w:val="auto"/>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sym w:font="Wingdings" w:char="0082"/>
            </w:r>
            <w:r>
              <w:rPr>
                <w:rFonts w:hint="eastAsia" w:ascii="宋体" w:hAnsi="宋体" w:eastAsia="宋体" w:cs="宋体"/>
                <w:color w:val="auto"/>
                <w:spacing w:val="0"/>
                <w:position w:val="0"/>
                <w:sz w:val="21"/>
                <w:szCs w:val="21"/>
                <w:highlight w:val="none"/>
              </w:rPr>
              <w:t>企业</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项目负责人没有被相关监管部门（行业主管部门、招投标监督部门）限制、清出</w:t>
            </w:r>
            <w:r>
              <w:rPr>
                <w:rFonts w:hint="eastAsia" w:ascii="宋体" w:hAnsi="宋体" w:eastAsia="宋体" w:cs="宋体"/>
                <w:color w:val="auto"/>
                <w:spacing w:val="0"/>
                <w:position w:val="0"/>
                <w:sz w:val="21"/>
                <w:szCs w:val="21"/>
                <w:highlight w:val="none"/>
                <w:lang w:val="en-US" w:eastAsia="zh-CN"/>
              </w:rPr>
              <w:t>嵊州市</w:t>
            </w:r>
            <w:r>
              <w:rPr>
                <w:rFonts w:hint="eastAsia" w:ascii="宋体" w:hAnsi="宋体" w:eastAsia="宋体" w:cs="宋体"/>
                <w:color w:val="auto"/>
                <w:spacing w:val="0"/>
                <w:position w:val="0"/>
                <w:sz w:val="21"/>
                <w:szCs w:val="21"/>
                <w:highlight w:val="none"/>
              </w:rPr>
              <w:t>市场记录（具体时间以监管部门规定时限为准）；</w:t>
            </w:r>
          </w:p>
          <w:p>
            <w:pPr>
              <w:keepNext w:val="0"/>
              <w:keepLines w:val="0"/>
              <w:pageBreakBefore w:val="0"/>
              <w:widowControl w:val="0"/>
              <w:kinsoku/>
              <w:wordWrap/>
              <w:overflowPunct/>
              <w:topLinePunct w:val="0"/>
              <w:autoSpaceDE/>
              <w:autoSpaceDN/>
              <w:bidi w:val="0"/>
              <w:adjustRightInd/>
              <w:snapToGrid/>
              <w:spacing w:line="340" w:lineRule="exact"/>
              <w:ind w:left="0" w:right="0" w:rightChars="0"/>
              <w:jc w:val="both"/>
              <w:textAlignment w:val="auto"/>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sym w:font="Wingdings" w:char="0083"/>
            </w:r>
            <w:r>
              <w:rPr>
                <w:rFonts w:hint="eastAsia" w:ascii="宋体" w:hAnsi="宋体" w:eastAsia="宋体" w:cs="宋体"/>
                <w:color w:val="auto"/>
                <w:spacing w:val="0"/>
                <w:position w:val="0"/>
                <w:sz w:val="21"/>
                <w:szCs w:val="21"/>
                <w:highlight w:val="none"/>
              </w:rPr>
              <w:t>在国家企业信用信息公示系统 (http://www.gsxt.gov.cn) 中</w:t>
            </w:r>
            <w:r>
              <w:rPr>
                <w:rFonts w:hint="eastAsia" w:ascii="宋体" w:hAnsi="宋体" w:eastAsia="宋体" w:cs="宋体"/>
                <w:color w:val="auto"/>
                <w:spacing w:val="0"/>
                <w:position w:val="0"/>
                <w:sz w:val="21"/>
                <w:szCs w:val="21"/>
                <w:highlight w:val="none"/>
                <w:lang w:val="en-US" w:eastAsia="zh-CN"/>
              </w:rPr>
              <w:t>未</w:t>
            </w:r>
            <w:r>
              <w:rPr>
                <w:rFonts w:hint="eastAsia" w:ascii="宋体" w:hAnsi="宋体" w:eastAsia="宋体" w:cs="宋体"/>
                <w:color w:val="auto"/>
                <w:spacing w:val="0"/>
                <w:position w:val="0"/>
                <w:sz w:val="21"/>
                <w:szCs w:val="21"/>
                <w:highlight w:val="none"/>
              </w:rPr>
              <w:t>被列入严重违法失信企业名单；</w:t>
            </w:r>
          </w:p>
          <w:p>
            <w:pPr>
              <w:keepNext w:val="0"/>
              <w:keepLines w:val="0"/>
              <w:pageBreakBefore w:val="0"/>
              <w:widowControl w:val="0"/>
              <w:kinsoku/>
              <w:wordWrap/>
              <w:overflowPunct/>
              <w:topLinePunct w:val="0"/>
              <w:autoSpaceDE/>
              <w:autoSpaceDN/>
              <w:bidi w:val="0"/>
              <w:adjustRightInd/>
              <w:snapToGrid/>
              <w:spacing w:line="340" w:lineRule="exact"/>
              <w:ind w:left="0" w:leftChars="0" w:right="0" w:rightChars="0"/>
              <w:jc w:val="both"/>
              <w:textAlignment w:val="auto"/>
              <w:rPr>
                <w:rFonts w:hint="eastAsia" w:ascii="宋体" w:hAnsi="宋体" w:eastAsia="宋体" w:cs="宋体"/>
                <w:color w:val="auto"/>
                <w:sz w:val="21"/>
                <w:szCs w:val="21"/>
                <w:highlight w:val="none"/>
                <w:u w:val="none"/>
                <w:vertAlign w:val="baseline"/>
              </w:rPr>
            </w:pPr>
            <w:r>
              <w:rPr>
                <w:rFonts w:hint="eastAsia" w:ascii="宋体" w:hAnsi="宋体" w:eastAsia="宋体" w:cs="宋体"/>
                <w:color w:val="auto"/>
                <w:spacing w:val="0"/>
                <w:position w:val="0"/>
                <w:sz w:val="21"/>
                <w:szCs w:val="21"/>
                <w:highlight w:val="none"/>
              </w:rPr>
              <w:t>④在“信用中国”网站 (</w:t>
            </w:r>
            <w:r>
              <w:rPr>
                <w:rFonts w:hint="eastAsia" w:ascii="宋体" w:hAnsi="宋体" w:eastAsia="宋体" w:cs="宋体"/>
                <w:color w:val="auto"/>
                <w:spacing w:val="0"/>
                <w:position w:val="0"/>
                <w:sz w:val="21"/>
                <w:szCs w:val="21"/>
                <w:highlight w:val="none"/>
              </w:rPr>
              <w:fldChar w:fldCharType="begin"/>
            </w:r>
            <w:r>
              <w:rPr>
                <w:rFonts w:hint="eastAsia" w:ascii="宋体" w:hAnsi="宋体" w:eastAsia="宋体" w:cs="宋体"/>
                <w:color w:val="auto"/>
                <w:spacing w:val="0"/>
                <w:position w:val="0"/>
                <w:sz w:val="21"/>
                <w:szCs w:val="21"/>
                <w:highlight w:val="none"/>
              </w:rPr>
              <w:instrText xml:space="preserve"> HYPERLINK "http://www.creditchina.gov.cn/" </w:instrText>
            </w:r>
            <w:r>
              <w:rPr>
                <w:rFonts w:hint="eastAsia" w:ascii="宋体" w:hAnsi="宋体" w:eastAsia="宋体" w:cs="宋体"/>
                <w:color w:val="auto"/>
                <w:spacing w:val="0"/>
                <w:position w:val="0"/>
                <w:sz w:val="21"/>
                <w:szCs w:val="21"/>
                <w:highlight w:val="none"/>
              </w:rPr>
              <w:fldChar w:fldCharType="separate"/>
            </w:r>
            <w:r>
              <w:rPr>
                <w:rFonts w:hint="eastAsia" w:ascii="宋体" w:hAnsi="宋体" w:eastAsia="宋体" w:cs="宋体"/>
                <w:color w:val="auto"/>
                <w:spacing w:val="0"/>
                <w:position w:val="0"/>
                <w:sz w:val="21"/>
                <w:szCs w:val="21"/>
                <w:highlight w:val="none"/>
              </w:rPr>
              <w:t>http://www.creditchina.gov.cn/</w:t>
            </w:r>
            <w:r>
              <w:rPr>
                <w:rFonts w:hint="eastAsia" w:ascii="宋体" w:hAnsi="宋体" w:eastAsia="宋体" w:cs="宋体"/>
                <w:color w:val="auto"/>
                <w:spacing w:val="0"/>
                <w:position w:val="0"/>
                <w:sz w:val="21"/>
                <w:szCs w:val="21"/>
                <w:highlight w:val="none"/>
              </w:rPr>
              <w:fldChar w:fldCharType="end"/>
            </w:r>
            <w:r>
              <w:rPr>
                <w:rFonts w:hint="eastAsia" w:ascii="宋体" w:hAnsi="宋体" w:eastAsia="宋体" w:cs="宋体"/>
                <w:color w:val="auto"/>
                <w:spacing w:val="0"/>
                <w:position w:val="0"/>
                <w:sz w:val="21"/>
                <w:szCs w:val="21"/>
                <w:highlight w:val="none"/>
              </w:rPr>
              <w:t>) 中</w:t>
            </w:r>
            <w:r>
              <w:rPr>
                <w:rFonts w:hint="eastAsia" w:ascii="宋体" w:hAnsi="宋体" w:eastAsia="宋体" w:cs="宋体"/>
                <w:color w:val="auto"/>
                <w:spacing w:val="0"/>
                <w:position w:val="0"/>
                <w:sz w:val="21"/>
                <w:szCs w:val="21"/>
                <w:highlight w:val="none"/>
                <w:lang w:val="en-US" w:eastAsia="zh-CN"/>
              </w:rPr>
              <w:t>未</w:t>
            </w:r>
            <w:r>
              <w:rPr>
                <w:rFonts w:hint="eastAsia" w:ascii="宋体" w:hAnsi="宋体" w:eastAsia="宋体" w:cs="宋体"/>
                <w:color w:val="auto"/>
                <w:spacing w:val="0"/>
                <w:position w:val="0"/>
                <w:sz w:val="21"/>
                <w:szCs w:val="21"/>
                <w:highlight w:val="none"/>
              </w:rPr>
              <w:t>被列入失信被执行人名单。如有特殊情况的，由投标人在投标文件中提供执行法院的有效依据。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7"/>
                <w:sz w:val="21"/>
                <w:szCs w:val="21"/>
                <w:highlight w:val="none"/>
              </w:rPr>
              <w:t>1.10.</w:t>
            </w:r>
            <w:r>
              <w:rPr>
                <w:rFonts w:hint="eastAsia" w:ascii="宋体" w:hAnsi="宋体" w:eastAsia="宋体" w:cs="宋体"/>
                <w:color w:val="auto"/>
                <w:spacing w:val="-6"/>
                <w:sz w:val="21"/>
                <w:szCs w:val="21"/>
                <w:highlight w:val="none"/>
              </w:rPr>
              <w:t>2</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投标预备会投标人提出问题</w:t>
            </w:r>
          </w:p>
        </w:tc>
        <w:tc>
          <w:tcPr>
            <w:tcW w:w="6138" w:type="dxa"/>
            <w:vAlign w:val="center"/>
          </w:tcPr>
          <w:p>
            <w:pPr>
              <w:keepNext w:val="0"/>
              <w:keepLines w:val="0"/>
              <w:pageBreakBefore w:val="0"/>
              <w:widowControl w:val="0"/>
              <w:wordWrap/>
              <w:overflowPunct/>
              <w:topLinePunct w:val="0"/>
              <w:bidi w:val="0"/>
              <w:spacing w:line="340" w:lineRule="exact"/>
              <w:ind w:right="0" w:rightChars="0"/>
              <w:jc w:val="both"/>
              <w:rPr>
                <w:rFonts w:hint="eastAsia" w:ascii="宋体" w:hAnsi="宋体" w:eastAsia="宋体" w:cs="宋体"/>
                <w:color w:val="auto"/>
                <w:sz w:val="21"/>
                <w:szCs w:val="21"/>
                <w:highlight w:val="none"/>
                <w:u w:val="none"/>
                <w:vertAlign w:val="baseline"/>
                <w:lang w:val="en-US"/>
              </w:rPr>
            </w:pPr>
            <w:r>
              <w:rPr>
                <w:rFonts w:hint="eastAsia" w:ascii="宋体" w:hAnsi="宋体" w:eastAsia="宋体" w:cs="宋体"/>
                <w:color w:val="auto"/>
                <w:sz w:val="21"/>
                <w:szCs w:val="21"/>
                <w:highlight w:val="none"/>
                <w:u w:val="none"/>
                <w:lang w:val="en-US" w:eastAsia="zh-CN"/>
              </w:rPr>
              <w:t xml:space="preserve">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79" w:type="dxa"/>
            <w:vAlign w:val="center"/>
          </w:tcPr>
          <w:p>
            <w:pPr>
              <w:keepNext w:val="0"/>
              <w:keepLines w:val="0"/>
              <w:pageBreakBefore w:val="0"/>
              <w:widowControl w:val="0"/>
              <w:wordWrap/>
              <w:overflowPunct/>
              <w:topLinePunct w:val="0"/>
              <w:bidi w:val="0"/>
              <w:spacing w:line="360" w:lineRule="exact"/>
              <w:ind w:left="0" w:right="0"/>
              <w:jc w:val="center"/>
              <w:rPr>
                <w:rFonts w:hint="eastAsia" w:ascii="宋体" w:hAnsi="宋体" w:eastAsia="宋体" w:cs="宋体"/>
                <w:color w:val="auto"/>
                <w:sz w:val="21"/>
                <w:szCs w:val="21"/>
                <w:highlight w:val="none"/>
              </w:rPr>
            </w:pPr>
          </w:p>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0"/>
                <w:sz w:val="21"/>
                <w:szCs w:val="21"/>
                <w:highlight w:val="none"/>
              </w:rPr>
              <w:t>1</w:t>
            </w:r>
            <w:r>
              <w:rPr>
                <w:rFonts w:hint="eastAsia" w:ascii="宋体" w:hAnsi="宋体" w:eastAsia="宋体" w:cs="宋体"/>
                <w:color w:val="auto"/>
                <w:spacing w:val="-8"/>
                <w:sz w:val="21"/>
                <w:szCs w:val="21"/>
                <w:highlight w:val="none"/>
              </w:rPr>
              <w:t>.11.1</w:t>
            </w:r>
          </w:p>
        </w:tc>
        <w:tc>
          <w:tcPr>
            <w:tcW w:w="2205" w:type="dxa"/>
            <w:vAlign w:val="center"/>
          </w:tcPr>
          <w:p>
            <w:pPr>
              <w:keepNext w:val="0"/>
              <w:keepLines w:val="0"/>
              <w:pageBreakBefore w:val="0"/>
              <w:widowControl w:val="0"/>
              <w:wordWrap/>
              <w:overflowPunct/>
              <w:topLinePunct w:val="0"/>
              <w:bidi w:val="0"/>
              <w:spacing w:line="360" w:lineRule="exact"/>
              <w:ind w:left="0" w:right="0"/>
              <w:jc w:val="center"/>
              <w:rPr>
                <w:rFonts w:hint="eastAsia" w:ascii="宋体" w:hAnsi="宋体" w:eastAsia="宋体" w:cs="宋体"/>
                <w:color w:val="auto"/>
                <w:sz w:val="21"/>
                <w:szCs w:val="21"/>
                <w:highlight w:val="none"/>
              </w:rPr>
            </w:pPr>
          </w:p>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3"/>
                <w:sz w:val="21"/>
                <w:szCs w:val="21"/>
                <w:highlight w:val="none"/>
              </w:rPr>
              <w:t>分包</w:t>
            </w:r>
          </w:p>
        </w:tc>
        <w:tc>
          <w:tcPr>
            <w:tcW w:w="6138" w:type="dxa"/>
            <w:vAlign w:val="top"/>
          </w:tcPr>
          <w:p>
            <w:pPr>
              <w:keepNext w:val="0"/>
              <w:keepLines w:val="0"/>
              <w:pageBreakBefore w:val="0"/>
              <w:widowControl/>
              <w:wordWrap/>
              <w:overflowPunct/>
              <w:topLinePunct w:val="0"/>
              <w:bidi w:val="0"/>
              <w:adjustRightInd w:val="0"/>
              <w:snapToGrid w:val="0"/>
              <w:spacing w:line="360" w:lineRule="exact"/>
              <w:ind w:left="0" w:right="0"/>
              <w:jc w:val="both"/>
              <w:rPr>
                <w:rFonts w:hint="eastAsia" w:ascii="宋体" w:hAnsi="宋体" w:eastAsia="宋体" w:cs="宋体"/>
                <w:color w:val="auto"/>
                <w:spacing w:val="9"/>
                <w:kern w:val="2"/>
                <w:sz w:val="21"/>
                <w:szCs w:val="21"/>
                <w:highlight w:val="none"/>
              </w:rPr>
            </w:pPr>
            <w:r>
              <w:rPr>
                <w:rFonts w:hint="eastAsia" w:ascii="宋体" w:hAnsi="宋体" w:eastAsia="宋体" w:cs="宋体"/>
                <w:color w:val="auto"/>
                <w:spacing w:val="9"/>
                <w:kern w:val="2"/>
                <w:sz w:val="21"/>
                <w:szCs w:val="21"/>
                <w:highlight w:val="none"/>
              </w:rPr>
              <w:t>分包应符合交通运输部《关于印发公路工程施工分包管理办法的通知》、浙江省交通运输厅《浙江省公路水运施工分包 和劳务合作管理实施细则》及浙交（2022）97号文件省交通运输厅关于印发《浙江省公路水运工程施工分包管理办法（试行）》的通知有关分包管理的规定。</w:t>
            </w:r>
          </w:p>
          <w:p>
            <w:pPr>
              <w:keepNext w:val="0"/>
              <w:keepLines w:val="0"/>
              <w:pageBreakBefore w:val="0"/>
              <w:widowControl/>
              <w:wordWrap/>
              <w:overflowPunct/>
              <w:topLinePunct w:val="0"/>
              <w:bidi w:val="0"/>
              <w:adjustRightInd w:val="0"/>
              <w:snapToGrid w:val="0"/>
              <w:spacing w:line="360" w:lineRule="exact"/>
              <w:ind w:left="0" w:right="0"/>
              <w:jc w:val="both"/>
              <w:rPr>
                <w:rFonts w:hint="eastAsia" w:ascii="宋体" w:hAnsi="宋体" w:eastAsia="宋体" w:cs="宋体"/>
                <w:color w:val="auto"/>
                <w:spacing w:val="9"/>
                <w:kern w:val="2"/>
                <w:sz w:val="21"/>
                <w:szCs w:val="21"/>
                <w:highlight w:val="none"/>
                <w:u w:val="single"/>
                <w:lang w:eastAsia="zh-CN"/>
              </w:rPr>
            </w:pPr>
            <w:r>
              <w:rPr>
                <w:rFonts w:hint="eastAsia" w:ascii="宋体" w:hAnsi="宋体" w:eastAsia="宋体" w:cs="宋体"/>
                <w:color w:val="auto"/>
                <w:spacing w:val="9"/>
                <w:kern w:val="2"/>
                <w:sz w:val="21"/>
                <w:szCs w:val="21"/>
                <w:highlight w:val="none"/>
              </w:rPr>
              <w:t>不得分包的工程内容为：</w:t>
            </w:r>
            <w:r>
              <w:rPr>
                <w:rFonts w:hint="eastAsia" w:ascii="宋体" w:hAnsi="宋体" w:eastAsia="宋体" w:cs="宋体"/>
                <w:color w:val="auto"/>
                <w:spacing w:val="9"/>
                <w:kern w:val="2"/>
                <w:sz w:val="21"/>
                <w:szCs w:val="21"/>
                <w:highlight w:val="none"/>
                <w:u w:val="single"/>
                <w:lang w:eastAsia="zh-CN"/>
              </w:rPr>
              <w:t>预应力混凝土</w:t>
            </w:r>
            <w:r>
              <w:rPr>
                <w:rFonts w:hint="eastAsia" w:ascii="宋体" w:hAnsi="宋体" w:eastAsia="宋体" w:cs="宋体"/>
                <w:color w:val="auto"/>
                <w:spacing w:val="9"/>
                <w:kern w:val="2"/>
                <w:sz w:val="21"/>
                <w:szCs w:val="21"/>
                <w:highlight w:val="none"/>
                <w:u w:val="single"/>
                <w:lang w:val="en-US" w:eastAsia="zh-CN"/>
              </w:rPr>
              <w:t>桥梁</w:t>
            </w:r>
            <w:r>
              <w:rPr>
                <w:rFonts w:hint="eastAsia" w:ascii="宋体" w:hAnsi="宋体" w:eastAsia="宋体" w:cs="宋体"/>
                <w:color w:val="auto"/>
                <w:spacing w:val="9"/>
                <w:kern w:val="2"/>
                <w:sz w:val="21"/>
                <w:szCs w:val="21"/>
                <w:highlight w:val="none"/>
                <w:u w:val="single"/>
                <w:lang w:eastAsia="zh-CN"/>
              </w:rPr>
              <w:t>上部</w:t>
            </w:r>
            <w:r>
              <w:rPr>
                <w:rFonts w:hint="eastAsia" w:ascii="宋体" w:hAnsi="宋体" w:eastAsia="宋体" w:cs="宋体"/>
                <w:color w:val="auto"/>
                <w:spacing w:val="9"/>
                <w:kern w:val="2"/>
                <w:sz w:val="21"/>
                <w:szCs w:val="21"/>
                <w:highlight w:val="none"/>
                <w:u w:val="single"/>
                <w:lang w:val="en-US" w:eastAsia="zh-CN"/>
              </w:rPr>
              <w:t>承重</w:t>
            </w:r>
            <w:r>
              <w:rPr>
                <w:rFonts w:hint="eastAsia" w:ascii="宋体" w:hAnsi="宋体" w:eastAsia="宋体" w:cs="宋体"/>
                <w:color w:val="auto"/>
                <w:spacing w:val="9"/>
                <w:kern w:val="2"/>
                <w:sz w:val="21"/>
                <w:szCs w:val="21"/>
                <w:highlight w:val="none"/>
                <w:u w:val="single"/>
                <w:lang w:eastAsia="zh-CN"/>
              </w:rPr>
              <w:t>结构</w:t>
            </w:r>
          </w:p>
          <w:p>
            <w:pPr>
              <w:keepNext w:val="0"/>
              <w:keepLines w:val="0"/>
              <w:pageBreakBefore w:val="0"/>
              <w:widowControl w:val="0"/>
              <w:wordWrap/>
              <w:overflowPunct/>
              <w:topLinePunct w:val="0"/>
              <w:bidi w:val="0"/>
              <w:spacing w:line="340" w:lineRule="exact"/>
              <w:ind w:left="0" w:leftChars="0" w:right="0" w:rightChars="0"/>
              <w:jc w:val="left"/>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pacing w:val="9"/>
                <w:kern w:val="2"/>
                <w:sz w:val="21"/>
                <w:szCs w:val="21"/>
                <w:highlight w:val="none"/>
              </w:rPr>
              <w:t>分</w:t>
            </w:r>
            <w:r>
              <w:rPr>
                <w:rFonts w:hint="eastAsia" w:ascii="宋体" w:hAnsi="宋体" w:eastAsia="宋体" w:cs="宋体"/>
                <w:color w:val="auto"/>
                <w:spacing w:val="7"/>
                <w:kern w:val="2"/>
                <w:sz w:val="21"/>
                <w:szCs w:val="21"/>
                <w:highlight w:val="none"/>
              </w:rPr>
              <w:t>包的其他规定：</w:t>
            </w:r>
            <w:r>
              <w:rPr>
                <w:rFonts w:hint="eastAsia" w:ascii="宋体" w:hAnsi="宋体" w:eastAsia="宋体" w:cs="宋体"/>
                <w:color w:val="auto"/>
                <w:spacing w:val="7"/>
                <w:kern w:val="2"/>
                <w:sz w:val="21"/>
                <w:szCs w:val="21"/>
                <w:highlight w:val="none"/>
                <w:u w:val="single"/>
                <w:lang w:val="en-US" w:eastAsia="zh-CN"/>
              </w:rPr>
              <w:t xml:space="preserve">    </w:t>
            </w:r>
            <w:r>
              <w:rPr>
                <w:rFonts w:hint="eastAsia" w:ascii="宋体" w:hAnsi="宋体" w:eastAsia="宋体" w:cs="宋体"/>
                <w:color w:val="auto"/>
                <w:spacing w:val="7"/>
                <w:kern w:val="2"/>
                <w:sz w:val="21"/>
                <w:szCs w:val="21"/>
                <w:highlight w:val="none"/>
                <w:u w:val="single"/>
              </w:rPr>
              <w:t>/</w:t>
            </w:r>
            <w:r>
              <w:rPr>
                <w:rFonts w:hint="eastAsia" w:ascii="宋体" w:hAnsi="宋体" w:eastAsia="宋体" w:cs="宋体"/>
                <w:color w:val="auto"/>
                <w:spacing w:val="7"/>
                <w:kern w:val="2"/>
                <w:sz w:val="21"/>
                <w:szCs w:val="21"/>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3"/>
                <w:sz w:val="21"/>
                <w:szCs w:val="21"/>
                <w:highlight w:val="none"/>
              </w:rPr>
              <w:t>2.</w:t>
            </w:r>
            <w:r>
              <w:rPr>
                <w:rFonts w:hint="eastAsia" w:ascii="宋体" w:hAnsi="宋体" w:eastAsia="宋体" w:cs="宋体"/>
                <w:color w:val="auto"/>
                <w:spacing w:val="2"/>
                <w:sz w:val="21"/>
                <w:szCs w:val="21"/>
                <w:highlight w:val="none"/>
              </w:rPr>
              <w:t>1</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构成招标文件的其他材料</w:t>
            </w:r>
          </w:p>
        </w:tc>
        <w:tc>
          <w:tcPr>
            <w:tcW w:w="6138" w:type="dxa"/>
            <w:vAlign w:val="center"/>
          </w:tcPr>
          <w:p>
            <w:pPr>
              <w:keepNext w:val="0"/>
              <w:keepLines w:val="0"/>
              <w:pageBreakBefore w:val="0"/>
              <w:widowControl w:val="0"/>
              <w:wordWrap/>
              <w:overflowPunct/>
              <w:topLinePunct w:val="0"/>
              <w:bidi w:val="0"/>
              <w:spacing w:line="340" w:lineRule="exact"/>
              <w:ind w:left="0" w:leftChars="0" w:right="0" w:rightChars="0"/>
              <w:jc w:val="both"/>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招标人按规定报备后的标有编号的补遗书 (如有)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2.2.1</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default" w:ascii="宋体" w:hAnsi="宋体" w:eastAsia="宋体" w:cs="宋体"/>
                <w:color w:val="auto"/>
                <w:sz w:val="21"/>
                <w:szCs w:val="21"/>
                <w:highlight w:val="none"/>
                <w:u w:val="none"/>
                <w:vertAlign w:val="baseline"/>
                <w:lang w:val="en-US" w:eastAsia="zh-CN"/>
              </w:rPr>
            </w:pPr>
            <w:r>
              <w:rPr>
                <w:rFonts w:hint="eastAsia" w:ascii="宋体" w:hAnsi="宋体" w:eastAsia="宋体" w:cs="宋体"/>
                <w:color w:val="auto"/>
                <w:sz w:val="21"/>
                <w:szCs w:val="21"/>
                <w:highlight w:val="none"/>
                <w:u w:val="none"/>
              </w:rPr>
              <w:t>投标人要求澄清招标文件</w:t>
            </w:r>
            <w:r>
              <w:rPr>
                <w:rFonts w:hint="eastAsia" w:ascii="宋体" w:hAnsi="宋体" w:eastAsia="宋体" w:cs="宋体"/>
                <w:color w:val="auto"/>
                <w:sz w:val="21"/>
                <w:szCs w:val="21"/>
                <w:highlight w:val="none"/>
                <w:u w:val="none"/>
                <w:lang w:val="en-US" w:eastAsia="zh-CN"/>
              </w:rPr>
              <w:t>的截止时间</w:t>
            </w:r>
          </w:p>
        </w:tc>
        <w:tc>
          <w:tcPr>
            <w:tcW w:w="6138" w:type="dxa"/>
            <w:vAlign w:val="center"/>
          </w:tcPr>
          <w:p>
            <w:pPr>
              <w:keepNext w:val="0"/>
              <w:keepLines w:val="0"/>
              <w:pageBreakBefore w:val="0"/>
              <w:widowControl w:val="0"/>
              <w:wordWrap/>
              <w:overflowPunct/>
              <w:topLinePunct w:val="0"/>
              <w:bidi w:val="0"/>
              <w:spacing w:line="340" w:lineRule="exact"/>
              <w:ind w:left="0" w:leftChars="0" w:right="0" w:rightChars="0"/>
              <w:jc w:val="both"/>
              <w:rPr>
                <w:rFonts w:hint="eastAsia" w:ascii="宋体" w:hAnsi="宋体" w:eastAsia="宋体" w:cs="宋体"/>
                <w:color w:val="auto"/>
                <w:sz w:val="21"/>
                <w:szCs w:val="21"/>
                <w:highlight w:val="none"/>
                <w:u w:val="none"/>
                <w:vertAlign w:val="baseline"/>
              </w:rPr>
            </w:pPr>
            <w:r>
              <w:rPr>
                <w:rFonts w:hint="eastAsia" w:ascii="宋体" w:hAnsi="宋体" w:eastAsia="宋体" w:cs="宋体"/>
                <w:color w:val="auto"/>
                <w:sz w:val="21"/>
                <w:szCs w:val="21"/>
                <w:highlight w:val="none"/>
                <w:u w:val="none"/>
                <w:lang w:val="en-US" w:eastAsia="zh-CN"/>
              </w:rPr>
              <w:t>投标截止日</w:t>
            </w:r>
            <w:r>
              <w:rPr>
                <w:rFonts w:hint="eastAsia" w:ascii="宋体" w:hAnsi="宋体" w:eastAsia="宋体" w:cs="宋体"/>
                <w:color w:val="auto"/>
                <w:sz w:val="21"/>
                <w:szCs w:val="21"/>
                <w:highlight w:val="none"/>
                <w:u w:val="single"/>
                <w:lang w:val="en-US" w:eastAsia="zh-CN"/>
              </w:rPr>
              <w:t xml:space="preserve"> 15 </w:t>
            </w:r>
            <w:r>
              <w:rPr>
                <w:rFonts w:hint="eastAsia" w:ascii="宋体" w:hAnsi="宋体" w:eastAsia="宋体" w:cs="宋体"/>
                <w:color w:val="auto"/>
                <w:sz w:val="21"/>
                <w:szCs w:val="21"/>
                <w:highlight w:val="none"/>
                <w:u w:val="none"/>
                <w:lang w:val="en-US" w:eastAsia="zh-CN"/>
              </w:rPr>
              <w:t>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179"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3. 1.1</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投标文件密封形式</w:t>
            </w:r>
          </w:p>
        </w:tc>
        <w:tc>
          <w:tcPr>
            <w:tcW w:w="6138" w:type="dxa"/>
            <w:vAlign w:val="center"/>
          </w:tcPr>
          <w:p>
            <w:pPr>
              <w:keepNext w:val="0"/>
              <w:keepLines w:val="0"/>
              <w:pageBreakBefore w:val="0"/>
              <w:widowControl w:val="0"/>
              <w:wordWrap/>
              <w:overflowPunct/>
              <w:topLinePunct w:val="0"/>
              <w:bidi w:val="0"/>
              <w:spacing w:line="340" w:lineRule="exact"/>
              <w:ind w:left="0" w:leftChars="0"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双信封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1179"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3. 1.1</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构成投标文件的其他资料</w:t>
            </w:r>
          </w:p>
        </w:tc>
        <w:tc>
          <w:tcPr>
            <w:tcW w:w="6138" w:type="dxa"/>
            <w:vAlign w:val="center"/>
          </w:tcPr>
          <w:p>
            <w:pPr>
              <w:keepNext w:val="0"/>
              <w:keepLines w:val="0"/>
              <w:pageBreakBefore w:val="0"/>
              <w:widowControl w:val="0"/>
              <w:wordWrap/>
              <w:overflowPunct/>
              <w:topLinePunct w:val="0"/>
              <w:bidi w:val="0"/>
              <w:spacing w:line="340" w:lineRule="exact"/>
              <w:ind w:left="0" w:leftChars="0" w:right="0" w:right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招标人对招标文件的补充（答疑、澄清）等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6"/>
                <w:sz w:val="21"/>
                <w:szCs w:val="21"/>
                <w:highlight w:val="none"/>
              </w:rPr>
              <w:t>3. 1.</w:t>
            </w:r>
            <w:r>
              <w:rPr>
                <w:rFonts w:hint="eastAsia" w:ascii="宋体" w:hAnsi="宋体" w:eastAsia="宋体" w:cs="宋体"/>
                <w:color w:val="auto"/>
                <w:spacing w:val="-5"/>
                <w:sz w:val="21"/>
                <w:szCs w:val="21"/>
                <w:highlight w:val="none"/>
              </w:rPr>
              <w:t>4</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已标价工程量清单电子版</w:t>
            </w:r>
          </w:p>
        </w:tc>
        <w:tc>
          <w:tcPr>
            <w:tcW w:w="6138" w:type="dxa"/>
            <w:vAlign w:val="center"/>
          </w:tcPr>
          <w:p>
            <w:pPr>
              <w:keepNext w:val="0"/>
              <w:keepLines w:val="0"/>
              <w:pageBreakBefore w:val="0"/>
              <w:widowControl w:val="0"/>
              <w:tabs>
                <w:tab w:val="left" w:pos="217"/>
              </w:tabs>
              <w:kinsoku/>
              <w:wordWrap/>
              <w:overflowPunct/>
              <w:topLinePunct w:val="0"/>
              <w:autoSpaceDE w:val="0"/>
              <w:autoSpaceDN w:val="0"/>
              <w:bidi w:val="0"/>
              <w:adjustRightInd w:val="0"/>
              <w:snapToGrid w:val="0"/>
              <w:spacing w:line="340" w:lineRule="exact"/>
              <w:ind w:left="0" w:leftChars="0" w:right="0" w:rightChars="0" w:firstLine="28" w:firstLineChars="0"/>
              <w:jc w:val="left"/>
              <w:textAlignment w:val="baseline"/>
              <w:rPr>
                <w:rFonts w:hint="eastAsia" w:ascii="宋体" w:hAnsi="宋体" w:eastAsia="宋体" w:cs="宋体"/>
                <w:color w:val="auto"/>
                <w:spacing w:val="9"/>
                <w:sz w:val="21"/>
                <w:szCs w:val="21"/>
                <w:highlight w:val="none"/>
                <w:u w:val="none" w:color="auto"/>
              </w:rPr>
            </w:pPr>
            <w:r>
              <w:rPr>
                <w:rFonts w:hint="eastAsia" w:ascii="宋体" w:hAnsi="宋体" w:eastAsia="宋体" w:cs="宋体"/>
                <w:color w:val="auto"/>
                <w:spacing w:val="9"/>
                <w:sz w:val="21"/>
                <w:szCs w:val="21"/>
                <w:highlight w:val="none"/>
                <w:u w:val="none" w:color="auto"/>
              </w:rPr>
              <w:t>已标价工程量清单电子版制作说明：</w:t>
            </w:r>
          </w:p>
          <w:p>
            <w:pPr>
              <w:keepNext w:val="0"/>
              <w:keepLines w:val="0"/>
              <w:pageBreakBefore w:val="0"/>
              <w:widowControl w:val="0"/>
              <w:tabs>
                <w:tab w:val="left" w:pos="217"/>
              </w:tabs>
              <w:kinsoku/>
              <w:wordWrap/>
              <w:overflowPunct/>
              <w:topLinePunct w:val="0"/>
              <w:autoSpaceDE w:val="0"/>
              <w:autoSpaceDN w:val="0"/>
              <w:bidi w:val="0"/>
              <w:adjustRightInd w:val="0"/>
              <w:snapToGrid w:val="0"/>
              <w:spacing w:line="340" w:lineRule="exact"/>
              <w:ind w:left="0" w:leftChars="0" w:right="0" w:rightChars="0" w:firstLine="28" w:firstLineChars="0"/>
              <w:jc w:val="left"/>
              <w:textAlignment w:val="baseline"/>
              <w:rPr>
                <w:rFonts w:hint="eastAsia" w:ascii="宋体" w:hAnsi="宋体" w:eastAsia="宋体" w:cs="宋体"/>
                <w:color w:val="auto"/>
                <w:spacing w:val="9"/>
                <w:sz w:val="21"/>
                <w:szCs w:val="21"/>
                <w:highlight w:val="none"/>
                <w:u w:val="none" w:color="auto"/>
                <w:lang w:eastAsia="zh-CN"/>
              </w:rPr>
            </w:pPr>
            <w:r>
              <w:rPr>
                <w:rFonts w:hint="eastAsia" w:ascii="宋体" w:hAnsi="宋体" w:eastAsia="宋体" w:cs="宋体"/>
                <w:color w:val="auto"/>
                <w:spacing w:val="9"/>
                <w:sz w:val="21"/>
                <w:szCs w:val="21"/>
                <w:highlight w:val="none"/>
                <w:u w:val="none" w:color="auto"/>
              </w:rPr>
              <w:t>（1）将已下载的工程量清单文件（excel 格式）导入计价软件，完成工程量清单制作</w:t>
            </w:r>
            <w:r>
              <w:rPr>
                <w:rFonts w:hint="eastAsia" w:ascii="宋体" w:hAnsi="宋体" w:eastAsia="宋体" w:cs="宋体"/>
                <w:color w:val="auto"/>
                <w:spacing w:val="9"/>
                <w:sz w:val="21"/>
                <w:szCs w:val="21"/>
                <w:highlight w:val="none"/>
                <w:u w:val="none" w:color="auto"/>
                <w:lang w:eastAsia="zh-CN"/>
              </w:rPr>
              <w:t>；</w:t>
            </w:r>
          </w:p>
          <w:p>
            <w:pPr>
              <w:keepNext w:val="0"/>
              <w:keepLines w:val="0"/>
              <w:pageBreakBefore w:val="0"/>
              <w:widowControl w:val="0"/>
              <w:tabs>
                <w:tab w:val="left" w:pos="217"/>
              </w:tabs>
              <w:kinsoku/>
              <w:wordWrap/>
              <w:overflowPunct/>
              <w:topLinePunct w:val="0"/>
              <w:autoSpaceDE w:val="0"/>
              <w:autoSpaceDN w:val="0"/>
              <w:bidi w:val="0"/>
              <w:adjustRightInd w:val="0"/>
              <w:snapToGrid w:val="0"/>
              <w:spacing w:line="340" w:lineRule="exact"/>
              <w:ind w:left="0" w:leftChars="0" w:right="0" w:rightChars="0" w:firstLine="28" w:firstLineChars="0"/>
              <w:jc w:val="left"/>
              <w:textAlignment w:val="baseline"/>
              <w:rPr>
                <w:rFonts w:hint="eastAsia" w:ascii="宋体" w:hAnsi="宋体" w:eastAsia="宋体" w:cs="宋体"/>
                <w:color w:val="auto"/>
                <w:spacing w:val="9"/>
                <w:sz w:val="21"/>
                <w:szCs w:val="21"/>
                <w:highlight w:val="none"/>
                <w:u w:val="none" w:color="auto"/>
              </w:rPr>
            </w:pPr>
            <w:r>
              <w:rPr>
                <w:rFonts w:hint="eastAsia" w:ascii="宋体" w:hAnsi="宋体" w:eastAsia="宋体" w:cs="宋体"/>
                <w:color w:val="auto"/>
                <w:spacing w:val="9"/>
                <w:sz w:val="21"/>
                <w:szCs w:val="21"/>
                <w:highlight w:val="none"/>
                <w:u w:val="none" w:color="auto"/>
              </w:rPr>
              <w:t>（2）从计价软件导出已制作好的已标价工程量清单文件</w:t>
            </w:r>
          </w:p>
          <w:p>
            <w:pPr>
              <w:keepNext w:val="0"/>
              <w:keepLines w:val="0"/>
              <w:pageBreakBefore w:val="0"/>
              <w:widowControl w:val="0"/>
              <w:tabs>
                <w:tab w:val="left" w:pos="217"/>
              </w:tabs>
              <w:kinsoku/>
              <w:wordWrap/>
              <w:overflowPunct/>
              <w:topLinePunct w:val="0"/>
              <w:autoSpaceDE w:val="0"/>
              <w:autoSpaceDN w:val="0"/>
              <w:bidi w:val="0"/>
              <w:adjustRightInd w:val="0"/>
              <w:snapToGrid w:val="0"/>
              <w:spacing w:line="340" w:lineRule="exact"/>
              <w:ind w:right="0" w:rightChars="0"/>
              <w:jc w:val="left"/>
              <w:textAlignment w:val="baseline"/>
              <w:rPr>
                <w:rFonts w:hint="eastAsia" w:ascii="宋体" w:hAnsi="宋体" w:eastAsia="宋体" w:cs="宋体"/>
                <w:color w:val="auto"/>
                <w:spacing w:val="9"/>
                <w:sz w:val="21"/>
                <w:szCs w:val="21"/>
                <w:highlight w:val="none"/>
                <w:u w:val="none" w:color="auto"/>
              </w:rPr>
            </w:pPr>
            <w:r>
              <w:rPr>
                <w:rFonts w:hint="eastAsia" w:ascii="宋体" w:hAnsi="宋体" w:eastAsia="宋体" w:cs="宋体"/>
                <w:color w:val="auto"/>
                <w:spacing w:val="9"/>
                <w:sz w:val="21"/>
                <w:szCs w:val="21"/>
                <w:highlight w:val="none"/>
                <w:u w:val="none" w:color="auto"/>
              </w:rPr>
              <w:t>（excel 格式）</w:t>
            </w:r>
          </w:p>
          <w:p>
            <w:pPr>
              <w:keepNext w:val="0"/>
              <w:keepLines w:val="0"/>
              <w:pageBreakBefore w:val="0"/>
              <w:widowControl w:val="0"/>
              <w:tabs>
                <w:tab w:val="left" w:pos="217"/>
              </w:tabs>
              <w:kinsoku/>
              <w:wordWrap/>
              <w:overflowPunct/>
              <w:topLinePunct w:val="0"/>
              <w:autoSpaceDE w:val="0"/>
              <w:autoSpaceDN w:val="0"/>
              <w:bidi w:val="0"/>
              <w:adjustRightInd w:val="0"/>
              <w:snapToGrid w:val="0"/>
              <w:spacing w:line="340" w:lineRule="exact"/>
              <w:ind w:left="0" w:leftChars="0" w:right="0" w:rightChars="0" w:firstLine="28" w:firstLineChars="0"/>
              <w:jc w:val="left"/>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9"/>
                <w:sz w:val="21"/>
                <w:szCs w:val="21"/>
                <w:highlight w:val="none"/>
                <w:u w:val="none" w:color="auto"/>
              </w:rPr>
              <w:t>（3）将已标价的工程量清单文件导入投标文件制作工具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179"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3"/>
                <w:sz w:val="21"/>
                <w:szCs w:val="21"/>
                <w:highlight w:val="none"/>
              </w:rPr>
              <w:t>3.2.1</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增值税税金的计算方</w:t>
            </w:r>
            <w:r>
              <w:rPr>
                <w:rFonts w:hint="eastAsia" w:ascii="宋体" w:hAnsi="宋体" w:eastAsia="宋体" w:cs="宋体"/>
                <w:color w:val="auto"/>
                <w:spacing w:val="7"/>
                <w:sz w:val="21"/>
                <w:szCs w:val="21"/>
                <w:highlight w:val="none"/>
              </w:rPr>
              <w:t>法</w:t>
            </w:r>
          </w:p>
        </w:tc>
        <w:tc>
          <w:tcPr>
            <w:tcW w:w="6138" w:type="dxa"/>
            <w:vAlign w:val="center"/>
          </w:tcPr>
          <w:p>
            <w:pPr>
              <w:keepNext w:val="0"/>
              <w:keepLines w:val="0"/>
              <w:pageBreakBefore w:val="0"/>
              <w:widowControl w:val="0"/>
              <w:wordWrap/>
              <w:overflowPunct/>
              <w:topLinePunct w:val="0"/>
              <w:bidi w:val="0"/>
              <w:spacing w:line="340" w:lineRule="exact"/>
              <w:ind w:left="0" w:leftChars="0" w:right="0" w:rightChars="0"/>
              <w:jc w:val="left"/>
              <w:rPr>
                <w:rFonts w:hint="eastAsia" w:ascii="宋体" w:hAnsi="宋体" w:eastAsia="宋体" w:cs="宋体"/>
                <w:color w:val="auto"/>
                <w:sz w:val="21"/>
                <w:szCs w:val="21"/>
                <w:highlight w:val="none"/>
                <w:u w:val="none" w:color="auto"/>
              </w:rPr>
            </w:pPr>
            <w:r>
              <w:rPr>
                <w:rFonts w:hint="eastAsia" w:ascii="宋体" w:hAnsi="宋体" w:eastAsia="宋体" w:cs="宋体"/>
                <w:color w:val="auto"/>
                <w:spacing w:val="9"/>
                <w:sz w:val="21"/>
                <w:szCs w:val="21"/>
                <w:highlight w:val="none"/>
                <w:u w:val="none" w:color="auto"/>
              </w:rPr>
              <w:t>一</w:t>
            </w:r>
            <w:r>
              <w:rPr>
                <w:rFonts w:hint="eastAsia" w:ascii="宋体" w:hAnsi="宋体" w:eastAsia="宋体" w:cs="宋体"/>
                <w:color w:val="auto"/>
                <w:spacing w:val="7"/>
                <w:sz w:val="21"/>
                <w:szCs w:val="21"/>
                <w:highlight w:val="none"/>
                <w:u w:val="none" w:color="auto"/>
              </w:rPr>
              <w:t>般计税法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1179"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3"/>
                <w:sz w:val="21"/>
                <w:szCs w:val="21"/>
                <w:highlight w:val="none"/>
              </w:rPr>
              <w:t>3.2.1</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14"/>
                <w:sz w:val="21"/>
                <w:szCs w:val="21"/>
                <w:highlight w:val="none"/>
              </w:rPr>
              <w:t>工</w:t>
            </w:r>
            <w:r>
              <w:rPr>
                <w:rFonts w:hint="eastAsia" w:ascii="宋体" w:hAnsi="宋体" w:eastAsia="宋体" w:cs="宋体"/>
                <w:color w:val="auto"/>
                <w:spacing w:val="8"/>
                <w:sz w:val="21"/>
                <w:szCs w:val="21"/>
                <w:highlight w:val="none"/>
              </w:rPr>
              <w:t>程量清单的填写方式</w:t>
            </w:r>
          </w:p>
        </w:tc>
        <w:tc>
          <w:tcPr>
            <w:tcW w:w="6138" w:type="dxa"/>
            <w:vAlign w:val="center"/>
          </w:tcPr>
          <w:p>
            <w:pPr>
              <w:keepNext w:val="0"/>
              <w:keepLines w:val="0"/>
              <w:pageBreakBefore w:val="0"/>
              <w:widowControl w:val="0"/>
              <w:wordWrap/>
              <w:overflowPunct/>
              <w:topLinePunct w:val="0"/>
              <w:bidi w:val="0"/>
              <w:spacing w:line="340" w:lineRule="exact"/>
              <w:ind w:left="0" w:leftChars="0" w:right="0" w:rightChars="0"/>
              <w:jc w:val="left"/>
              <w:rPr>
                <w:rFonts w:hint="eastAsia" w:ascii="宋体" w:hAnsi="宋体" w:eastAsia="宋体" w:cs="宋体"/>
                <w:color w:val="auto"/>
                <w:sz w:val="21"/>
                <w:szCs w:val="21"/>
                <w:highlight w:val="none"/>
                <w:u w:val="none" w:color="auto"/>
              </w:rPr>
            </w:pPr>
            <w:r>
              <w:rPr>
                <w:rFonts w:hint="eastAsia" w:ascii="宋体" w:hAnsi="宋体" w:eastAsia="宋体" w:cs="宋体"/>
                <w:color w:val="auto"/>
                <w:spacing w:val="24"/>
                <w:sz w:val="21"/>
                <w:szCs w:val="21"/>
                <w:highlight w:val="none"/>
                <w:u w:val="none" w:color="auto"/>
              </w:rPr>
              <w:t>投</w:t>
            </w:r>
            <w:r>
              <w:rPr>
                <w:rFonts w:hint="eastAsia" w:ascii="宋体" w:hAnsi="宋体" w:eastAsia="宋体" w:cs="宋体"/>
                <w:color w:val="auto"/>
                <w:spacing w:val="19"/>
                <w:sz w:val="21"/>
                <w:szCs w:val="21"/>
                <w:highlight w:val="none"/>
                <w:u w:val="none" w:color="auto"/>
              </w:rPr>
              <w:t>标</w:t>
            </w:r>
            <w:r>
              <w:rPr>
                <w:rFonts w:hint="eastAsia" w:ascii="宋体" w:hAnsi="宋体" w:eastAsia="宋体" w:cs="宋体"/>
                <w:color w:val="auto"/>
                <w:spacing w:val="12"/>
                <w:sz w:val="21"/>
                <w:szCs w:val="21"/>
                <w:highlight w:val="none"/>
                <w:u w:val="none" w:color="auto"/>
              </w:rPr>
              <w:t>人按照招标人</w:t>
            </w:r>
            <w:r>
              <w:rPr>
                <w:rFonts w:hint="eastAsia" w:ascii="宋体" w:hAnsi="宋体" w:eastAsia="宋体" w:cs="宋体"/>
                <w:color w:val="auto"/>
                <w:spacing w:val="12"/>
                <w:sz w:val="21"/>
                <w:szCs w:val="21"/>
                <w:highlight w:val="none"/>
                <w:u w:val="none" w:color="auto"/>
                <w:lang w:val="en-US" w:eastAsia="zh-CN"/>
              </w:rPr>
              <w:t>网上</w:t>
            </w:r>
            <w:r>
              <w:rPr>
                <w:rFonts w:hint="eastAsia" w:ascii="宋体" w:hAnsi="宋体" w:eastAsia="宋体" w:cs="宋体"/>
                <w:color w:val="auto"/>
                <w:spacing w:val="12"/>
                <w:sz w:val="21"/>
                <w:szCs w:val="21"/>
                <w:highlight w:val="none"/>
                <w:u w:val="none" w:color="auto"/>
              </w:rPr>
              <w:t>提供的</w:t>
            </w:r>
            <w:r>
              <w:rPr>
                <w:rFonts w:hint="eastAsia" w:ascii="宋体" w:hAnsi="宋体" w:eastAsia="宋体" w:cs="宋体"/>
                <w:color w:val="auto"/>
                <w:spacing w:val="12"/>
                <w:sz w:val="21"/>
                <w:szCs w:val="21"/>
                <w:highlight w:val="none"/>
                <w:u w:val="none" w:color="auto"/>
                <w:lang w:val="en-US" w:eastAsia="zh-CN"/>
              </w:rPr>
              <w:t>书面</w:t>
            </w:r>
            <w:r>
              <w:rPr>
                <w:rFonts w:hint="eastAsia" w:ascii="宋体" w:hAnsi="宋体" w:eastAsia="宋体" w:cs="宋体"/>
                <w:color w:val="auto"/>
                <w:spacing w:val="12"/>
                <w:sz w:val="21"/>
                <w:szCs w:val="21"/>
                <w:highlight w:val="none"/>
                <w:u w:val="none" w:color="auto"/>
              </w:rPr>
              <w:t>工程量清单(电子版)</w:t>
            </w:r>
            <w:r>
              <w:rPr>
                <w:rFonts w:hint="eastAsia" w:ascii="宋体" w:hAnsi="宋体" w:eastAsia="宋体" w:cs="宋体"/>
                <w:color w:val="auto"/>
                <w:spacing w:val="10"/>
                <w:sz w:val="21"/>
                <w:szCs w:val="21"/>
                <w:highlight w:val="none"/>
                <w:u w:val="none" w:color="auto"/>
              </w:rPr>
              <w:t>填</w:t>
            </w:r>
            <w:r>
              <w:rPr>
                <w:rFonts w:hint="eastAsia" w:ascii="宋体" w:hAnsi="宋体" w:eastAsia="宋体" w:cs="宋体"/>
                <w:color w:val="auto"/>
                <w:spacing w:val="8"/>
                <w:sz w:val="21"/>
                <w:szCs w:val="21"/>
                <w:highlight w:val="none"/>
                <w:u w:val="none" w:color="auto"/>
              </w:rPr>
              <w:t>写工程量清单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3"/>
                <w:sz w:val="21"/>
                <w:szCs w:val="21"/>
                <w:highlight w:val="none"/>
              </w:rPr>
              <w:t>3.2.3</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报</w:t>
            </w:r>
            <w:r>
              <w:rPr>
                <w:rFonts w:hint="eastAsia" w:ascii="宋体" w:hAnsi="宋体" w:eastAsia="宋体" w:cs="宋体"/>
                <w:color w:val="auto"/>
                <w:spacing w:val="7"/>
                <w:sz w:val="21"/>
                <w:szCs w:val="21"/>
                <w:highlight w:val="none"/>
              </w:rPr>
              <w:t>价方式</w:t>
            </w:r>
          </w:p>
        </w:tc>
        <w:tc>
          <w:tcPr>
            <w:tcW w:w="6138" w:type="dxa"/>
            <w:vAlign w:val="center"/>
          </w:tcPr>
          <w:p>
            <w:pPr>
              <w:keepNext w:val="0"/>
              <w:keepLines w:val="0"/>
              <w:pageBreakBefore w:val="0"/>
              <w:widowControl w:val="0"/>
              <w:wordWrap/>
              <w:overflowPunct/>
              <w:topLinePunct w:val="0"/>
              <w:bidi w:val="0"/>
              <w:spacing w:line="340" w:lineRule="exact"/>
              <w:ind w:left="0" w:leftChars="0" w:right="0" w:rightChars="0"/>
              <w:jc w:val="left"/>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单</w:t>
            </w:r>
            <w:r>
              <w:rPr>
                <w:rFonts w:hint="eastAsia" w:ascii="宋体" w:hAnsi="宋体" w:eastAsia="宋体" w:cs="宋体"/>
                <w:color w:val="auto"/>
                <w:spacing w:val="3"/>
                <w:sz w:val="21"/>
                <w:szCs w:val="21"/>
                <w:highlight w:val="none"/>
              </w:rPr>
              <w:t>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3.2.6</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是</w:t>
            </w:r>
            <w:r>
              <w:rPr>
                <w:rFonts w:hint="eastAsia" w:ascii="宋体" w:hAnsi="宋体" w:eastAsia="宋体" w:cs="宋体"/>
                <w:color w:val="auto"/>
                <w:spacing w:val="8"/>
                <w:sz w:val="21"/>
                <w:szCs w:val="21"/>
                <w:highlight w:val="none"/>
              </w:rPr>
              <w:t>否接受调价函</w:t>
            </w:r>
          </w:p>
        </w:tc>
        <w:tc>
          <w:tcPr>
            <w:tcW w:w="6138" w:type="dxa"/>
            <w:vAlign w:val="center"/>
          </w:tcPr>
          <w:p>
            <w:pPr>
              <w:keepNext w:val="0"/>
              <w:keepLines w:val="0"/>
              <w:pageBreakBefore w:val="0"/>
              <w:widowControl w:val="0"/>
              <w:wordWrap/>
              <w:overflowPunct/>
              <w:topLinePunct w:val="0"/>
              <w:bidi w:val="0"/>
              <w:spacing w:line="340" w:lineRule="exact"/>
              <w:ind w:left="0" w:leftChars="0" w:right="0" w:rightChars="0"/>
              <w:jc w:val="left"/>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lang w:val="en-US" w:eastAsia="zh-CN"/>
              </w:rPr>
              <w:t>不</w:t>
            </w:r>
            <w:r>
              <w:rPr>
                <w:rFonts w:hint="eastAsia" w:ascii="宋体" w:hAnsi="宋体" w:eastAsia="宋体" w:cs="宋体"/>
                <w:color w:val="auto"/>
                <w:spacing w:val="5"/>
                <w:sz w:val="21"/>
                <w:szCs w:val="21"/>
                <w:highlight w:val="none"/>
              </w:rPr>
              <w:t>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5"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3.2.8</w:t>
            </w:r>
          </w:p>
        </w:tc>
        <w:tc>
          <w:tcPr>
            <w:tcW w:w="2205"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最高投标限</w:t>
            </w:r>
            <w:r>
              <w:rPr>
                <w:rFonts w:hint="eastAsia" w:ascii="宋体" w:hAnsi="宋体" w:eastAsia="宋体" w:cs="宋体"/>
                <w:color w:val="auto"/>
                <w:spacing w:val="6"/>
                <w:sz w:val="21"/>
                <w:szCs w:val="21"/>
                <w:highlight w:val="none"/>
              </w:rPr>
              <w:t>价</w:t>
            </w:r>
          </w:p>
        </w:tc>
        <w:tc>
          <w:tcPr>
            <w:tcW w:w="6138" w:type="dxa"/>
            <w:vAlign w:val="center"/>
          </w:tcPr>
          <w:p>
            <w:pPr>
              <w:pStyle w:val="2"/>
              <w:keepNext w:val="0"/>
              <w:keepLines w:val="0"/>
              <w:pageBreakBefore w:val="0"/>
              <w:widowControl w:val="0"/>
              <w:kinsoku w:val="0"/>
              <w:wordWrap/>
              <w:overflowPunct/>
              <w:topLinePunct w:val="0"/>
              <w:autoSpaceDE w:val="0"/>
              <w:autoSpaceDN w:val="0"/>
              <w:bidi w:val="0"/>
              <w:adjustRightInd w:val="0"/>
              <w:snapToGrid w:val="0"/>
              <w:spacing w:line="312" w:lineRule="auto"/>
              <w:ind w:left="0" w:leftChars="0" w:firstLine="0" w:firstLineChars="0"/>
              <w:textAlignment w:val="baseline"/>
              <w:rPr>
                <w:rFonts w:hint="eastAsia" w:ascii="宋体" w:hAnsi="宋体" w:cs="宋体"/>
                <w:color w:val="auto"/>
                <w:spacing w:val="5"/>
                <w:sz w:val="21"/>
                <w:szCs w:val="21"/>
                <w:highlight w:val="none"/>
                <w:lang w:val="en-US" w:eastAsia="zh-CN"/>
              </w:rPr>
            </w:pPr>
            <w:r>
              <w:rPr>
                <w:rFonts w:hint="eastAsia" w:ascii="宋体" w:hAnsi="宋体" w:eastAsia="宋体" w:cs="宋体"/>
                <w:color w:val="auto"/>
                <w:spacing w:val="24"/>
                <w:sz w:val="21"/>
                <w:szCs w:val="21"/>
                <w:highlight w:val="none"/>
              </w:rPr>
              <w:t>最</w:t>
            </w:r>
            <w:r>
              <w:rPr>
                <w:rFonts w:hint="eastAsia" w:ascii="宋体" w:hAnsi="宋体" w:eastAsia="宋体" w:cs="宋体"/>
                <w:color w:val="auto"/>
                <w:spacing w:val="17"/>
                <w:sz w:val="21"/>
                <w:szCs w:val="21"/>
                <w:highlight w:val="none"/>
              </w:rPr>
              <w:t>高投标限价</w:t>
            </w:r>
            <w:r>
              <w:rPr>
                <w:rFonts w:hint="eastAsia" w:ascii="宋体" w:hAnsi="宋体" w:cs="宋体"/>
                <w:color w:val="auto"/>
                <w:spacing w:val="17"/>
                <w:sz w:val="21"/>
                <w:szCs w:val="21"/>
                <w:highlight w:val="none"/>
                <w:lang w:val="en-US" w:eastAsia="zh-CN"/>
              </w:rPr>
              <w:t>=（招标人报审计中心备案</w:t>
            </w:r>
            <w:r>
              <w:rPr>
                <w:rFonts w:hint="eastAsia" w:ascii="宋体" w:hAnsi="宋体" w:eastAsia="宋体" w:cs="宋体"/>
                <w:color w:val="auto"/>
                <w:spacing w:val="17"/>
                <w:sz w:val="21"/>
                <w:szCs w:val="21"/>
                <w:highlight w:val="none"/>
              </w:rPr>
              <w:t>后</w:t>
            </w:r>
            <w:r>
              <w:rPr>
                <w:rFonts w:hint="eastAsia" w:ascii="宋体" w:hAnsi="宋体" w:eastAsia="宋体" w:cs="宋体"/>
                <w:color w:val="auto"/>
                <w:spacing w:val="9"/>
                <w:sz w:val="21"/>
                <w:szCs w:val="21"/>
                <w:highlight w:val="none"/>
              </w:rPr>
              <w:t>的工程量清单预算</w:t>
            </w:r>
            <w:r>
              <w:rPr>
                <w:rFonts w:hint="eastAsia" w:ascii="宋体" w:hAnsi="宋体" w:cs="宋体"/>
                <w:color w:val="auto"/>
                <w:spacing w:val="9"/>
                <w:sz w:val="21"/>
                <w:szCs w:val="21"/>
                <w:highlight w:val="none"/>
                <w:lang w:val="en-US" w:eastAsia="zh-CN"/>
              </w:rPr>
              <w:t>-不下浮部分）*</w:t>
            </w:r>
            <w:r>
              <w:rPr>
                <w:rFonts w:hint="eastAsia" w:ascii="宋体" w:hAnsi="宋体" w:eastAsia="宋体" w:cs="宋体"/>
                <w:color w:val="auto"/>
                <w:spacing w:val="9"/>
                <w:sz w:val="21"/>
                <w:szCs w:val="21"/>
                <w:highlight w:val="none"/>
              </w:rPr>
              <w:t>调</w:t>
            </w:r>
            <w:r>
              <w:rPr>
                <w:rFonts w:hint="eastAsia" w:ascii="宋体" w:hAnsi="宋体" w:eastAsia="宋体" w:cs="宋体"/>
                <w:color w:val="auto"/>
                <w:spacing w:val="5"/>
                <w:sz w:val="21"/>
                <w:szCs w:val="21"/>
                <w:highlight w:val="none"/>
              </w:rPr>
              <w:t>整系数</w:t>
            </w:r>
            <w:r>
              <w:rPr>
                <w:rFonts w:hint="eastAsia" w:ascii="宋体" w:hAnsi="宋体" w:cs="宋体"/>
                <w:color w:val="auto"/>
                <w:spacing w:val="5"/>
                <w:sz w:val="21"/>
                <w:szCs w:val="21"/>
                <w:highlight w:val="none"/>
                <w:lang w:val="en-US" w:eastAsia="zh-CN"/>
              </w:rPr>
              <w:t xml:space="preserve">+不下浮部分         </w:t>
            </w:r>
          </w:p>
          <w:p>
            <w:pPr>
              <w:pStyle w:val="2"/>
              <w:keepNext w:val="0"/>
              <w:keepLines w:val="0"/>
              <w:pageBreakBefore w:val="0"/>
              <w:widowControl w:val="0"/>
              <w:kinsoku w:val="0"/>
              <w:wordWrap/>
              <w:overflowPunct/>
              <w:topLinePunct w:val="0"/>
              <w:autoSpaceDE w:val="0"/>
              <w:autoSpaceDN w:val="0"/>
              <w:bidi w:val="0"/>
              <w:adjustRightInd w:val="0"/>
              <w:snapToGrid w:val="0"/>
              <w:spacing w:line="312" w:lineRule="auto"/>
              <w:ind w:left="0" w:leftChars="0" w:firstLine="0" w:firstLineChars="0"/>
              <w:textAlignment w:val="baseline"/>
              <w:rPr>
                <w:rFonts w:hint="eastAsia" w:ascii="宋体" w:hAnsi="宋体" w:eastAsia="宋体" w:cs="宋体"/>
                <w:color w:val="auto"/>
                <w:spacing w:val="6"/>
                <w:sz w:val="21"/>
                <w:szCs w:val="21"/>
                <w:highlight w:val="none"/>
              </w:rPr>
            </w:pPr>
            <w:r>
              <w:rPr>
                <w:rFonts w:hint="eastAsia" w:ascii="宋体" w:hAnsi="宋体" w:eastAsia="宋体" w:cs="宋体"/>
                <w:color w:val="auto"/>
                <w:spacing w:val="12"/>
                <w:sz w:val="21"/>
                <w:szCs w:val="21"/>
                <w:highlight w:val="none"/>
              </w:rPr>
              <w:t>工程</w:t>
            </w:r>
            <w:r>
              <w:rPr>
                <w:rFonts w:hint="eastAsia" w:ascii="宋体" w:hAnsi="宋体" w:eastAsia="宋体" w:cs="宋体"/>
                <w:color w:val="auto"/>
                <w:spacing w:val="7"/>
                <w:sz w:val="21"/>
                <w:szCs w:val="21"/>
                <w:highlight w:val="none"/>
              </w:rPr>
              <w:t>量</w:t>
            </w:r>
            <w:r>
              <w:rPr>
                <w:rFonts w:hint="eastAsia" w:ascii="宋体" w:hAnsi="宋体" w:eastAsia="宋体" w:cs="宋体"/>
                <w:color w:val="auto"/>
                <w:spacing w:val="6"/>
                <w:sz w:val="21"/>
                <w:szCs w:val="21"/>
                <w:highlight w:val="none"/>
              </w:rPr>
              <w:t>清单预算为</w:t>
            </w:r>
            <w:r>
              <w:rPr>
                <w:rFonts w:hint="eastAsia" w:ascii="宋体" w:hAnsi="宋体" w:eastAsia="宋体" w:cs="宋体"/>
                <w:b/>
                <w:bCs/>
                <w:color w:val="auto"/>
                <w:spacing w:val="0"/>
                <w:kern w:val="0"/>
                <w:position w:val="0"/>
                <w:sz w:val="21"/>
                <w:szCs w:val="21"/>
                <w:highlight w:val="none"/>
                <w:u w:val="single"/>
                <w:lang w:val="en-US" w:eastAsia="zh-CN"/>
              </w:rPr>
              <w:t xml:space="preserve"> 175760508</w:t>
            </w:r>
            <w:r>
              <w:rPr>
                <w:rFonts w:hint="eastAsia" w:ascii="宋体" w:hAnsi="宋体" w:cs="宋体"/>
                <w:b/>
                <w:bCs/>
                <w:color w:val="auto"/>
                <w:spacing w:val="0"/>
                <w:kern w:val="0"/>
                <w:position w:val="0"/>
                <w:sz w:val="21"/>
                <w:szCs w:val="21"/>
                <w:highlight w:val="none"/>
                <w:u w:val="single"/>
                <w:lang w:val="en-US" w:eastAsia="zh-CN"/>
              </w:rPr>
              <w:t>.00</w:t>
            </w:r>
            <w:r>
              <w:rPr>
                <w:rFonts w:hint="eastAsia" w:ascii="宋体" w:hAnsi="宋体" w:eastAsia="宋体" w:cs="宋体"/>
                <w:b/>
                <w:bCs/>
                <w:color w:val="auto"/>
                <w:spacing w:val="0"/>
                <w:kern w:val="0"/>
                <w:position w:val="0"/>
                <w:sz w:val="21"/>
                <w:szCs w:val="21"/>
                <w:highlight w:val="none"/>
                <w:u w:val="single"/>
                <w:lang w:val="en-US" w:eastAsia="zh-CN"/>
              </w:rPr>
              <w:t xml:space="preserve"> </w:t>
            </w:r>
            <w:r>
              <w:rPr>
                <w:rFonts w:hint="eastAsia" w:ascii="宋体" w:hAnsi="宋体" w:eastAsia="宋体" w:cs="宋体"/>
                <w:color w:val="auto"/>
                <w:spacing w:val="6"/>
                <w:sz w:val="21"/>
                <w:szCs w:val="21"/>
                <w:highlight w:val="none"/>
              </w:rPr>
              <w:t>元</w:t>
            </w:r>
            <w:r>
              <w:rPr>
                <w:rFonts w:hint="eastAsia" w:ascii="宋体" w:hAnsi="宋体" w:eastAsia="宋体" w:cs="宋体"/>
                <w:b w:val="0"/>
                <w:bCs w:val="0"/>
                <w:color w:val="auto"/>
                <w:spacing w:val="0"/>
                <w:kern w:val="0"/>
                <w:position w:val="0"/>
                <w:sz w:val="21"/>
                <w:szCs w:val="21"/>
                <w:highlight w:val="none"/>
              </w:rPr>
              <w:t>（其中：暂估价</w:t>
            </w:r>
            <w:r>
              <w:rPr>
                <w:rFonts w:hint="eastAsia" w:ascii="宋体" w:hAnsi="宋体" w:eastAsia="宋体" w:cs="宋体"/>
                <w:b/>
                <w:bCs/>
                <w:color w:val="auto"/>
                <w:spacing w:val="0"/>
                <w:kern w:val="0"/>
                <w:position w:val="0"/>
                <w:sz w:val="21"/>
                <w:szCs w:val="21"/>
                <w:highlight w:val="none"/>
                <w:u w:val="single"/>
                <w:lang w:val="en-US" w:eastAsia="zh-CN"/>
              </w:rPr>
              <w:t xml:space="preserve"> 200000</w:t>
            </w:r>
            <w:r>
              <w:rPr>
                <w:rFonts w:hint="eastAsia" w:ascii="宋体" w:hAnsi="宋体" w:cs="宋体"/>
                <w:b/>
                <w:bCs/>
                <w:color w:val="auto"/>
                <w:spacing w:val="0"/>
                <w:kern w:val="0"/>
                <w:position w:val="0"/>
                <w:sz w:val="21"/>
                <w:szCs w:val="21"/>
                <w:highlight w:val="none"/>
                <w:u w:val="single"/>
                <w:lang w:val="en-US" w:eastAsia="zh-CN"/>
              </w:rPr>
              <w:t>.00</w:t>
            </w:r>
            <w:r>
              <w:rPr>
                <w:rFonts w:hint="eastAsia" w:ascii="宋体" w:hAnsi="宋体" w:eastAsia="宋体" w:cs="宋体"/>
                <w:b w:val="0"/>
                <w:bCs w:val="0"/>
                <w:color w:val="auto"/>
                <w:spacing w:val="0"/>
                <w:kern w:val="0"/>
                <w:position w:val="0"/>
                <w:sz w:val="21"/>
                <w:szCs w:val="21"/>
                <w:highlight w:val="none"/>
                <w:u w:val="single"/>
                <w:lang w:val="en-US" w:eastAsia="zh-CN"/>
              </w:rPr>
              <w:t xml:space="preserve"> </w:t>
            </w:r>
            <w:r>
              <w:rPr>
                <w:rFonts w:hint="eastAsia" w:ascii="宋体" w:hAnsi="宋体" w:eastAsia="宋体" w:cs="宋体"/>
                <w:b w:val="0"/>
                <w:bCs w:val="0"/>
                <w:color w:val="auto"/>
                <w:spacing w:val="0"/>
                <w:kern w:val="0"/>
                <w:position w:val="0"/>
                <w:sz w:val="21"/>
                <w:szCs w:val="21"/>
                <w:highlight w:val="none"/>
              </w:rPr>
              <w:t>元，</w:t>
            </w:r>
            <w:r>
              <w:rPr>
                <w:rFonts w:hint="eastAsia" w:ascii="宋体" w:hAnsi="宋体" w:eastAsia="宋体" w:cs="宋体"/>
                <w:b w:val="0"/>
                <w:bCs w:val="0"/>
                <w:color w:val="auto"/>
                <w:spacing w:val="0"/>
                <w:position w:val="0"/>
                <w:sz w:val="21"/>
                <w:szCs w:val="21"/>
                <w:highlight w:val="none"/>
              </w:rPr>
              <w:t>暂列金额</w:t>
            </w:r>
            <w:r>
              <w:rPr>
                <w:rFonts w:hint="eastAsia" w:ascii="宋体" w:hAnsi="宋体" w:eastAsia="宋体" w:cs="宋体"/>
                <w:b w:val="0"/>
                <w:bCs w:val="0"/>
                <w:color w:val="auto"/>
                <w:spacing w:val="0"/>
                <w:position w:val="0"/>
                <w:sz w:val="21"/>
                <w:szCs w:val="21"/>
                <w:highlight w:val="none"/>
                <w:u w:val="single"/>
                <w:lang w:val="en-US" w:eastAsia="zh-CN"/>
              </w:rPr>
              <w:t xml:space="preserve"> </w:t>
            </w:r>
            <w:r>
              <w:rPr>
                <w:rFonts w:hint="eastAsia" w:ascii="宋体" w:hAnsi="宋体" w:eastAsia="宋体" w:cs="宋体"/>
                <w:b/>
                <w:bCs/>
                <w:color w:val="auto"/>
                <w:spacing w:val="0"/>
                <w:position w:val="0"/>
                <w:sz w:val="21"/>
                <w:szCs w:val="21"/>
                <w:highlight w:val="none"/>
                <w:u w:val="single"/>
                <w:lang w:val="en-US" w:eastAsia="zh-CN"/>
              </w:rPr>
              <w:t>8360024</w:t>
            </w:r>
            <w:r>
              <w:rPr>
                <w:rFonts w:hint="eastAsia" w:ascii="宋体" w:hAnsi="宋体" w:cs="宋体"/>
                <w:b/>
                <w:bCs/>
                <w:color w:val="auto"/>
                <w:spacing w:val="0"/>
                <w:position w:val="0"/>
                <w:sz w:val="21"/>
                <w:szCs w:val="21"/>
                <w:highlight w:val="none"/>
                <w:u w:val="single"/>
                <w:lang w:val="en-US" w:eastAsia="zh-CN"/>
              </w:rPr>
              <w:t>.00</w:t>
            </w:r>
            <w:r>
              <w:rPr>
                <w:rFonts w:hint="eastAsia" w:ascii="宋体" w:hAnsi="宋体" w:eastAsia="宋体" w:cs="宋体"/>
                <w:b w:val="0"/>
                <w:bCs w:val="0"/>
                <w:color w:val="auto"/>
                <w:spacing w:val="0"/>
                <w:position w:val="0"/>
                <w:sz w:val="21"/>
                <w:szCs w:val="21"/>
                <w:highlight w:val="none"/>
                <w:u w:val="single"/>
                <w:lang w:val="en-US" w:eastAsia="zh-CN"/>
              </w:rPr>
              <w:t xml:space="preserve"> </w:t>
            </w:r>
            <w:r>
              <w:rPr>
                <w:rFonts w:hint="eastAsia" w:ascii="宋体" w:hAnsi="宋体" w:eastAsia="宋体" w:cs="宋体"/>
                <w:b w:val="0"/>
                <w:bCs w:val="0"/>
                <w:color w:val="auto"/>
                <w:spacing w:val="0"/>
                <w:position w:val="0"/>
                <w:sz w:val="21"/>
                <w:szCs w:val="21"/>
                <w:highlight w:val="none"/>
              </w:rPr>
              <w:t>元</w:t>
            </w:r>
            <w:r>
              <w:rPr>
                <w:rFonts w:hint="eastAsia" w:ascii="宋体" w:hAnsi="宋体" w:eastAsia="宋体" w:cs="宋体"/>
                <w:b w:val="0"/>
                <w:bCs w:val="0"/>
                <w:color w:val="auto"/>
                <w:spacing w:val="0"/>
                <w:position w:val="0"/>
                <w:sz w:val="21"/>
                <w:szCs w:val="21"/>
                <w:highlight w:val="none"/>
                <w:lang w:eastAsia="zh-CN"/>
              </w:rPr>
              <w:t>，暂估价、暂列金额均不下浮</w:t>
            </w:r>
            <w:r>
              <w:rPr>
                <w:rFonts w:hint="eastAsia" w:ascii="宋体" w:hAnsi="宋体" w:eastAsia="宋体" w:cs="宋体"/>
                <w:b w:val="0"/>
                <w:bCs w:val="0"/>
                <w:color w:val="auto"/>
                <w:spacing w:val="0"/>
                <w:kern w:val="0"/>
                <w:position w:val="0"/>
                <w:sz w:val="21"/>
                <w:szCs w:val="21"/>
                <w:highlight w:val="none"/>
              </w:rPr>
              <w:t>）</w:t>
            </w:r>
            <w:r>
              <w:rPr>
                <w:rFonts w:hint="eastAsia" w:ascii="宋体" w:hAnsi="宋体" w:eastAsia="宋体" w:cs="宋体"/>
                <w:b w:val="0"/>
                <w:bCs w:val="0"/>
                <w:color w:val="auto"/>
                <w:spacing w:val="0"/>
                <w:kern w:val="0"/>
                <w:position w:val="0"/>
                <w:sz w:val="21"/>
                <w:szCs w:val="21"/>
                <w:highlight w:val="none"/>
                <w:lang w:eastAsia="zh-CN"/>
              </w:rPr>
              <w:t>。</w:t>
            </w:r>
          </w:p>
          <w:p>
            <w:pPr>
              <w:pStyle w:val="2"/>
              <w:keepNext w:val="0"/>
              <w:keepLines w:val="0"/>
              <w:pageBreakBefore w:val="0"/>
              <w:widowControl w:val="0"/>
              <w:kinsoku w:val="0"/>
              <w:wordWrap/>
              <w:overflowPunct/>
              <w:topLinePunct w:val="0"/>
              <w:autoSpaceDE w:val="0"/>
              <w:autoSpaceDN w:val="0"/>
              <w:bidi w:val="0"/>
              <w:adjustRightInd w:val="0"/>
              <w:snapToGrid w:val="0"/>
              <w:spacing w:line="312" w:lineRule="auto"/>
              <w:ind w:left="0" w:leftChars="0"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调</w:t>
            </w:r>
            <w:r>
              <w:rPr>
                <w:rFonts w:hint="eastAsia" w:ascii="宋体" w:hAnsi="宋体" w:eastAsia="宋体" w:cs="宋体"/>
                <w:color w:val="auto"/>
                <w:spacing w:val="5"/>
                <w:sz w:val="21"/>
                <w:szCs w:val="21"/>
                <w:highlight w:val="none"/>
              </w:rPr>
              <w:t>整系数在三个连续值(</w:t>
            </w:r>
            <w:r>
              <w:rPr>
                <w:rFonts w:hint="eastAsia" w:ascii="宋体" w:hAnsi="宋体" w:eastAsia="宋体" w:cs="宋体"/>
                <w:color w:val="auto"/>
                <w:spacing w:val="5"/>
                <w:sz w:val="21"/>
                <w:szCs w:val="21"/>
                <w:highlight w:val="none"/>
                <w:u w:val="single"/>
                <w:lang w:val="en-US" w:eastAsia="zh-CN"/>
              </w:rPr>
              <w:t>0.94</w:t>
            </w:r>
            <w:r>
              <w:rPr>
                <w:rFonts w:hint="eastAsia" w:ascii="宋体" w:hAnsi="宋体" w:eastAsia="宋体" w:cs="宋体"/>
                <w:color w:val="auto"/>
                <w:spacing w:val="5"/>
                <w:sz w:val="21"/>
                <w:szCs w:val="21"/>
                <w:highlight w:val="none"/>
                <w:u w:val="none"/>
              </w:rPr>
              <w:t>、</w:t>
            </w:r>
            <w:r>
              <w:rPr>
                <w:rFonts w:hint="eastAsia" w:ascii="宋体" w:hAnsi="宋体" w:eastAsia="宋体" w:cs="宋体"/>
                <w:color w:val="auto"/>
                <w:spacing w:val="5"/>
                <w:sz w:val="21"/>
                <w:szCs w:val="21"/>
                <w:highlight w:val="none"/>
                <w:u w:val="single"/>
                <w:lang w:val="en-US" w:eastAsia="zh-CN"/>
              </w:rPr>
              <w:t>0.95</w:t>
            </w:r>
            <w:r>
              <w:rPr>
                <w:rFonts w:hint="eastAsia" w:ascii="宋体" w:hAnsi="宋体" w:eastAsia="宋体" w:cs="宋体"/>
                <w:color w:val="auto"/>
                <w:spacing w:val="5"/>
                <w:sz w:val="21"/>
                <w:szCs w:val="21"/>
                <w:highlight w:val="none"/>
                <w:u w:val="none"/>
              </w:rPr>
              <w:t>、</w:t>
            </w:r>
            <w:r>
              <w:rPr>
                <w:rFonts w:hint="eastAsia" w:ascii="宋体" w:hAnsi="宋体" w:eastAsia="宋体" w:cs="宋体"/>
                <w:color w:val="auto"/>
                <w:spacing w:val="5"/>
                <w:sz w:val="21"/>
                <w:szCs w:val="21"/>
                <w:highlight w:val="none"/>
                <w:u w:val="single"/>
                <w:lang w:val="en-US" w:eastAsia="zh-CN"/>
              </w:rPr>
              <w:t>0.96</w:t>
            </w:r>
            <w:r>
              <w:rPr>
                <w:rFonts w:hint="eastAsia" w:ascii="宋体" w:hAnsi="宋体" w:eastAsia="宋体" w:cs="宋体"/>
                <w:color w:val="auto"/>
                <w:spacing w:val="5"/>
                <w:sz w:val="21"/>
                <w:szCs w:val="21"/>
                <w:highlight w:val="none"/>
              </w:rPr>
              <w:t>)中开标时随机</w:t>
            </w:r>
            <w:r>
              <w:rPr>
                <w:rFonts w:hint="eastAsia" w:ascii="宋体" w:hAnsi="宋体" w:eastAsia="宋体" w:cs="宋体"/>
                <w:color w:val="auto"/>
                <w:spacing w:val="13"/>
                <w:sz w:val="21"/>
                <w:szCs w:val="21"/>
                <w:highlight w:val="none"/>
              </w:rPr>
              <w:t>抽</w:t>
            </w:r>
            <w:r>
              <w:rPr>
                <w:rFonts w:hint="eastAsia" w:ascii="宋体" w:hAnsi="宋体" w:eastAsia="宋体" w:cs="宋体"/>
                <w:color w:val="auto"/>
                <w:spacing w:val="8"/>
                <w:sz w:val="21"/>
                <w:szCs w:val="21"/>
                <w:highlight w:val="none"/>
              </w:rPr>
              <w:t>取其中一值为调整系数。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3.2.9</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u w:val="none"/>
              </w:rPr>
            </w:pPr>
            <w:r>
              <w:rPr>
                <w:rFonts w:hint="eastAsia" w:ascii="宋体" w:hAnsi="宋体" w:eastAsia="宋体" w:cs="宋体"/>
                <w:color w:val="auto"/>
                <w:spacing w:val="14"/>
                <w:sz w:val="21"/>
                <w:szCs w:val="21"/>
                <w:highlight w:val="none"/>
                <w:u w:val="none"/>
              </w:rPr>
              <w:t>投</w:t>
            </w:r>
            <w:r>
              <w:rPr>
                <w:rFonts w:hint="eastAsia" w:ascii="宋体" w:hAnsi="宋体" w:eastAsia="宋体" w:cs="宋体"/>
                <w:color w:val="auto"/>
                <w:spacing w:val="8"/>
                <w:sz w:val="21"/>
                <w:szCs w:val="21"/>
                <w:highlight w:val="none"/>
                <w:u w:val="none"/>
              </w:rPr>
              <w:t>标报价的其他要求</w:t>
            </w:r>
          </w:p>
        </w:tc>
        <w:tc>
          <w:tcPr>
            <w:tcW w:w="6138"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210" w:firstLineChars="100"/>
              <w:jc w:val="left"/>
              <w:textAlignment w:val="baseline"/>
              <w:rPr>
                <w:rFonts w:hint="default" w:ascii="宋体" w:hAnsi="宋体" w:eastAsia="宋体" w:cs="宋体"/>
                <w:color w:val="auto"/>
                <w:sz w:val="21"/>
                <w:szCs w:val="21"/>
                <w:highlight w:val="none"/>
                <w:u w:val="none"/>
                <w:lang w:val="en-US"/>
              </w:rPr>
            </w:pPr>
            <w:r>
              <w:rPr>
                <w:rFonts w:hint="eastAsia" w:ascii="宋体" w:hAnsi="宋体" w:eastAsia="宋体" w:cs="宋体"/>
                <w:color w:val="auto"/>
                <w:sz w:val="21"/>
                <w:szCs w:val="21"/>
                <w:highlight w:val="none"/>
                <w:u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3.3.1</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投</w:t>
            </w:r>
            <w:r>
              <w:rPr>
                <w:rFonts w:hint="eastAsia" w:ascii="宋体" w:hAnsi="宋体" w:eastAsia="宋体" w:cs="宋体"/>
                <w:color w:val="auto"/>
                <w:spacing w:val="7"/>
                <w:sz w:val="21"/>
                <w:szCs w:val="21"/>
                <w:highlight w:val="none"/>
              </w:rPr>
              <w:t>标有效期</w:t>
            </w:r>
          </w:p>
        </w:tc>
        <w:tc>
          <w:tcPr>
            <w:tcW w:w="6138" w:type="dxa"/>
            <w:vAlign w:val="center"/>
          </w:tcPr>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自投标</w:t>
            </w:r>
            <w:r>
              <w:rPr>
                <w:rFonts w:hint="eastAsia" w:ascii="宋体" w:hAnsi="宋体" w:eastAsia="宋体" w:cs="宋体"/>
                <w:color w:val="auto"/>
                <w:spacing w:val="7"/>
                <w:sz w:val="21"/>
                <w:szCs w:val="21"/>
                <w:highlight w:val="none"/>
              </w:rPr>
              <w:t>人</w:t>
            </w:r>
            <w:r>
              <w:rPr>
                <w:rFonts w:hint="eastAsia" w:ascii="宋体" w:hAnsi="宋体" w:eastAsia="宋体" w:cs="宋体"/>
                <w:color w:val="auto"/>
                <w:spacing w:val="4"/>
                <w:sz w:val="21"/>
                <w:szCs w:val="21"/>
                <w:highlight w:val="none"/>
              </w:rPr>
              <w:t xml:space="preserve">提交投标文件截止之日起计算 </w:t>
            </w:r>
            <w:r>
              <w:rPr>
                <w:rFonts w:hint="eastAsia" w:ascii="宋体" w:hAnsi="宋体" w:eastAsia="宋体" w:cs="宋体"/>
                <w:color w:val="auto"/>
                <w:spacing w:val="4"/>
                <w:sz w:val="21"/>
                <w:szCs w:val="21"/>
                <w:highlight w:val="none"/>
                <w:u w:val="single" w:color="auto"/>
              </w:rPr>
              <w:t xml:space="preserve">90 </w:t>
            </w:r>
            <w:r>
              <w:rPr>
                <w:rFonts w:hint="eastAsia" w:ascii="宋体" w:hAnsi="宋体" w:eastAsia="宋体" w:cs="宋体"/>
                <w:color w:val="auto"/>
                <w:spacing w:val="4"/>
                <w:sz w:val="21"/>
                <w:szCs w:val="21"/>
                <w:highlight w:val="none"/>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3.4.1</w:t>
            </w:r>
          </w:p>
        </w:tc>
        <w:tc>
          <w:tcPr>
            <w:tcW w:w="2205" w:type="dxa"/>
            <w:shd w:val="clear" w:color="auto" w:fill="auto"/>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投</w:t>
            </w:r>
            <w:r>
              <w:rPr>
                <w:rFonts w:hint="eastAsia" w:ascii="宋体" w:hAnsi="宋体" w:eastAsia="宋体" w:cs="宋体"/>
                <w:color w:val="auto"/>
                <w:spacing w:val="8"/>
                <w:sz w:val="21"/>
                <w:szCs w:val="21"/>
                <w:highlight w:val="none"/>
              </w:rPr>
              <w:t>标保证金的递交</w:t>
            </w:r>
          </w:p>
        </w:tc>
        <w:tc>
          <w:tcPr>
            <w:tcW w:w="6138" w:type="dxa"/>
            <w:shd w:val="clear" w:color="auto" w:fill="auto"/>
            <w:vAlign w:val="top"/>
          </w:tcPr>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2"/>
              <w:jc w:val="left"/>
              <w:textAlignment w:val="baseline"/>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1、投标担保金额：</w:t>
            </w:r>
            <w:r>
              <w:rPr>
                <w:rFonts w:hint="eastAsia" w:ascii="宋体" w:hAnsi="宋体" w:eastAsia="宋体" w:cs="宋体"/>
                <w:color w:val="auto"/>
                <w:spacing w:val="9"/>
                <w:sz w:val="21"/>
                <w:szCs w:val="21"/>
                <w:highlight w:val="none"/>
                <w:u w:val="none"/>
                <w:lang w:val="en-US" w:eastAsia="zh-CN"/>
              </w:rPr>
              <w:t xml:space="preserve"> 50万元</w:t>
            </w:r>
            <w:r>
              <w:rPr>
                <w:rFonts w:hint="eastAsia" w:ascii="宋体" w:hAnsi="宋体" w:eastAsia="宋体" w:cs="宋体"/>
                <w:color w:val="auto"/>
                <w:spacing w:val="9"/>
                <w:sz w:val="21"/>
                <w:szCs w:val="21"/>
                <w:highlight w:val="none"/>
              </w:rPr>
              <w:t>（或年度保证金）</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2"/>
              <w:jc w:val="left"/>
              <w:textAlignment w:val="baseline"/>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2、投标担保形式：电子保函、转账（电汇）、网银支付、年度保证金，</w:t>
            </w:r>
            <w:r>
              <w:rPr>
                <w:rFonts w:hint="eastAsia" w:ascii="Times New Roman" w:hAnsi="Times New Roman" w:eastAsia="宋体" w:cs="宋"/>
                <w:color w:val="auto"/>
                <w:szCs w:val="21"/>
                <w:highlight w:val="none"/>
                <w:lang w:bidi="ar"/>
              </w:rPr>
              <w:t>由投标人自行选择。</w:t>
            </w:r>
            <w:r>
              <w:rPr>
                <w:rFonts w:hint="eastAsia" w:ascii="宋体" w:hAnsi="宋体" w:eastAsia="宋体" w:cs="宋体"/>
                <w:color w:val="auto"/>
                <w:spacing w:val="9"/>
                <w:sz w:val="21"/>
                <w:szCs w:val="21"/>
                <w:highlight w:val="none"/>
              </w:rPr>
              <w:t>使用电子保函方式缴纳的，具体操作流程详见《嵊州市公共资源交易电子交易平台电子保函操作手册（试行）》，电子保函的保证期限必须不少于投标有效期。</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2"/>
              <w:jc w:val="left"/>
              <w:textAlignment w:val="baseline"/>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3、投标保证金提交时间：应在</w:t>
            </w:r>
            <w:r>
              <w:rPr>
                <w:rFonts w:hint="eastAsia" w:ascii="宋体" w:hAnsi="宋体" w:eastAsia="宋体" w:cs="宋体"/>
                <w:color w:val="auto"/>
                <w:spacing w:val="9"/>
                <w:sz w:val="21"/>
                <w:szCs w:val="21"/>
                <w:highlight w:val="none"/>
                <w:lang w:val="en-US" w:eastAsia="zh-CN"/>
              </w:rPr>
              <w:t xml:space="preserve"> </w:t>
            </w:r>
            <w:r>
              <w:rPr>
                <w:rFonts w:hint="eastAsia" w:ascii="宋体" w:hAnsi="宋体" w:eastAsia="宋体" w:cs="宋体"/>
                <w:i w:val="0"/>
                <w:iCs w:val="0"/>
                <w:color w:val="auto"/>
                <w:spacing w:val="9"/>
                <w:sz w:val="21"/>
                <w:szCs w:val="21"/>
                <w:highlight w:val="none"/>
                <w:u w:val="single"/>
              </w:rPr>
              <w:t>202</w:t>
            </w:r>
            <w:r>
              <w:rPr>
                <w:rFonts w:hint="eastAsia" w:ascii="宋体" w:hAnsi="宋体" w:eastAsia="宋体" w:cs="宋体"/>
                <w:i w:val="0"/>
                <w:iCs w:val="0"/>
                <w:color w:val="auto"/>
                <w:spacing w:val="9"/>
                <w:sz w:val="21"/>
                <w:szCs w:val="21"/>
                <w:highlight w:val="none"/>
                <w:u w:val="single"/>
                <w:lang w:val="en-US" w:eastAsia="zh-CN"/>
              </w:rPr>
              <w:t>3</w:t>
            </w:r>
            <w:r>
              <w:rPr>
                <w:rFonts w:hint="eastAsia" w:ascii="宋体" w:hAnsi="宋体" w:eastAsia="宋体" w:cs="宋体"/>
                <w:color w:val="auto"/>
                <w:spacing w:val="9"/>
                <w:sz w:val="21"/>
                <w:szCs w:val="21"/>
                <w:highlight w:val="none"/>
              </w:rPr>
              <w:t>年</w:t>
            </w:r>
            <w:r>
              <w:rPr>
                <w:rFonts w:hint="eastAsia" w:ascii="宋体" w:hAnsi="宋体" w:eastAsia="宋体" w:cs="宋体"/>
                <w:color w:val="auto"/>
                <w:spacing w:val="9"/>
                <w:sz w:val="21"/>
                <w:szCs w:val="21"/>
                <w:highlight w:val="none"/>
                <w:u w:val="single"/>
                <w:lang w:val="en-US" w:eastAsia="zh-CN"/>
              </w:rPr>
              <w:t xml:space="preserve"> </w:t>
            </w:r>
            <w:r>
              <w:rPr>
                <w:rFonts w:hint="eastAsia" w:ascii="宋体" w:hAnsi="宋体" w:eastAsia="宋体" w:cs="宋体"/>
                <w:i w:val="0"/>
                <w:iCs w:val="0"/>
                <w:color w:val="auto"/>
                <w:spacing w:val="9"/>
                <w:sz w:val="21"/>
                <w:szCs w:val="21"/>
                <w:highlight w:val="none"/>
                <w:u w:val="single"/>
                <w:lang w:val="en-US" w:eastAsia="zh-CN"/>
              </w:rPr>
              <w:t xml:space="preserve">6 </w:t>
            </w:r>
            <w:r>
              <w:rPr>
                <w:rFonts w:hint="eastAsia" w:ascii="宋体" w:hAnsi="宋体" w:eastAsia="宋体" w:cs="宋体"/>
                <w:color w:val="auto"/>
                <w:spacing w:val="9"/>
                <w:sz w:val="21"/>
                <w:szCs w:val="21"/>
                <w:highlight w:val="none"/>
              </w:rPr>
              <w:t>月</w:t>
            </w:r>
            <w:r>
              <w:rPr>
                <w:rFonts w:hint="eastAsia" w:ascii="宋体" w:hAnsi="宋体" w:eastAsia="宋体" w:cs="宋体"/>
                <w:color w:val="auto"/>
                <w:spacing w:val="9"/>
                <w:sz w:val="21"/>
                <w:szCs w:val="21"/>
                <w:highlight w:val="none"/>
                <w:u w:val="single"/>
                <w:lang w:val="en-US" w:eastAsia="zh-CN"/>
              </w:rPr>
              <w:t xml:space="preserve"> </w:t>
            </w:r>
            <w:r>
              <w:rPr>
                <w:rFonts w:hint="eastAsia" w:ascii="宋体" w:hAnsi="宋体" w:eastAsia="宋体" w:cs="宋体"/>
                <w:i w:val="0"/>
                <w:iCs w:val="0"/>
                <w:color w:val="auto"/>
                <w:spacing w:val="9"/>
                <w:sz w:val="21"/>
                <w:szCs w:val="21"/>
                <w:highlight w:val="none"/>
                <w:u w:val="single"/>
                <w:lang w:val="en-US" w:eastAsia="zh-CN"/>
              </w:rPr>
              <w:t xml:space="preserve">13 </w:t>
            </w:r>
            <w:r>
              <w:rPr>
                <w:rFonts w:hint="eastAsia" w:ascii="宋体" w:hAnsi="宋体" w:eastAsia="宋体" w:cs="宋体"/>
                <w:color w:val="auto"/>
                <w:spacing w:val="9"/>
                <w:sz w:val="21"/>
                <w:szCs w:val="21"/>
                <w:highlight w:val="none"/>
              </w:rPr>
              <w:t>日16：00时（北京时间）前到账，投标保证金以到账时间为准（包括提交电子保函）。如因投标人自身原因，造成投标单位保证金未及时到账的</w:t>
            </w:r>
            <w:r>
              <w:rPr>
                <w:rFonts w:hint="eastAsia" w:ascii="宋体" w:hAnsi="宋体" w:eastAsia="宋体" w:cs="宋体"/>
                <w:color w:val="auto"/>
                <w:spacing w:val="14"/>
                <w:sz w:val="21"/>
                <w:szCs w:val="21"/>
                <w:highlight w:val="none"/>
              </w:rPr>
              <w:t>（投标人的投标保证金必须从其</w:t>
            </w:r>
            <w:r>
              <w:rPr>
                <w:rFonts w:hint="eastAsia" w:ascii="宋体" w:hAnsi="宋体" w:eastAsia="宋体" w:cs="宋体"/>
                <w:color w:val="auto"/>
                <w:spacing w:val="9"/>
                <w:sz w:val="21"/>
                <w:szCs w:val="21"/>
                <w:highlight w:val="none"/>
              </w:rPr>
              <w:t>诚信库中备案的</w:t>
            </w:r>
            <w:r>
              <w:rPr>
                <w:rFonts w:hint="eastAsia" w:ascii="宋体" w:hAnsi="宋体" w:eastAsia="宋体" w:cs="宋体"/>
                <w:color w:val="auto"/>
                <w:spacing w:val="14"/>
                <w:sz w:val="21"/>
                <w:szCs w:val="21"/>
                <w:highlight w:val="none"/>
              </w:rPr>
              <w:t>基本账户转出</w:t>
            </w:r>
            <w:r>
              <w:rPr>
                <w:rFonts w:hint="eastAsia" w:ascii="宋体" w:hAnsi="宋体" w:eastAsia="宋体" w:cs="宋体"/>
                <w:color w:val="auto"/>
                <w:spacing w:val="14"/>
                <w:sz w:val="21"/>
                <w:szCs w:val="21"/>
                <w:highlight w:val="none"/>
                <w:lang w:eastAsia="zh-CN"/>
              </w:rPr>
              <w:t>）</w:t>
            </w:r>
            <w:r>
              <w:rPr>
                <w:rFonts w:hint="eastAsia" w:ascii="宋体" w:hAnsi="宋体" w:eastAsia="宋体" w:cs="宋体"/>
                <w:color w:val="auto"/>
                <w:spacing w:val="9"/>
                <w:sz w:val="21"/>
                <w:szCs w:val="21"/>
                <w:highlight w:val="none"/>
              </w:rPr>
              <w:t>，一律视为不响应招标文件，其投标文件不予以接受。</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2"/>
              <w:jc w:val="left"/>
              <w:textAlignment w:val="baseline"/>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开户名称：嵊州市公共资源交易中心</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2"/>
              <w:jc w:val="left"/>
              <w:textAlignment w:val="baseline"/>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rPr>
              <w:t>开户银行（1）：</w:t>
            </w:r>
            <w:r>
              <w:rPr>
                <w:rFonts w:hint="eastAsia" w:ascii="宋体" w:hAnsi="宋体" w:eastAsia="宋体" w:cs="宋体"/>
                <w:color w:val="auto"/>
                <w:spacing w:val="8"/>
                <w:kern w:val="2"/>
                <w:sz w:val="21"/>
                <w:szCs w:val="21"/>
                <w:highlight w:val="none"/>
              </w:rPr>
              <w:t>中国建设银行股份有限公司嵊州支行营业部</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2"/>
              <w:jc w:val="left"/>
              <w:textAlignment w:val="baseline"/>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rPr>
              <w:t>账 </w:t>
            </w:r>
            <w:r>
              <w:rPr>
                <w:rFonts w:hint="eastAsia" w:ascii="宋体" w:hAnsi="宋体" w:eastAsia="宋体" w:cs="宋体"/>
                <w:color w:val="auto"/>
                <w:spacing w:val="9"/>
                <w:sz w:val="21"/>
                <w:szCs w:val="21"/>
                <w:highlight w:val="none"/>
                <w:lang w:val="en-US" w:eastAsia="zh-CN"/>
              </w:rPr>
              <w:t xml:space="preserve">  </w:t>
            </w:r>
            <w:r>
              <w:rPr>
                <w:rFonts w:hint="eastAsia" w:ascii="宋体" w:hAnsi="宋体" w:eastAsia="宋体" w:cs="宋体"/>
                <w:color w:val="auto"/>
                <w:spacing w:val="9"/>
                <w:sz w:val="21"/>
                <w:szCs w:val="21"/>
                <w:highlight w:val="none"/>
              </w:rPr>
              <w:t>号：6232811450000098458</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2"/>
              <w:jc w:val="left"/>
              <w:textAlignment w:val="baseline"/>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开户银行（2）：</w:t>
            </w:r>
            <w:r>
              <w:rPr>
                <w:rFonts w:hint="eastAsia" w:ascii="宋体" w:hAnsi="宋体" w:eastAsia="宋体" w:cs="宋体"/>
                <w:color w:val="auto"/>
                <w:spacing w:val="8"/>
                <w:kern w:val="2"/>
                <w:sz w:val="21"/>
                <w:szCs w:val="21"/>
                <w:highlight w:val="none"/>
              </w:rPr>
              <w:t>绍兴银行股份有限公司嵊州支行</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2"/>
              <w:jc w:val="left"/>
              <w:textAlignment w:val="baseline"/>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账 </w:t>
            </w:r>
            <w:r>
              <w:rPr>
                <w:rFonts w:hint="eastAsia" w:ascii="宋体" w:hAnsi="宋体" w:eastAsia="宋体" w:cs="宋体"/>
                <w:color w:val="auto"/>
                <w:spacing w:val="9"/>
                <w:sz w:val="21"/>
                <w:szCs w:val="21"/>
                <w:highlight w:val="none"/>
                <w:lang w:val="en-US" w:eastAsia="zh-CN"/>
              </w:rPr>
              <w:t xml:space="preserve">  </w:t>
            </w:r>
            <w:r>
              <w:rPr>
                <w:rFonts w:hint="eastAsia" w:ascii="宋体" w:hAnsi="宋体" w:eastAsia="宋体" w:cs="宋体"/>
                <w:color w:val="auto"/>
                <w:spacing w:val="9"/>
                <w:sz w:val="21"/>
                <w:szCs w:val="21"/>
                <w:highlight w:val="none"/>
              </w:rPr>
              <w:t>号：6224861565799075395</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2"/>
              <w:jc w:val="left"/>
              <w:textAlignment w:val="baseline"/>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rPr>
              <w:t>开户银行（3）：</w:t>
            </w:r>
            <w:r>
              <w:rPr>
                <w:rFonts w:hint="eastAsia" w:ascii="宋体" w:hAnsi="宋体" w:eastAsia="宋体" w:cs="宋体"/>
                <w:color w:val="auto"/>
                <w:spacing w:val="8"/>
                <w:kern w:val="2"/>
                <w:sz w:val="21"/>
                <w:szCs w:val="21"/>
                <w:highlight w:val="none"/>
              </w:rPr>
              <w:t>浙江嵊州农村商业银行股份有限公司</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2"/>
              <w:jc w:val="left"/>
              <w:textAlignment w:val="baseline"/>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rPr>
              <w:t>账 </w:t>
            </w:r>
            <w:r>
              <w:rPr>
                <w:rFonts w:hint="eastAsia" w:ascii="宋体" w:hAnsi="宋体" w:eastAsia="宋体" w:cs="宋体"/>
                <w:color w:val="auto"/>
                <w:spacing w:val="9"/>
                <w:sz w:val="21"/>
                <w:szCs w:val="21"/>
                <w:highlight w:val="none"/>
                <w:lang w:val="en-US" w:eastAsia="zh-CN"/>
              </w:rPr>
              <w:t xml:space="preserve">  </w:t>
            </w:r>
            <w:r>
              <w:rPr>
                <w:rFonts w:hint="eastAsia" w:ascii="宋体" w:hAnsi="宋体" w:eastAsia="宋体" w:cs="宋体"/>
                <w:color w:val="auto"/>
                <w:spacing w:val="9"/>
                <w:sz w:val="21"/>
                <w:szCs w:val="21"/>
                <w:highlight w:val="none"/>
              </w:rPr>
              <w:t>号：201000112849317001700</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2"/>
              <w:jc w:val="left"/>
              <w:textAlignment w:val="baseline"/>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rPr>
              <w:t>开户银行（4）：</w:t>
            </w:r>
            <w:r>
              <w:rPr>
                <w:rFonts w:hint="eastAsia" w:ascii="宋体" w:hAnsi="宋体" w:eastAsia="宋体" w:cs="宋体"/>
                <w:color w:val="auto"/>
                <w:spacing w:val="8"/>
                <w:kern w:val="2"/>
                <w:sz w:val="21"/>
                <w:szCs w:val="21"/>
                <w:highlight w:val="none"/>
              </w:rPr>
              <w:t>中国工商银行嵊州东城支行</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2"/>
              <w:jc w:val="left"/>
              <w:textAlignment w:val="baseline"/>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rPr>
              <w:t>账 </w:t>
            </w:r>
            <w:r>
              <w:rPr>
                <w:rFonts w:hint="eastAsia" w:ascii="宋体" w:hAnsi="宋体" w:eastAsia="宋体" w:cs="宋体"/>
                <w:color w:val="auto"/>
                <w:spacing w:val="9"/>
                <w:sz w:val="21"/>
                <w:szCs w:val="21"/>
                <w:highlight w:val="none"/>
                <w:lang w:val="en-US" w:eastAsia="zh-CN"/>
              </w:rPr>
              <w:t xml:space="preserve">  </w:t>
            </w:r>
            <w:r>
              <w:rPr>
                <w:rFonts w:hint="eastAsia" w:ascii="宋体" w:hAnsi="宋体" w:eastAsia="宋体" w:cs="宋体"/>
                <w:color w:val="auto"/>
                <w:spacing w:val="9"/>
                <w:sz w:val="21"/>
                <w:szCs w:val="21"/>
                <w:highlight w:val="none"/>
              </w:rPr>
              <w:t>号：9558851211002420587</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2"/>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投标人在可供选择的开户银行自行选择缴纳。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3.4.3</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投</w:t>
            </w:r>
            <w:r>
              <w:rPr>
                <w:rFonts w:hint="eastAsia" w:ascii="宋体" w:hAnsi="宋体" w:eastAsia="宋体" w:cs="宋体"/>
                <w:color w:val="auto"/>
                <w:spacing w:val="8"/>
                <w:sz w:val="21"/>
                <w:szCs w:val="21"/>
                <w:highlight w:val="none"/>
              </w:rPr>
              <w:t>标保证金的退还</w:t>
            </w:r>
          </w:p>
        </w:tc>
        <w:tc>
          <w:tcPr>
            <w:tcW w:w="6138" w:type="dxa"/>
            <w:vAlign w:val="center"/>
          </w:tcPr>
          <w:p>
            <w:pPr>
              <w:keepNext w:val="0"/>
              <w:keepLines w:val="0"/>
              <w:pageBreakBefore w:val="0"/>
              <w:widowControl w:val="0"/>
              <w:kinsoku w:val="0"/>
              <w:wordWrap/>
              <w:overflowPunct/>
              <w:topLinePunct w:val="0"/>
              <w:autoSpaceDE w:val="0"/>
              <w:autoSpaceDN w:val="0"/>
              <w:bidi w:val="0"/>
              <w:adjustRightInd w:val="0"/>
              <w:snapToGrid w:val="0"/>
              <w:spacing w:line="360" w:lineRule="exact"/>
              <w:ind w:right="0" w:righ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none"/>
              </w:rPr>
              <w:t>未中标的投标人的投标保证金将在中标通知书发出之日起</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rPr>
              <w:t>3</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rPr>
              <w:t>个工作日内退还，中标人的投标保证金在中标人与招标人签订施工合同后</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rPr>
              <w:t>5</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rPr>
              <w:t>个工作日内退还。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3.4.4</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u w:val="none"/>
              </w:rPr>
            </w:pPr>
            <w:r>
              <w:rPr>
                <w:rFonts w:hint="eastAsia" w:ascii="宋体" w:hAnsi="宋体" w:eastAsia="宋体" w:cs="宋体"/>
                <w:color w:val="auto"/>
                <w:spacing w:val="12"/>
                <w:sz w:val="21"/>
                <w:szCs w:val="21"/>
                <w:highlight w:val="none"/>
                <w:u w:val="none"/>
              </w:rPr>
              <w:t>投</w:t>
            </w:r>
            <w:r>
              <w:rPr>
                <w:rFonts w:hint="eastAsia" w:ascii="宋体" w:hAnsi="宋体" w:eastAsia="宋体" w:cs="宋体"/>
                <w:color w:val="auto"/>
                <w:spacing w:val="11"/>
                <w:sz w:val="21"/>
                <w:szCs w:val="21"/>
                <w:highlight w:val="none"/>
                <w:u w:val="none"/>
              </w:rPr>
              <w:t>标保证金不予退还的情</w:t>
            </w:r>
            <w:r>
              <w:rPr>
                <w:rFonts w:hint="eastAsia" w:ascii="宋体" w:hAnsi="宋体" w:eastAsia="宋体" w:cs="宋体"/>
                <w:color w:val="auto"/>
                <w:sz w:val="21"/>
                <w:szCs w:val="21"/>
                <w:highlight w:val="none"/>
                <w:u w:val="none"/>
              </w:rPr>
              <w:t>形</w:t>
            </w:r>
          </w:p>
        </w:tc>
        <w:tc>
          <w:tcPr>
            <w:tcW w:w="6138" w:type="dxa"/>
            <w:vAlign w:val="center"/>
          </w:tcPr>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jc w:val="left"/>
              <w:textAlignment w:val="baseline"/>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(1)投标人在投标有效期内撤销或修改其投标文件。                                         (2)中标人无正当理由不与招标人订立合同，或在签订合同时向招标人提出附加条件，或未按招标文件要求提交履约保证金的。</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jc w:val="left"/>
              <w:textAlignment w:val="baseline"/>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(3)经查实，投标人在投标过程中串通投标或弄虚作假的。</w:t>
            </w:r>
          </w:p>
          <w:p>
            <w:pPr>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jc w:val="left"/>
              <w:textAlignment w:val="baseline"/>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(4)拟派项目负责人在投标截止日有在其他在建合同工程上担任项目负责人</w:t>
            </w:r>
            <w:r>
              <w:rPr>
                <w:rFonts w:hint="eastAsia" w:ascii="宋体" w:hAnsi="宋体" w:eastAsia="宋体" w:cs="宋体"/>
                <w:color w:val="auto"/>
                <w:kern w:val="2"/>
                <w:sz w:val="21"/>
                <w:szCs w:val="21"/>
                <w:highlight w:val="none"/>
              </w:rPr>
              <w:t>（包括设计施工总承包项目中的施工负责人）</w:t>
            </w:r>
            <w:r>
              <w:rPr>
                <w:rFonts w:hint="eastAsia" w:ascii="宋体" w:hAnsi="宋体" w:eastAsia="宋体" w:cs="宋体"/>
                <w:color w:val="auto"/>
                <w:sz w:val="21"/>
                <w:szCs w:val="21"/>
                <w:highlight w:val="none"/>
                <w:u w:val="none"/>
              </w:rPr>
              <w:t>的情形。</w:t>
            </w:r>
          </w:p>
          <w:p>
            <w:pPr>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jc w:val="left"/>
              <w:textAlignment w:val="baseline"/>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出现上述不予退还情形的，招标人告知嵊州市公共资源交易中心后，不</w:t>
            </w:r>
            <w:r>
              <w:rPr>
                <w:rFonts w:hint="eastAsia" w:ascii="宋体" w:hAnsi="宋体" w:eastAsia="宋体" w:cs="宋体"/>
                <w:color w:val="auto"/>
                <w:sz w:val="21"/>
                <w:szCs w:val="21"/>
                <w:highlight w:val="none"/>
                <w:u w:val="none"/>
                <w:lang w:val="en-US" w:eastAsia="zh-CN"/>
              </w:rPr>
              <w:t>再</w:t>
            </w:r>
            <w:r>
              <w:rPr>
                <w:rFonts w:hint="eastAsia" w:ascii="宋体" w:hAnsi="宋体" w:eastAsia="宋体" w:cs="宋体"/>
                <w:color w:val="auto"/>
                <w:sz w:val="21"/>
                <w:szCs w:val="21"/>
                <w:highlight w:val="none"/>
                <w:u w:val="none"/>
              </w:rPr>
              <w:t>退还给投标人。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3</w:t>
            </w:r>
            <w:r>
              <w:rPr>
                <w:rFonts w:hint="eastAsia" w:ascii="宋体" w:hAnsi="宋体" w:eastAsia="宋体" w:cs="宋体"/>
                <w:color w:val="auto"/>
                <w:spacing w:val="1"/>
                <w:sz w:val="21"/>
                <w:szCs w:val="21"/>
                <w:highlight w:val="none"/>
              </w:rPr>
              <w:t>.5</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rPr>
              <w:t>资</w:t>
            </w:r>
            <w:r>
              <w:rPr>
                <w:rFonts w:hint="eastAsia" w:ascii="宋体" w:hAnsi="宋体" w:eastAsia="宋体" w:cs="宋体"/>
                <w:color w:val="auto"/>
                <w:spacing w:val="8"/>
                <w:sz w:val="21"/>
                <w:szCs w:val="21"/>
                <w:highlight w:val="none"/>
              </w:rPr>
              <w:t>格审查资料的特殊要求</w:t>
            </w:r>
          </w:p>
        </w:tc>
        <w:tc>
          <w:tcPr>
            <w:tcW w:w="6138" w:type="dxa"/>
            <w:vAlign w:val="center"/>
          </w:tcPr>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pacing w:val="-6"/>
                <w:sz w:val="21"/>
                <w:szCs w:val="21"/>
                <w:highlight w:val="none"/>
              </w:rPr>
              <w:t>无</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□有，具</w:t>
            </w:r>
            <w:r>
              <w:rPr>
                <w:rFonts w:hint="eastAsia" w:ascii="宋体" w:hAnsi="宋体" w:eastAsia="宋体" w:cs="宋体"/>
                <w:color w:val="auto"/>
                <w:spacing w:val="5"/>
                <w:sz w:val="21"/>
                <w:szCs w:val="21"/>
                <w:highlight w:val="none"/>
              </w:rPr>
              <w:t>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5"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3.5.1</w:t>
            </w:r>
          </w:p>
        </w:tc>
        <w:tc>
          <w:tcPr>
            <w:tcW w:w="2205"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投</w:t>
            </w:r>
            <w:r>
              <w:rPr>
                <w:rFonts w:hint="eastAsia" w:ascii="宋体" w:hAnsi="宋体" w:eastAsia="宋体" w:cs="宋体"/>
                <w:color w:val="auto"/>
                <w:spacing w:val="11"/>
                <w:sz w:val="21"/>
                <w:szCs w:val="21"/>
                <w:highlight w:val="none"/>
              </w:rPr>
              <w:t>标人基本情况表应附资</w:t>
            </w:r>
            <w:r>
              <w:rPr>
                <w:rFonts w:hint="eastAsia" w:ascii="宋体" w:hAnsi="宋体" w:eastAsia="宋体" w:cs="宋体"/>
                <w:color w:val="auto"/>
                <w:sz w:val="21"/>
                <w:szCs w:val="21"/>
                <w:highlight w:val="none"/>
              </w:rPr>
              <w:t>料</w:t>
            </w:r>
          </w:p>
        </w:tc>
        <w:tc>
          <w:tcPr>
            <w:tcW w:w="6138" w:type="dxa"/>
            <w:vAlign w:val="top"/>
          </w:tcPr>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2"/>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投标人基本情况表应附</w:t>
            </w:r>
            <w:r>
              <w:rPr>
                <w:rFonts w:hint="eastAsia" w:ascii="宋体" w:hAnsi="宋体" w:eastAsia="宋体" w:cs="宋体"/>
                <w:color w:val="auto"/>
                <w:spacing w:val="6"/>
                <w:sz w:val="21"/>
                <w:szCs w:val="21"/>
                <w:highlight w:val="none"/>
              </w:rPr>
              <w:t>：</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2"/>
              <w:jc w:val="left"/>
              <w:textAlignment w:val="baseline"/>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(1)企业法人营业执照副本和组织机构代码证副本(按照“三证合一”或“五证合一”登记制度进行登记的，可仅提供营业执照副本，下同)扫描件；</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2"/>
              <w:jc w:val="left"/>
              <w:textAlignment w:val="baseline"/>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(2)施工资质证书副本扫描件；</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2"/>
              <w:jc w:val="left"/>
              <w:textAlignment w:val="baseline"/>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(3)安全生产许可证副本扫描件；</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0"/>
              <w:jc w:val="left"/>
              <w:textAlignment w:val="baseline"/>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(4)基本账户开户许可证(或银行出具的基本账户存款证明或基本存款账户信息)的扫描件；</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2"/>
              <w:jc w:val="left"/>
              <w:textAlignment w:val="baseline"/>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(5)投标人在交通运输部“全国公路建设市场信用信息管理系统”(</w:t>
            </w:r>
            <w:r>
              <w:rPr>
                <w:rFonts w:hint="eastAsia" w:ascii="宋体" w:hAnsi="宋体" w:eastAsia="宋体" w:cs="宋体"/>
                <w:color w:val="auto"/>
                <w:spacing w:val="9"/>
                <w:sz w:val="21"/>
                <w:szCs w:val="21"/>
                <w:highlight w:val="none"/>
              </w:rPr>
              <w:fldChar w:fldCharType="begin"/>
            </w:r>
            <w:r>
              <w:rPr>
                <w:rFonts w:hint="eastAsia" w:ascii="宋体" w:hAnsi="宋体" w:eastAsia="宋体" w:cs="宋体"/>
                <w:color w:val="auto"/>
                <w:spacing w:val="9"/>
                <w:sz w:val="21"/>
                <w:szCs w:val="21"/>
                <w:highlight w:val="none"/>
              </w:rPr>
              <w:instrText xml:space="preserve"> HYPERLINK "http://glxy.mot.gov.cn" </w:instrText>
            </w:r>
            <w:r>
              <w:rPr>
                <w:rFonts w:hint="eastAsia" w:ascii="宋体" w:hAnsi="宋体" w:eastAsia="宋体" w:cs="宋体"/>
                <w:color w:val="auto"/>
                <w:spacing w:val="9"/>
                <w:sz w:val="21"/>
                <w:szCs w:val="21"/>
                <w:highlight w:val="none"/>
              </w:rPr>
              <w:fldChar w:fldCharType="separate"/>
            </w:r>
            <w:r>
              <w:rPr>
                <w:rFonts w:hint="eastAsia" w:ascii="宋体" w:hAnsi="宋体" w:eastAsia="宋体" w:cs="宋体"/>
                <w:color w:val="auto"/>
                <w:spacing w:val="9"/>
                <w:sz w:val="21"/>
                <w:szCs w:val="21"/>
                <w:highlight w:val="none"/>
              </w:rPr>
              <w:t>http://glxy.mot.gov.cn</w:t>
            </w:r>
            <w:r>
              <w:rPr>
                <w:rFonts w:hint="eastAsia" w:ascii="宋体" w:hAnsi="宋体" w:eastAsia="宋体" w:cs="宋体"/>
                <w:color w:val="auto"/>
                <w:spacing w:val="9"/>
                <w:sz w:val="21"/>
                <w:szCs w:val="21"/>
                <w:highlight w:val="none"/>
              </w:rPr>
              <w:fldChar w:fldCharType="end"/>
            </w:r>
            <w:r>
              <w:rPr>
                <w:rFonts w:hint="eastAsia" w:ascii="宋体" w:hAnsi="宋体" w:eastAsia="宋体" w:cs="宋体"/>
                <w:color w:val="auto"/>
                <w:spacing w:val="9"/>
                <w:sz w:val="21"/>
                <w:szCs w:val="21"/>
                <w:highlight w:val="none"/>
              </w:rPr>
              <w:t>)从业企业查询(输入从业单位名称或统一社会信用代码查询)网页截图；</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2"/>
              <w:jc w:val="left"/>
              <w:textAlignment w:val="baseline"/>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(6)投标人在国家企业信用信息公示系统中基础信息(体现股</w:t>
            </w:r>
            <w:r>
              <w:rPr>
                <w:rFonts w:hint="eastAsia" w:ascii="宋体" w:hAnsi="宋体" w:eastAsia="宋体" w:cs="宋体"/>
                <w:color w:val="auto"/>
                <w:spacing w:val="9"/>
                <w:sz w:val="21"/>
                <w:szCs w:val="21"/>
                <w:highlight w:val="none"/>
                <w:lang w:val="en-US" w:eastAsia="zh-CN"/>
              </w:rPr>
              <w:t>东</w:t>
            </w:r>
            <w:r>
              <w:rPr>
                <w:rFonts w:hint="eastAsia" w:ascii="宋体" w:hAnsi="宋体" w:eastAsia="宋体" w:cs="宋体"/>
                <w:color w:val="auto"/>
                <w:spacing w:val="9"/>
                <w:sz w:val="21"/>
                <w:szCs w:val="21"/>
                <w:highlight w:val="none"/>
              </w:rPr>
              <w:t>及出资详细信息)的网页截图或由法定的社会验资机构出具的验资报告或注册地市场监督部门出具的股东出资情况证明扫描件。</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leftChars="0" w:right="0" w:rightChars="0" w:firstLine="2"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企业法人营业执照副本和组织机构代码证副本、施工资质证书副本、安全生产许可证副本、基本账户开户许可证(或银行出具的基本账户存款证明或基本存款账户信息)的扫描件应提供全本(证书封面、封底、空白页除外)</w:t>
            </w:r>
            <w:r>
              <w:rPr>
                <w:rFonts w:hint="eastAsia" w:ascii="宋体" w:hAnsi="宋体" w:eastAsia="宋体" w:cs="宋体"/>
                <w:color w:val="auto"/>
                <w:spacing w:val="9"/>
                <w:sz w:val="21"/>
                <w:szCs w:val="21"/>
                <w:highlight w:val="none"/>
                <w:lang w:eastAsia="zh-CN"/>
              </w:rPr>
              <w:t>，</w:t>
            </w:r>
            <w:r>
              <w:rPr>
                <w:rFonts w:hint="eastAsia" w:ascii="宋体" w:hAnsi="宋体" w:eastAsia="宋体" w:cs="宋体"/>
                <w:color w:val="auto"/>
                <w:spacing w:val="9"/>
                <w:sz w:val="21"/>
                <w:szCs w:val="21"/>
                <w:highlight w:val="none"/>
              </w:rPr>
              <w:t>应包括投标人名称、投标人其他相关信息、颁发机构名称、投标人</w:t>
            </w:r>
            <w:r>
              <w:rPr>
                <w:rFonts w:hint="eastAsia" w:ascii="宋体" w:hAnsi="宋体" w:eastAsia="宋体" w:cs="宋体"/>
                <w:color w:val="auto"/>
                <w:spacing w:val="-11"/>
                <w:sz w:val="21"/>
                <w:szCs w:val="21"/>
                <w:highlight w:val="none"/>
              </w:rPr>
              <w:t>信息变更情况等关键页在内，并逐页加盖投标人单位</w:t>
            </w:r>
            <w:r>
              <w:rPr>
                <w:rFonts w:hint="eastAsia" w:ascii="宋体" w:hAnsi="宋体" w:eastAsia="宋体" w:cs="宋体"/>
                <w:color w:val="auto"/>
                <w:spacing w:val="-11"/>
                <w:sz w:val="21"/>
                <w:szCs w:val="21"/>
                <w:highlight w:val="none"/>
                <w:lang w:val="en-US" w:eastAsia="zh-CN"/>
              </w:rPr>
              <w:t>电子</w:t>
            </w:r>
            <w:r>
              <w:rPr>
                <w:rFonts w:hint="eastAsia" w:ascii="宋体" w:hAnsi="宋体" w:eastAsia="宋体" w:cs="宋体"/>
                <w:color w:val="auto"/>
                <w:spacing w:val="-11"/>
                <w:sz w:val="21"/>
                <w:szCs w:val="21"/>
                <w:highlight w:val="none"/>
              </w:rPr>
              <w:t>公章</w:t>
            </w:r>
            <w:r>
              <w:rPr>
                <w:rFonts w:hint="eastAsia" w:ascii="宋体" w:hAnsi="宋体" w:eastAsia="宋体" w:cs="宋体"/>
                <w:color w:val="auto"/>
                <w:spacing w:val="2"/>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3.5.2</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财务状况</w:t>
            </w:r>
            <w:r>
              <w:rPr>
                <w:rFonts w:hint="eastAsia" w:ascii="宋体" w:hAnsi="宋体" w:eastAsia="宋体" w:cs="宋体"/>
                <w:color w:val="auto"/>
                <w:spacing w:val="7"/>
                <w:sz w:val="21"/>
                <w:szCs w:val="21"/>
                <w:highlight w:val="none"/>
              </w:rPr>
              <w:t>表</w:t>
            </w:r>
          </w:p>
        </w:tc>
        <w:tc>
          <w:tcPr>
            <w:tcW w:w="6138" w:type="dxa"/>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kern w:val="2"/>
                <w:sz w:val="21"/>
                <w:szCs w:val="21"/>
                <w:highlight w:val="none"/>
              </w:rPr>
              <w:t>无须提供企业财务会计报表，仅须提供流动资金</w:t>
            </w:r>
            <w:r>
              <w:rPr>
                <w:rFonts w:hint="eastAsia" w:ascii="宋体" w:hAnsi="宋体" w:eastAsia="宋体" w:cs="宋体"/>
                <w:color w:val="auto"/>
                <w:spacing w:val="-1"/>
                <w:kern w:val="2"/>
                <w:sz w:val="21"/>
                <w:szCs w:val="21"/>
                <w:highlight w:val="none"/>
                <w:lang w:eastAsia="zh-CN"/>
              </w:rPr>
              <w:t>（</w:t>
            </w:r>
            <w:r>
              <w:rPr>
                <w:rFonts w:hint="eastAsia" w:ascii="宋体" w:hAnsi="宋体" w:eastAsia="宋体" w:cs="宋体"/>
                <w:color w:val="auto"/>
                <w:spacing w:val="-1"/>
                <w:kern w:val="2"/>
                <w:sz w:val="21"/>
                <w:szCs w:val="21"/>
                <w:highlight w:val="none"/>
                <w:lang w:val="en-US" w:eastAsia="zh-CN"/>
              </w:rPr>
              <w:t>1800万</w:t>
            </w:r>
            <w:r>
              <w:rPr>
                <w:rFonts w:hint="eastAsia" w:ascii="宋体" w:hAnsi="宋体" w:eastAsia="宋体" w:cs="宋体"/>
                <w:color w:val="auto"/>
                <w:spacing w:val="-1"/>
                <w:kern w:val="2"/>
                <w:sz w:val="21"/>
                <w:szCs w:val="21"/>
                <w:highlight w:val="none"/>
                <w:lang w:eastAsia="zh-CN"/>
              </w:rPr>
              <w:t>）</w:t>
            </w:r>
            <w:r>
              <w:rPr>
                <w:rFonts w:hint="eastAsia" w:ascii="宋体" w:hAnsi="宋体" w:eastAsia="宋体" w:cs="宋体"/>
                <w:color w:val="auto"/>
                <w:spacing w:val="-1"/>
                <w:kern w:val="2"/>
                <w:sz w:val="21"/>
                <w:szCs w:val="21"/>
                <w:highlight w:val="none"/>
              </w:rPr>
              <w:t>证明材料（由投标人自行决定采用银行信贷证明或财务能力承诺书）</w:t>
            </w:r>
            <w:r>
              <w:rPr>
                <w:rFonts w:hint="eastAsia" w:ascii="宋体" w:hAnsi="宋体" w:eastAsia="宋体" w:cs="宋体"/>
                <w:color w:val="auto"/>
                <w:spacing w:val="-1"/>
                <w:kern w:val="2"/>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3.5.3</w:t>
            </w:r>
          </w:p>
        </w:tc>
        <w:tc>
          <w:tcPr>
            <w:tcW w:w="2205" w:type="dxa"/>
            <w:vAlign w:val="center"/>
          </w:tcPr>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近</w:t>
            </w:r>
            <w:r>
              <w:rPr>
                <w:rFonts w:hint="eastAsia" w:ascii="宋体" w:hAnsi="宋体" w:eastAsia="宋体" w:cs="宋体"/>
                <w:color w:val="auto"/>
                <w:spacing w:val="11"/>
                <w:sz w:val="21"/>
                <w:szCs w:val="21"/>
                <w:highlight w:val="none"/>
              </w:rPr>
              <w:t>年完成的类似项目的年</w:t>
            </w:r>
            <w:r>
              <w:rPr>
                <w:rFonts w:hint="eastAsia" w:ascii="宋体" w:hAnsi="宋体" w:eastAsia="宋体" w:cs="宋体"/>
                <w:color w:val="auto"/>
                <w:spacing w:val="13"/>
                <w:sz w:val="21"/>
                <w:szCs w:val="21"/>
                <w:highlight w:val="none"/>
              </w:rPr>
              <w:t>份</w:t>
            </w:r>
            <w:r>
              <w:rPr>
                <w:rFonts w:hint="eastAsia" w:ascii="宋体" w:hAnsi="宋体" w:eastAsia="宋体" w:cs="宋体"/>
                <w:color w:val="auto"/>
                <w:spacing w:val="8"/>
                <w:sz w:val="21"/>
                <w:szCs w:val="21"/>
                <w:highlight w:val="none"/>
              </w:rPr>
              <w:t>要求及需附资料</w:t>
            </w:r>
          </w:p>
        </w:tc>
        <w:tc>
          <w:tcPr>
            <w:tcW w:w="6138" w:type="dxa"/>
            <w:vAlign w:val="center"/>
          </w:tcPr>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right="0" w:rightChars="0"/>
              <w:jc w:val="both"/>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kern w:val="2"/>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179" w:type="dxa"/>
            <w:vAlign w:val="center"/>
          </w:tcPr>
          <w:p>
            <w:pPr>
              <w:keepNext w:val="0"/>
              <w:keepLines w:val="0"/>
              <w:pageBreakBefore w:val="0"/>
              <w:widowControl w:val="0"/>
              <w:wordWrap/>
              <w:overflowPunct/>
              <w:topLinePunct w:val="0"/>
              <w:bidi w:val="0"/>
              <w:spacing w:line="360" w:lineRule="exact"/>
              <w:ind w:left="0" w:right="0"/>
              <w:jc w:val="center"/>
              <w:rPr>
                <w:rFonts w:hint="eastAsia" w:ascii="宋体" w:hAnsi="宋体" w:eastAsia="宋体" w:cs="宋体"/>
                <w:color w:val="auto"/>
                <w:sz w:val="21"/>
                <w:szCs w:val="21"/>
                <w:highlight w:val="none"/>
              </w:rPr>
            </w:pPr>
          </w:p>
          <w:p>
            <w:pPr>
              <w:pStyle w:val="2"/>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highlight w:val="none"/>
              </w:rPr>
            </w:pPr>
          </w:p>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3.5.5</w:t>
            </w:r>
          </w:p>
        </w:tc>
        <w:tc>
          <w:tcPr>
            <w:tcW w:w="2205" w:type="dxa"/>
            <w:vAlign w:val="center"/>
          </w:tcPr>
          <w:p>
            <w:pPr>
              <w:keepNext w:val="0"/>
              <w:keepLines w:val="0"/>
              <w:pageBreakBefore w:val="0"/>
              <w:widowControl w:val="0"/>
              <w:wordWrap/>
              <w:overflowPunct/>
              <w:topLinePunct w:val="0"/>
              <w:bidi w:val="0"/>
              <w:spacing w:line="360" w:lineRule="exact"/>
              <w:ind w:left="0" w:right="0"/>
              <w:jc w:val="center"/>
              <w:rPr>
                <w:rFonts w:hint="eastAsia" w:ascii="宋体" w:hAnsi="宋体" w:eastAsia="宋体" w:cs="宋体"/>
                <w:color w:val="auto"/>
                <w:sz w:val="21"/>
                <w:szCs w:val="21"/>
                <w:highlight w:val="none"/>
              </w:rPr>
            </w:pPr>
          </w:p>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pacing w:val="15"/>
                <w:sz w:val="21"/>
                <w:szCs w:val="21"/>
                <w:highlight w:val="none"/>
              </w:rPr>
            </w:pPr>
            <w:r>
              <w:rPr>
                <w:rFonts w:hint="eastAsia" w:ascii="宋体" w:hAnsi="宋体" w:eastAsia="宋体" w:cs="宋体"/>
                <w:color w:val="auto"/>
                <w:spacing w:val="14"/>
                <w:sz w:val="21"/>
                <w:szCs w:val="21"/>
                <w:highlight w:val="none"/>
              </w:rPr>
              <w:t>拟</w:t>
            </w:r>
            <w:r>
              <w:rPr>
                <w:rFonts w:hint="eastAsia" w:ascii="宋体" w:hAnsi="宋体" w:eastAsia="宋体" w:cs="宋体"/>
                <w:color w:val="auto"/>
                <w:spacing w:val="11"/>
                <w:sz w:val="21"/>
                <w:szCs w:val="21"/>
                <w:highlight w:val="none"/>
              </w:rPr>
              <w:t>委任的项目经理、项目</w:t>
            </w:r>
            <w:r>
              <w:rPr>
                <w:rFonts w:hint="eastAsia" w:ascii="宋体" w:hAnsi="宋体" w:eastAsia="宋体" w:cs="宋体"/>
                <w:color w:val="auto"/>
                <w:spacing w:val="13"/>
                <w:sz w:val="21"/>
                <w:szCs w:val="21"/>
                <w:highlight w:val="none"/>
              </w:rPr>
              <w:t>技</w:t>
            </w:r>
            <w:r>
              <w:rPr>
                <w:rFonts w:hint="eastAsia" w:ascii="宋体" w:hAnsi="宋体" w:eastAsia="宋体" w:cs="宋体"/>
                <w:color w:val="auto"/>
                <w:spacing w:val="11"/>
                <w:sz w:val="21"/>
                <w:szCs w:val="21"/>
                <w:highlight w:val="none"/>
              </w:rPr>
              <w:t>术负责人和安全负责人资</w:t>
            </w:r>
            <w:r>
              <w:rPr>
                <w:rFonts w:hint="eastAsia" w:ascii="宋体" w:hAnsi="宋体" w:eastAsia="宋体" w:cs="宋体"/>
                <w:color w:val="auto"/>
                <w:spacing w:val="8"/>
                <w:sz w:val="21"/>
                <w:szCs w:val="21"/>
                <w:highlight w:val="none"/>
              </w:rPr>
              <w:t>历表应附资料</w:t>
            </w:r>
          </w:p>
        </w:tc>
        <w:tc>
          <w:tcPr>
            <w:tcW w:w="6138" w:type="dxa"/>
            <w:vAlign w:val="top"/>
          </w:tcPr>
          <w:p>
            <w:pPr>
              <w:keepNext w:val="0"/>
              <w:keepLines w:val="0"/>
              <w:pageBreakBefore w:val="0"/>
              <w:widowControl/>
              <w:tabs>
                <w:tab w:val="left" w:pos="217"/>
              </w:tabs>
              <w:kinsoku/>
              <w:wordWrap/>
              <w:overflowPunct/>
              <w:topLinePunct w:val="0"/>
              <w:autoSpaceDE/>
              <w:autoSpaceDN/>
              <w:bidi w:val="0"/>
              <w:adjustRightInd w:val="0"/>
              <w:snapToGrid w:val="0"/>
              <w:spacing w:line="360" w:lineRule="exact"/>
              <w:ind w:left="0" w:right="0" w:firstLine="438" w:firstLineChars="209"/>
              <w:jc w:val="both"/>
              <w:textAlignment w:val="auto"/>
              <w:rPr>
                <w:rFonts w:hint="eastAsia" w:ascii="宋体" w:hAnsi="宋体" w:eastAsia="宋体" w:cs="宋体"/>
                <w:b w:val="0"/>
                <w:bCs/>
                <w:color w:val="auto"/>
                <w:kern w:val="2"/>
                <w:sz w:val="21"/>
                <w:szCs w:val="21"/>
                <w:highlight w:val="none"/>
                <w:lang w:val="en-US" w:eastAsia="zh-CN"/>
              </w:rPr>
            </w:pPr>
            <w:r>
              <w:rPr>
                <w:rFonts w:hint="eastAsia" w:ascii="宋体" w:hAnsi="宋体" w:eastAsia="宋体" w:cs="宋体"/>
                <w:b w:val="0"/>
                <w:bCs/>
                <w:color w:val="auto"/>
                <w:kern w:val="2"/>
                <w:sz w:val="21"/>
                <w:szCs w:val="21"/>
                <w:highlight w:val="none"/>
                <w:lang w:val="en-US" w:eastAsia="zh-CN"/>
              </w:rPr>
              <w:t>“拟委任的项目经理、项目技术负责人和安全负责人资历表”应附以下资料：</w:t>
            </w:r>
          </w:p>
          <w:p>
            <w:pPr>
              <w:keepNext w:val="0"/>
              <w:keepLines w:val="0"/>
              <w:pageBreakBefore w:val="0"/>
              <w:widowControl/>
              <w:tabs>
                <w:tab w:val="left" w:pos="217"/>
              </w:tabs>
              <w:kinsoku/>
              <w:wordWrap/>
              <w:overflowPunct/>
              <w:topLinePunct w:val="0"/>
              <w:autoSpaceDE/>
              <w:autoSpaceDN/>
              <w:bidi w:val="0"/>
              <w:adjustRightInd w:val="0"/>
              <w:snapToGrid w:val="0"/>
              <w:spacing w:line="360" w:lineRule="exact"/>
              <w:ind w:left="0" w:right="0" w:firstLine="438" w:firstLineChars="209"/>
              <w:jc w:val="both"/>
              <w:textAlignment w:val="auto"/>
              <w:rPr>
                <w:rFonts w:hint="eastAsia" w:ascii="宋体" w:hAnsi="宋体" w:eastAsia="宋体" w:cs="宋体"/>
                <w:b w:val="0"/>
                <w:bCs/>
                <w:color w:val="auto"/>
                <w:kern w:val="2"/>
                <w:sz w:val="21"/>
                <w:szCs w:val="21"/>
                <w:highlight w:val="none"/>
              </w:rPr>
            </w:pPr>
            <w:r>
              <w:rPr>
                <w:rFonts w:hint="eastAsia" w:ascii="宋体" w:hAnsi="宋体" w:eastAsia="宋体" w:cs="宋体"/>
                <w:b w:val="0"/>
                <w:bCs/>
                <w:color w:val="auto"/>
                <w:kern w:val="2"/>
                <w:sz w:val="21"/>
                <w:szCs w:val="21"/>
                <w:highlight w:val="none"/>
                <w:lang w:val="en-US" w:eastAsia="zh-CN"/>
              </w:rPr>
              <w:t xml:space="preserve">（1）项目经理：身份证、职称资格证书、有效期内的安全生产考核合格证书（B 类）、建造师注册证书；项目技术负责人：身份证、职称资格证书、有效期内的安全生产考核合格证书（B 类）；安全负责人：身份证、有效期内的安全生产考核合格证书（C 类）。 </w:t>
            </w:r>
          </w:p>
          <w:p>
            <w:pPr>
              <w:keepNext w:val="0"/>
              <w:keepLines w:val="0"/>
              <w:pageBreakBefore w:val="0"/>
              <w:widowControl/>
              <w:tabs>
                <w:tab w:val="left" w:pos="217"/>
              </w:tabs>
              <w:kinsoku/>
              <w:wordWrap/>
              <w:overflowPunct/>
              <w:topLinePunct w:val="0"/>
              <w:autoSpaceDE/>
              <w:autoSpaceDN/>
              <w:bidi w:val="0"/>
              <w:adjustRightInd w:val="0"/>
              <w:snapToGrid w:val="0"/>
              <w:spacing w:line="360" w:lineRule="exact"/>
              <w:ind w:left="0" w:right="0" w:firstLine="438" w:firstLineChars="209"/>
              <w:jc w:val="both"/>
              <w:textAlignment w:val="auto"/>
              <w:rPr>
                <w:rFonts w:hint="eastAsia" w:ascii="宋体" w:hAnsi="宋体" w:eastAsia="宋体" w:cs="宋体"/>
                <w:b w:val="0"/>
                <w:bCs/>
                <w:color w:val="auto"/>
                <w:kern w:val="2"/>
                <w:sz w:val="21"/>
                <w:szCs w:val="21"/>
                <w:highlight w:val="none"/>
              </w:rPr>
            </w:pPr>
            <w:r>
              <w:rPr>
                <w:rFonts w:hint="eastAsia" w:ascii="宋体" w:hAnsi="宋体" w:eastAsia="宋体" w:cs="宋体"/>
                <w:b w:val="0"/>
                <w:bCs/>
                <w:color w:val="auto"/>
                <w:kern w:val="2"/>
                <w:sz w:val="21"/>
                <w:szCs w:val="21"/>
                <w:highlight w:val="none"/>
                <w:lang w:val="en-US" w:eastAsia="zh-CN"/>
              </w:rPr>
              <w:t xml:space="preserve">身份证应提供正反双面扫描件。 </w:t>
            </w:r>
          </w:p>
          <w:p>
            <w:pPr>
              <w:keepNext w:val="0"/>
              <w:keepLines w:val="0"/>
              <w:pageBreakBefore w:val="0"/>
              <w:widowControl/>
              <w:tabs>
                <w:tab w:val="left" w:pos="217"/>
              </w:tabs>
              <w:kinsoku/>
              <w:wordWrap/>
              <w:overflowPunct/>
              <w:topLinePunct w:val="0"/>
              <w:autoSpaceDE/>
              <w:autoSpaceDN/>
              <w:bidi w:val="0"/>
              <w:adjustRightInd w:val="0"/>
              <w:snapToGrid w:val="0"/>
              <w:spacing w:line="360" w:lineRule="exact"/>
              <w:ind w:left="0" w:right="0" w:firstLine="438" w:firstLineChars="209"/>
              <w:jc w:val="both"/>
              <w:textAlignment w:val="auto"/>
              <w:rPr>
                <w:rFonts w:hint="eastAsia" w:ascii="宋体" w:hAnsi="宋体" w:eastAsia="宋体" w:cs="宋体"/>
                <w:b w:val="0"/>
                <w:bCs/>
                <w:color w:val="auto"/>
                <w:kern w:val="2"/>
                <w:sz w:val="21"/>
                <w:szCs w:val="21"/>
                <w:highlight w:val="none"/>
              </w:rPr>
            </w:pPr>
            <w:r>
              <w:rPr>
                <w:rFonts w:hint="eastAsia" w:ascii="宋体" w:hAnsi="宋体" w:eastAsia="宋体" w:cs="宋体"/>
                <w:b w:val="0"/>
                <w:bCs/>
                <w:color w:val="auto"/>
                <w:kern w:val="2"/>
                <w:sz w:val="21"/>
                <w:szCs w:val="21"/>
                <w:highlight w:val="none"/>
                <w:lang w:val="en-US" w:eastAsia="zh-CN"/>
              </w:rPr>
              <w:t xml:space="preserve">拟委任的项目经理的建造师注册证书、安全生产考核合格证书和项目技术负责人、安全负责人的安全生产考核合格证书上单位名称应与投标人名称一致。 </w:t>
            </w:r>
          </w:p>
          <w:p>
            <w:pPr>
              <w:keepNext w:val="0"/>
              <w:keepLines w:val="0"/>
              <w:pageBreakBefore w:val="0"/>
              <w:widowControl/>
              <w:tabs>
                <w:tab w:val="left" w:pos="217"/>
              </w:tabs>
              <w:kinsoku/>
              <w:wordWrap/>
              <w:overflowPunct/>
              <w:topLinePunct w:val="0"/>
              <w:autoSpaceDE/>
              <w:autoSpaceDN/>
              <w:bidi w:val="0"/>
              <w:adjustRightInd w:val="0"/>
              <w:snapToGrid w:val="0"/>
              <w:spacing w:line="360" w:lineRule="exact"/>
              <w:ind w:left="0" w:right="0" w:firstLine="438" w:firstLineChars="209"/>
              <w:jc w:val="both"/>
              <w:textAlignment w:val="auto"/>
              <w:rPr>
                <w:rFonts w:hint="eastAsia" w:ascii="宋体" w:hAnsi="宋体" w:eastAsia="宋体" w:cs="宋体"/>
                <w:b w:val="0"/>
                <w:bCs/>
                <w:color w:val="auto"/>
                <w:kern w:val="2"/>
                <w:sz w:val="21"/>
                <w:szCs w:val="21"/>
                <w:highlight w:val="none"/>
              </w:rPr>
            </w:pPr>
            <w:r>
              <w:rPr>
                <w:rFonts w:hint="eastAsia" w:ascii="宋体" w:hAnsi="宋体" w:eastAsia="宋体" w:cs="宋体"/>
                <w:b w:val="0"/>
                <w:bCs/>
                <w:color w:val="auto"/>
                <w:kern w:val="2"/>
                <w:sz w:val="21"/>
                <w:szCs w:val="21"/>
                <w:highlight w:val="none"/>
                <w:lang w:val="en-US" w:eastAsia="zh-CN"/>
              </w:rPr>
              <w:t>（2）技术负责人相关业绩证明材料（担任类似项目的</w:t>
            </w:r>
            <w:r>
              <w:rPr>
                <w:rFonts w:hint="eastAsia" w:ascii="宋体" w:hAnsi="宋体" w:eastAsia="宋体" w:cs="宋体"/>
                <w:color w:val="auto"/>
                <w:highlight w:val="none"/>
                <w:lang w:val="en-US" w:eastAsia="zh-CN"/>
              </w:rPr>
              <w:t>项目经理或项目副经理或技术负责人或EPC项目的施工负责人</w:t>
            </w:r>
            <w:r>
              <w:rPr>
                <w:rFonts w:hint="eastAsia" w:ascii="宋体" w:hAnsi="宋体" w:eastAsia="宋体" w:cs="宋体"/>
                <w:b w:val="0"/>
                <w:bCs/>
                <w:color w:val="auto"/>
                <w:kern w:val="2"/>
                <w:sz w:val="21"/>
                <w:szCs w:val="21"/>
                <w:highlight w:val="none"/>
                <w:lang w:val="en-US" w:eastAsia="zh-CN"/>
              </w:rPr>
              <w:t xml:space="preserve">的中标通知书或合同协议书或质量证明文件）的扫描件，如上述资料中均未体现人员姓名、任职及业绩规模的，还须提供项目发包人或项目质量监督部门或项目所在地设区市行业主管部门出具的证明材料。 </w:t>
            </w:r>
          </w:p>
          <w:p>
            <w:pPr>
              <w:keepNext w:val="0"/>
              <w:keepLines w:val="0"/>
              <w:pageBreakBefore w:val="0"/>
              <w:widowControl/>
              <w:tabs>
                <w:tab w:val="left" w:pos="217"/>
              </w:tabs>
              <w:kinsoku/>
              <w:wordWrap/>
              <w:overflowPunct/>
              <w:topLinePunct w:val="0"/>
              <w:autoSpaceDE/>
              <w:autoSpaceDN/>
              <w:bidi w:val="0"/>
              <w:adjustRightInd w:val="0"/>
              <w:snapToGrid w:val="0"/>
              <w:spacing w:line="360" w:lineRule="exact"/>
              <w:ind w:left="0" w:right="0" w:firstLine="438" w:firstLineChars="209"/>
              <w:jc w:val="both"/>
              <w:textAlignment w:val="auto"/>
              <w:rPr>
                <w:rFonts w:hint="eastAsia" w:ascii="宋体" w:hAnsi="宋体" w:eastAsia="宋体" w:cs="宋体"/>
                <w:b/>
                <w:color w:val="auto"/>
                <w:kern w:val="2"/>
                <w:sz w:val="21"/>
                <w:szCs w:val="21"/>
                <w:highlight w:val="none"/>
              </w:rPr>
            </w:pPr>
            <w:r>
              <w:rPr>
                <w:rFonts w:hint="eastAsia" w:ascii="宋体" w:hAnsi="宋体" w:eastAsia="宋体" w:cs="宋体"/>
                <w:b w:val="0"/>
                <w:bCs/>
                <w:color w:val="auto"/>
                <w:kern w:val="2"/>
                <w:sz w:val="21"/>
                <w:szCs w:val="21"/>
                <w:highlight w:val="none"/>
                <w:lang w:val="en-US" w:eastAsia="zh-CN"/>
              </w:rPr>
              <w:t xml:space="preserve">（3）项目经理若曾在其他在建合同工程中担任项目经理但已进行更换的，应附项目发包人的同意更换证明材料，否则更换前后的项目经理均视为有“在建合同工程”。 </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375"/>
              <w:jc w:val="left"/>
              <w:textAlignment w:val="baseline"/>
              <w:rPr>
                <w:rFonts w:hint="eastAsia" w:ascii="宋体" w:hAnsi="宋体" w:eastAsia="宋体" w:cs="宋体"/>
                <w:color w:val="auto"/>
                <w:highlight w:val="none"/>
                <w:lang w:val="en-US" w:eastAsia="zh-CN"/>
              </w:rPr>
            </w:pPr>
            <w:r>
              <w:rPr>
                <w:rFonts w:hint="eastAsia" w:ascii="宋体" w:hAnsi="宋体" w:eastAsia="宋体" w:cs="宋体"/>
                <w:b/>
                <w:color w:val="auto"/>
                <w:kern w:val="2"/>
                <w:sz w:val="21"/>
                <w:szCs w:val="21"/>
                <w:highlight w:val="none"/>
              </w:rPr>
              <w:t>以上人员须提供开标前六个月投标申请人所属社保机构养老保险缴纳清单或证明。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1179"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3.5.6</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hanging="1" w:firstLineChars="0"/>
              <w:jc w:val="center"/>
              <w:rPr>
                <w:rFonts w:hint="eastAsia" w:ascii="宋体" w:hAnsi="宋体" w:eastAsia="宋体" w:cs="宋体"/>
                <w:color w:val="auto"/>
                <w:spacing w:val="14"/>
                <w:sz w:val="21"/>
                <w:szCs w:val="21"/>
                <w:highlight w:val="none"/>
              </w:rPr>
            </w:pPr>
            <w:r>
              <w:rPr>
                <w:rFonts w:hint="eastAsia" w:ascii="宋体" w:hAnsi="宋体" w:eastAsia="宋体" w:cs="宋体"/>
                <w:color w:val="auto"/>
                <w:spacing w:val="14"/>
                <w:sz w:val="21"/>
                <w:szCs w:val="21"/>
                <w:highlight w:val="none"/>
              </w:rPr>
              <w:t>拟</w:t>
            </w:r>
            <w:r>
              <w:rPr>
                <w:rFonts w:hint="eastAsia" w:ascii="宋体" w:hAnsi="宋体" w:eastAsia="宋体" w:cs="宋体"/>
                <w:color w:val="auto"/>
                <w:spacing w:val="11"/>
                <w:sz w:val="21"/>
                <w:szCs w:val="21"/>
                <w:highlight w:val="none"/>
              </w:rPr>
              <w:t>委任的其他管理和技术</w:t>
            </w:r>
            <w:r>
              <w:rPr>
                <w:rFonts w:hint="eastAsia" w:ascii="宋体" w:hAnsi="宋体" w:eastAsia="宋体" w:cs="宋体"/>
                <w:color w:val="auto"/>
                <w:spacing w:val="14"/>
                <w:sz w:val="21"/>
                <w:szCs w:val="21"/>
                <w:highlight w:val="none"/>
              </w:rPr>
              <w:t>人</w:t>
            </w:r>
            <w:r>
              <w:rPr>
                <w:rFonts w:hint="eastAsia" w:ascii="宋体" w:hAnsi="宋体" w:eastAsia="宋体" w:cs="宋体"/>
                <w:color w:val="auto"/>
                <w:spacing w:val="8"/>
                <w:sz w:val="21"/>
                <w:szCs w:val="21"/>
                <w:highlight w:val="none"/>
              </w:rPr>
              <w:t>员资历表应附资料</w:t>
            </w:r>
          </w:p>
        </w:tc>
        <w:tc>
          <w:tcPr>
            <w:tcW w:w="6138"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left"/>
              <w:textAlignment w:val="baseline"/>
              <w:rPr>
                <w:rFonts w:hint="default" w:ascii="宋体" w:hAnsi="宋体" w:eastAsia="宋体" w:cs="宋体"/>
                <w:color w:val="auto"/>
                <w:spacing w:val="17"/>
                <w:sz w:val="21"/>
                <w:szCs w:val="21"/>
                <w:highlight w:val="none"/>
                <w:lang w:val="en-US"/>
              </w:rPr>
            </w:pPr>
            <w:r>
              <w:rPr>
                <w:rFonts w:hint="eastAsia" w:ascii="宋体" w:hAnsi="宋体" w:eastAsia="宋体" w:cs="宋体"/>
                <w:color w:val="auto"/>
                <w:spacing w:val="10"/>
                <w:position w:val="5"/>
                <w:sz w:val="21"/>
                <w:szCs w:val="21"/>
                <w:highlight w:val="none"/>
                <w:u w:val="none"/>
                <w:lang w:val="en-US" w:eastAsia="zh-CN"/>
              </w:rPr>
              <w:t xml:space="preserve">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3.6.1</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firstLine="1" w:firstLineChars="0"/>
              <w:jc w:val="center"/>
              <w:rPr>
                <w:rFonts w:hint="eastAsia" w:ascii="宋体" w:hAnsi="宋体" w:eastAsia="宋体" w:cs="宋体"/>
                <w:color w:val="auto"/>
                <w:spacing w:val="14"/>
                <w:sz w:val="21"/>
                <w:szCs w:val="21"/>
                <w:highlight w:val="none"/>
              </w:rPr>
            </w:pPr>
            <w:r>
              <w:rPr>
                <w:rFonts w:hint="eastAsia" w:ascii="宋体" w:hAnsi="宋体" w:eastAsia="宋体" w:cs="宋体"/>
                <w:color w:val="auto"/>
                <w:spacing w:val="11"/>
                <w:sz w:val="21"/>
                <w:szCs w:val="21"/>
                <w:highlight w:val="none"/>
              </w:rPr>
              <w:t>是否允许递交备选投标方</w:t>
            </w:r>
            <w:r>
              <w:rPr>
                <w:rFonts w:hint="eastAsia" w:ascii="宋体" w:hAnsi="宋体" w:eastAsia="宋体" w:cs="宋体"/>
                <w:color w:val="auto"/>
                <w:sz w:val="21"/>
                <w:szCs w:val="21"/>
                <w:highlight w:val="none"/>
              </w:rPr>
              <w:t>案</w:t>
            </w:r>
          </w:p>
        </w:tc>
        <w:tc>
          <w:tcPr>
            <w:tcW w:w="6138" w:type="dxa"/>
            <w:vAlign w:val="center"/>
          </w:tcPr>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jc w:val="left"/>
              <w:textAlignment w:val="baseline"/>
              <w:rPr>
                <w:rFonts w:hint="eastAsia" w:ascii="宋体" w:hAnsi="宋体" w:eastAsia="宋体" w:cs="宋体"/>
                <w:color w:val="auto"/>
                <w:spacing w:val="17"/>
                <w:sz w:val="21"/>
                <w:szCs w:val="21"/>
                <w:highlight w:val="none"/>
              </w:rPr>
            </w:pPr>
            <w:r>
              <w:rPr>
                <w:rFonts w:hint="eastAsia" w:ascii="宋体" w:hAnsi="宋体" w:eastAsia="宋体" w:cs="宋体"/>
                <w:color w:val="auto"/>
                <w:spacing w:val="7"/>
                <w:sz w:val="21"/>
                <w:szCs w:val="21"/>
                <w:highlight w:val="none"/>
              </w:rPr>
              <w:t>不</w:t>
            </w:r>
            <w:r>
              <w:rPr>
                <w:rFonts w:hint="eastAsia" w:ascii="宋体" w:hAnsi="宋体" w:eastAsia="宋体" w:cs="宋体"/>
                <w:color w:val="auto"/>
                <w:spacing w:val="5"/>
                <w:sz w:val="21"/>
                <w:szCs w:val="21"/>
                <w:highlight w:val="none"/>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6" w:hRule="atLeast"/>
        </w:trPr>
        <w:tc>
          <w:tcPr>
            <w:tcW w:w="1179"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3.7.3</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pacing w:val="14"/>
                <w:sz w:val="21"/>
                <w:szCs w:val="21"/>
                <w:highlight w:val="none"/>
              </w:rPr>
            </w:pPr>
            <w:r>
              <w:rPr>
                <w:rFonts w:hint="eastAsia" w:ascii="宋体" w:hAnsi="宋体" w:eastAsia="宋体" w:cs="宋体"/>
                <w:color w:val="auto"/>
                <w:spacing w:val="14"/>
                <w:sz w:val="21"/>
                <w:szCs w:val="21"/>
                <w:highlight w:val="none"/>
              </w:rPr>
              <w:t>投</w:t>
            </w:r>
            <w:r>
              <w:rPr>
                <w:rFonts w:hint="eastAsia" w:ascii="宋体" w:hAnsi="宋体" w:eastAsia="宋体" w:cs="宋体"/>
                <w:color w:val="auto"/>
                <w:spacing w:val="8"/>
                <w:sz w:val="21"/>
                <w:szCs w:val="21"/>
                <w:highlight w:val="none"/>
              </w:rPr>
              <w:t>标文件的制作要求</w:t>
            </w:r>
          </w:p>
        </w:tc>
        <w:tc>
          <w:tcPr>
            <w:tcW w:w="6138" w:type="dxa"/>
            <w:vAlign w:val="top"/>
          </w:tcPr>
          <w:p>
            <w:pPr>
              <w:keepNext w:val="0"/>
              <w:keepLines w:val="0"/>
              <w:pageBreakBefore w:val="0"/>
              <w:widowControl w:val="0"/>
              <w:numPr>
                <w:ilvl w:val="0"/>
                <w:numId w:val="3"/>
              </w:numPr>
              <w:kinsoku w:val="0"/>
              <w:wordWrap/>
              <w:overflowPunct/>
              <w:topLinePunct w:val="0"/>
              <w:autoSpaceDE w:val="0"/>
              <w:autoSpaceDN w:val="0"/>
              <w:bidi w:val="0"/>
              <w:adjustRightInd w:val="0"/>
              <w:snapToGrid w:val="0"/>
              <w:spacing w:line="360" w:lineRule="exact"/>
              <w:ind w:left="0" w:right="0"/>
              <w:jc w:val="left"/>
              <w:textAlignment w:val="baseline"/>
              <w:rPr>
                <w:rFonts w:hint="eastAsia"/>
                <w:color w:val="auto"/>
                <w:highlight w:val="none"/>
              </w:rPr>
            </w:pPr>
            <w:r>
              <w:rPr>
                <w:rFonts w:hint="eastAsia"/>
                <w:color w:val="auto"/>
                <w:highlight w:val="none"/>
              </w:rPr>
              <w:t>采用电子投标的项目，投标人递交的电子投标文件即为投标文件正本，不再要求投标人在投标时提交副本和纸质投标文件。</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exact"/>
              <w:ind w:right="0" w:rightChars="0"/>
              <w:jc w:val="left"/>
              <w:textAlignment w:val="baseline"/>
              <w:rPr>
                <w:rFonts w:hint="eastAsia"/>
                <w:color w:val="auto"/>
                <w:highlight w:val="none"/>
              </w:rPr>
            </w:pPr>
            <w:r>
              <w:rPr>
                <w:rFonts w:hint="eastAsia"/>
                <w:color w:val="auto"/>
                <w:highlight w:val="none"/>
              </w:rPr>
              <w:t>2、投标人应通过“浙江省投标文件制作工具（嵊州版） ”根据电子招标文件的要求规范制作投标文件；</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jc w:val="left"/>
              <w:textAlignment w:val="baseline"/>
              <w:rPr>
                <w:rFonts w:hint="eastAsia"/>
                <w:color w:val="auto"/>
                <w:highlight w:val="none"/>
              </w:rPr>
            </w:pPr>
            <w:r>
              <w:rPr>
                <w:rFonts w:hint="eastAsia"/>
                <w:color w:val="auto"/>
                <w:highlight w:val="none"/>
              </w:rPr>
              <w:t>3、投标文件中的已标价工程量清单数据文件应与招标人提供的工程量清单数据文件格式一致。</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jc w:val="left"/>
              <w:textAlignment w:val="baseline"/>
              <w:rPr>
                <w:rFonts w:hint="eastAsia"/>
                <w:color w:val="auto"/>
                <w:highlight w:val="none"/>
              </w:rPr>
            </w:pPr>
            <w:r>
              <w:rPr>
                <w:rFonts w:hint="eastAsia"/>
                <w:color w:val="auto"/>
                <w:highlight w:val="none"/>
              </w:rPr>
              <w:t>4、第九章“投标文件格式”中要求盖单位章（或盖单位电子公章）和（或）签字（或盖法定代表人电子章）的地方，投标人均应使用 CA 数字证书加盖投标人的单位电子印章和（或）法定代表人的个人电子印章或电子签名章。联合体投标的，投标文件由联合体牵头人按上述规定加盖联合体牵头人单位电子印章和（或）法定代表人的个人电子印章或电子签名章。</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jc w:val="left"/>
              <w:textAlignment w:val="baseline"/>
              <w:rPr>
                <w:rFonts w:hint="eastAsia"/>
                <w:color w:val="auto"/>
                <w:highlight w:val="none"/>
              </w:rPr>
            </w:pPr>
            <w:r>
              <w:rPr>
                <w:rFonts w:hint="eastAsia" w:eastAsia="宋体"/>
                <w:color w:val="auto"/>
                <w:highlight w:val="none"/>
                <w:lang w:val="en-US" w:eastAsia="zh-CN"/>
              </w:rPr>
              <w:t>5、</w:t>
            </w:r>
            <w:r>
              <w:rPr>
                <w:rFonts w:hint="eastAsia"/>
                <w:color w:val="auto"/>
                <w:highlight w:val="none"/>
              </w:rPr>
              <w:t>投标文件制作完成后，投标人应使用 CA 数字证书对投标文件进行文件加密，形成加密的投标文件。</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jc w:val="left"/>
              <w:textAlignment w:val="baseline"/>
              <w:rPr>
                <w:rFonts w:hint="eastAsia"/>
                <w:color w:val="auto"/>
                <w:highlight w:val="none"/>
              </w:rPr>
            </w:pPr>
            <w:r>
              <w:rPr>
                <w:rFonts w:hint="eastAsia" w:eastAsia="宋体"/>
                <w:color w:val="auto"/>
                <w:highlight w:val="none"/>
                <w:lang w:val="en-US" w:eastAsia="zh-CN"/>
              </w:rPr>
              <w:t>6</w:t>
            </w:r>
            <w:r>
              <w:rPr>
                <w:rFonts w:hint="eastAsia"/>
                <w:color w:val="auto"/>
                <w:highlight w:val="none"/>
              </w:rPr>
              <w:t>、本项目采用不见面开标系统开标，投标人须在本企业电脑上自行解密，如遇到因系统及其网络、设备故障造成无法正常开评标的，应排除相应故障后继续评标。对因故障重大，排除故障的时间较长或者难以准确预计的，应封存投标资料，另行确定继续评标的时间或者改为人工评标。</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jc w:val="left"/>
              <w:textAlignment w:val="baseline"/>
              <w:rPr>
                <w:rFonts w:hint="eastAsia"/>
                <w:color w:val="auto"/>
                <w:highlight w:val="none"/>
              </w:rPr>
            </w:pPr>
            <w:r>
              <w:rPr>
                <w:rFonts w:hint="eastAsia"/>
                <w:color w:val="auto"/>
                <w:highlight w:val="none"/>
                <w:lang w:val="en-US" w:eastAsia="zh-CN"/>
              </w:rPr>
              <w:t>7</w:t>
            </w:r>
            <w:r>
              <w:rPr>
                <w:rFonts w:hint="eastAsia"/>
                <w:color w:val="auto"/>
                <w:highlight w:val="none"/>
              </w:rPr>
              <w:t>、中标单位须在签订合同前提供纸质投标文件一正三副；</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jc w:val="left"/>
              <w:textAlignment w:val="baseline"/>
              <w:rPr>
                <w:rFonts w:hint="eastAsia" w:ascii="宋体" w:hAnsi="宋体" w:eastAsia="宋体" w:cs="宋体"/>
                <w:color w:val="auto"/>
                <w:spacing w:val="13"/>
                <w:sz w:val="21"/>
                <w:szCs w:val="21"/>
                <w:highlight w:val="none"/>
              </w:rPr>
            </w:pPr>
            <w:r>
              <w:rPr>
                <w:rFonts w:hint="eastAsia"/>
                <w:color w:val="auto"/>
                <w:highlight w:val="none"/>
              </w:rPr>
              <w:t>备注：各投标人在电子招投标过程中碰到各类技术问题请咨询</w:t>
            </w:r>
            <w:r>
              <w:rPr>
                <w:rFonts w:hint="default"/>
                <w:color w:val="auto"/>
                <w:highlight w:val="none"/>
              </w:rPr>
              <w:t>:QQ</w:t>
            </w:r>
            <w:r>
              <w:rPr>
                <w:rFonts w:hint="eastAsia"/>
                <w:color w:val="auto"/>
                <w:highlight w:val="none"/>
              </w:rPr>
              <w:t>技术支持群：</w:t>
            </w:r>
            <w:r>
              <w:rPr>
                <w:rFonts w:hint="default"/>
                <w:color w:val="auto"/>
                <w:highlight w:val="none"/>
              </w:rPr>
              <w:t>306060147</w:t>
            </w:r>
            <w:r>
              <w:rPr>
                <w:rFonts w:hint="eastAsia"/>
                <w:color w:val="auto"/>
                <w:highlight w:val="none"/>
              </w:rPr>
              <w:t>、823929228。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trPr>
        <w:tc>
          <w:tcPr>
            <w:tcW w:w="1179"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pacing w:val="3"/>
                <w:sz w:val="21"/>
                <w:szCs w:val="21"/>
                <w:highlight w:val="none"/>
              </w:rPr>
            </w:pPr>
            <w:r>
              <w:rPr>
                <w:rFonts w:hint="eastAsia" w:ascii="宋体" w:hAnsi="宋体" w:eastAsia="宋体" w:cs="宋体"/>
                <w:color w:val="auto"/>
                <w:spacing w:val="4"/>
                <w:sz w:val="21"/>
                <w:szCs w:val="21"/>
                <w:highlight w:val="none"/>
              </w:rPr>
              <w:t>4.2.2</w:t>
            </w:r>
          </w:p>
        </w:tc>
        <w:tc>
          <w:tcPr>
            <w:tcW w:w="2205" w:type="dxa"/>
            <w:vAlign w:val="center"/>
          </w:tcPr>
          <w:p>
            <w:pPr>
              <w:keepNext w:val="0"/>
              <w:keepLines w:val="0"/>
              <w:pageBreakBefore w:val="0"/>
              <w:widowControl w:val="0"/>
              <w:wordWrap/>
              <w:overflowPunct/>
              <w:topLinePunct w:val="0"/>
              <w:bidi w:val="0"/>
              <w:spacing w:line="360" w:lineRule="exact"/>
              <w:ind w:left="0" w:right="0"/>
              <w:jc w:val="center"/>
              <w:rPr>
                <w:rFonts w:hint="eastAsia" w:ascii="宋体" w:hAnsi="宋体" w:eastAsia="宋体" w:cs="宋体"/>
                <w:color w:val="auto"/>
                <w:spacing w:val="14"/>
                <w:sz w:val="21"/>
                <w:szCs w:val="21"/>
                <w:highlight w:val="none"/>
              </w:rPr>
            </w:pPr>
            <w:r>
              <w:rPr>
                <w:rFonts w:hint="eastAsia" w:ascii="宋体" w:hAnsi="宋体" w:eastAsia="宋体" w:cs="宋体"/>
                <w:color w:val="auto"/>
                <w:spacing w:val="7"/>
                <w:sz w:val="21"/>
                <w:szCs w:val="21"/>
                <w:highlight w:val="none"/>
              </w:rPr>
              <w:t>递交投标</w:t>
            </w:r>
            <w:r>
              <w:rPr>
                <w:rFonts w:hint="eastAsia" w:ascii="宋体" w:hAnsi="宋体" w:eastAsia="宋体" w:cs="宋体"/>
                <w:color w:val="auto"/>
                <w:spacing w:val="10"/>
                <w:sz w:val="21"/>
                <w:szCs w:val="21"/>
                <w:highlight w:val="none"/>
              </w:rPr>
              <w:t>文</w:t>
            </w:r>
            <w:r>
              <w:rPr>
                <w:rFonts w:hint="eastAsia" w:ascii="宋体" w:hAnsi="宋体" w:eastAsia="宋体" w:cs="宋体"/>
                <w:color w:val="auto"/>
                <w:spacing w:val="8"/>
                <w:sz w:val="21"/>
                <w:szCs w:val="21"/>
                <w:highlight w:val="none"/>
              </w:rPr>
              <w:t>件方式和地点</w:t>
            </w:r>
          </w:p>
        </w:tc>
        <w:tc>
          <w:tcPr>
            <w:tcW w:w="6138" w:type="dxa"/>
            <w:vAlign w:val="center"/>
          </w:tcPr>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jc w:val="left"/>
              <w:textAlignment w:val="baseline"/>
              <w:rPr>
                <w:rFonts w:hint="eastAsia" w:ascii="宋体" w:hAnsi="宋体" w:eastAsia="宋体" w:cs="宋体"/>
                <w:color w:val="auto"/>
                <w:spacing w:val="17"/>
                <w:sz w:val="21"/>
                <w:szCs w:val="21"/>
                <w:highlight w:val="none"/>
              </w:rPr>
            </w:pPr>
            <w:r>
              <w:rPr>
                <w:rFonts w:hint="eastAsia"/>
                <w:color w:val="auto"/>
                <w:highlight w:val="none"/>
              </w:rPr>
              <w:t>投标人应将由投标文件制作工具制作生成的加密投标文件在投标截止时间前（以上传完成时间为准）上传至“电子交易平台”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pacing w:val="3"/>
                <w:sz w:val="21"/>
                <w:szCs w:val="21"/>
                <w:highlight w:val="none"/>
              </w:rPr>
            </w:pPr>
            <w:r>
              <w:rPr>
                <w:rFonts w:hint="eastAsia" w:ascii="宋体" w:hAnsi="宋体" w:eastAsia="宋体" w:cs="宋体"/>
                <w:color w:val="auto"/>
                <w:spacing w:val="4"/>
                <w:sz w:val="21"/>
                <w:szCs w:val="21"/>
                <w:highlight w:val="none"/>
              </w:rPr>
              <w:t>4.2.3</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pacing w:val="14"/>
                <w:sz w:val="21"/>
                <w:szCs w:val="21"/>
                <w:highlight w:val="none"/>
              </w:rPr>
            </w:pPr>
            <w:r>
              <w:rPr>
                <w:rFonts w:hint="eastAsia" w:ascii="宋体" w:hAnsi="宋体" w:eastAsia="宋体" w:cs="宋体"/>
                <w:color w:val="auto"/>
                <w:spacing w:val="10"/>
                <w:sz w:val="21"/>
                <w:szCs w:val="21"/>
                <w:highlight w:val="none"/>
              </w:rPr>
              <w:t>是</w:t>
            </w:r>
            <w:r>
              <w:rPr>
                <w:rFonts w:hint="eastAsia" w:ascii="宋体" w:hAnsi="宋体" w:eastAsia="宋体" w:cs="宋体"/>
                <w:color w:val="auto"/>
                <w:spacing w:val="8"/>
                <w:sz w:val="21"/>
                <w:szCs w:val="21"/>
                <w:highlight w:val="none"/>
              </w:rPr>
              <w:t>否退还投标文件</w:t>
            </w:r>
          </w:p>
        </w:tc>
        <w:tc>
          <w:tcPr>
            <w:tcW w:w="6138" w:type="dxa"/>
            <w:vAlign w:val="center"/>
          </w:tcPr>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jc w:val="both"/>
              <w:textAlignment w:val="baseline"/>
              <w:rPr>
                <w:rFonts w:hint="eastAsia" w:ascii="宋体" w:hAnsi="宋体" w:eastAsia="宋体" w:cs="宋体"/>
                <w:color w:val="auto"/>
                <w:spacing w:val="17"/>
                <w:sz w:val="21"/>
                <w:szCs w:val="21"/>
                <w:highlight w:val="none"/>
              </w:rPr>
            </w:pPr>
            <w:r>
              <w:rPr>
                <w:rFonts w:hint="eastAsia" w:ascii="宋体" w:hAnsi="宋体" w:eastAsia="宋体" w:cs="宋体"/>
                <w:color w:val="auto"/>
                <w:sz w:val="21"/>
                <w:szCs w:val="21"/>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1179"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4.2.4</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both"/>
              <w:rPr>
                <w:rFonts w:hint="eastAsia" w:ascii="宋体" w:hAnsi="宋体" w:eastAsia="宋体" w:cs="宋体"/>
                <w:color w:val="auto"/>
                <w:spacing w:val="10"/>
                <w:sz w:val="21"/>
                <w:szCs w:val="21"/>
                <w:highlight w:val="none"/>
              </w:rPr>
            </w:pPr>
            <w:r>
              <w:rPr>
                <w:rFonts w:hint="eastAsia" w:ascii="宋体" w:hAnsi="宋体" w:eastAsia="宋体" w:cs="宋体"/>
                <w:color w:val="auto"/>
                <w:spacing w:val="9"/>
                <w:sz w:val="21"/>
                <w:szCs w:val="21"/>
                <w:highlight w:val="none"/>
              </w:rPr>
              <w:t>投标文件不予受理的情</w:t>
            </w:r>
            <w:r>
              <w:rPr>
                <w:rFonts w:hint="eastAsia" w:ascii="宋体" w:hAnsi="宋体" w:eastAsia="宋体" w:cs="宋体"/>
                <w:color w:val="auto"/>
                <w:spacing w:val="8"/>
                <w:sz w:val="21"/>
                <w:szCs w:val="21"/>
                <w:highlight w:val="none"/>
              </w:rPr>
              <w:t>形</w:t>
            </w:r>
          </w:p>
        </w:tc>
        <w:tc>
          <w:tcPr>
            <w:tcW w:w="6138" w:type="dxa"/>
            <w:vAlign w:val="top"/>
          </w:tcPr>
          <w:p>
            <w:pPr>
              <w:keepNext w:val="0"/>
              <w:keepLines w:val="0"/>
              <w:pageBreakBefore w:val="0"/>
              <w:widowControl w:val="0"/>
              <w:numPr>
                <w:ilvl w:val="0"/>
                <w:numId w:val="4"/>
              </w:numPr>
              <w:kinsoku w:val="0"/>
              <w:wordWrap/>
              <w:overflowPunct/>
              <w:topLinePunct w:val="0"/>
              <w:autoSpaceDE w:val="0"/>
              <w:autoSpaceDN w:val="0"/>
              <w:bidi w:val="0"/>
              <w:adjustRightInd w:val="0"/>
              <w:snapToGrid w:val="0"/>
              <w:spacing w:line="360" w:lineRule="exact"/>
              <w:ind w:left="0" w:leftChars="0" w:right="0"/>
              <w:jc w:val="left"/>
              <w:textAlignment w:val="baseline"/>
              <w:rPr>
                <w:rFonts w:hint="eastAsia" w:ascii="宋体" w:hAnsi="宋体" w:eastAsia="宋体" w:cs="宋体"/>
                <w:color w:val="auto"/>
                <w:spacing w:val="14"/>
                <w:sz w:val="21"/>
                <w:szCs w:val="21"/>
                <w:highlight w:val="none"/>
              </w:rPr>
            </w:pPr>
            <w:r>
              <w:rPr>
                <w:rFonts w:hint="eastAsia" w:ascii="宋体" w:hAnsi="宋体" w:eastAsia="宋体" w:cs="宋体"/>
                <w:color w:val="auto"/>
                <w:spacing w:val="14"/>
                <w:sz w:val="21"/>
                <w:szCs w:val="21"/>
                <w:highlight w:val="none"/>
              </w:rPr>
              <w:t>电子投标文件未在投标截止时间前完成上传的；</w:t>
            </w:r>
          </w:p>
          <w:p>
            <w:pPr>
              <w:keepNext w:val="0"/>
              <w:keepLines w:val="0"/>
              <w:pageBreakBefore w:val="0"/>
              <w:widowControl w:val="0"/>
              <w:numPr>
                <w:ilvl w:val="0"/>
                <w:numId w:val="4"/>
              </w:numPr>
              <w:kinsoku w:val="0"/>
              <w:wordWrap/>
              <w:overflowPunct/>
              <w:topLinePunct w:val="0"/>
              <w:autoSpaceDE w:val="0"/>
              <w:autoSpaceDN w:val="0"/>
              <w:bidi w:val="0"/>
              <w:adjustRightInd w:val="0"/>
              <w:snapToGrid w:val="0"/>
              <w:spacing w:line="360" w:lineRule="exact"/>
              <w:ind w:left="0" w:leftChars="0" w:right="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4"/>
                <w:sz w:val="21"/>
                <w:szCs w:val="21"/>
                <w:highlight w:val="none"/>
              </w:rPr>
              <w:t>保证金未及时到账的（投标人的投标保证金必须从其诚信库中备案的基本账户转出）</w:t>
            </w:r>
            <w:r>
              <w:rPr>
                <w:rFonts w:hint="eastAsia" w:ascii="宋体" w:hAnsi="宋体" w:eastAsia="宋体" w:cs="宋体"/>
                <w:color w:val="auto"/>
                <w:spacing w:val="14"/>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0" w:hRule="atLeast"/>
        </w:trPr>
        <w:tc>
          <w:tcPr>
            <w:tcW w:w="1179" w:type="dxa"/>
            <w:vAlign w:val="center"/>
          </w:tcPr>
          <w:p>
            <w:pPr>
              <w:keepNext w:val="0"/>
              <w:keepLines w:val="0"/>
              <w:pageBreakBefore w:val="0"/>
              <w:widowControl w:val="0"/>
              <w:wordWrap/>
              <w:overflowPunct/>
              <w:topLinePunct w:val="0"/>
              <w:bidi w:val="0"/>
              <w:spacing w:line="360" w:lineRule="exact"/>
              <w:ind w:left="0" w:right="0"/>
              <w:jc w:val="center"/>
              <w:rPr>
                <w:rFonts w:hint="eastAsia" w:ascii="宋体" w:hAnsi="宋体" w:eastAsia="宋体" w:cs="宋体"/>
                <w:color w:val="auto"/>
                <w:sz w:val="21"/>
                <w:szCs w:val="21"/>
                <w:highlight w:val="none"/>
              </w:rPr>
            </w:pPr>
          </w:p>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1"/>
                <w:sz w:val="21"/>
                <w:szCs w:val="21"/>
                <w:highlight w:val="none"/>
              </w:rPr>
              <w:t>5.</w:t>
            </w:r>
            <w:r>
              <w:rPr>
                <w:rFonts w:hint="eastAsia" w:ascii="宋体" w:hAnsi="宋体" w:eastAsia="宋体" w:cs="宋体"/>
                <w:color w:val="auto"/>
                <w:sz w:val="21"/>
                <w:szCs w:val="21"/>
                <w:highlight w:val="none"/>
              </w:rPr>
              <w:t>1</w:t>
            </w:r>
          </w:p>
        </w:tc>
        <w:tc>
          <w:tcPr>
            <w:tcW w:w="2205" w:type="dxa"/>
            <w:vAlign w:val="center"/>
          </w:tcPr>
          <w:p>
            <w:pPr>
              <w:keepNext w:val="0"/>
              <w:keepLines w:val="0"/>
              <w:pageBreakBefore w:val="0"/>
              <w:widowControl w:val="0"/>
              <w:wordWrap/>
              <w:overflowPunct/>
              <w:topLinePunct w:val="0"/>
              <w:bidi w:val="0"/>
              <w:spacing w:line="360" w:lineRule="exact"/>
              <w:ind w:left="0" w:right="0"/>
              <w:jc w:val="center"/>
              <w:rPr>
                <w:rFonts w:hint="eastAsia" w:ascii="宋体" w:hAnsi="宋体" w:eastAsia="宋体" w:cs="宋体"/>
                <w:color w:val="auto"/>
                <w:sz w:val="21"/>
                <w:szCs w:val="21"/>
                <w:highlight w:val="none"/>
              </w:rPr>
            </w:pPr>
          </w:p>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pacing w:val="10"/>
                <w:sz w:val="21"/>
                <w:szCs w:val="21"/>
                <w:highlight w:val="none"/>
              </w:rPr>
            </w:pPr>
            <w:r>
              <w:rPr>
                <w:rFonts w:hint="eastAsia" w:ascii="宋体" w:hAnsi="宋体" w:eastAsia="宋体" w:cs="宋体"/>
                <w:color w:val="auto"/>
                <w:spacing w:val="11"/>
                <w:sz w:val="21"/>
                <w:szCs w:val="21"/>
                <w:highlight w:val="none"/>
              </w:rPr>
              <w:t>开</w:t>
            </w:r>
            <w:r>
              <w:rPr>
                <w:rFonts w:hint="eastAsia" w:ascii="宋体" w:hAnsi="宋体" w:eastAsia="宋体" w:cs="宋体"/>
                <w:color w:val="auto"/>
                <w:spacing w:val="8"/>
                <w:sz w:val="21"/>
                <w:szCs w:val="21"/>
                <w:highlight w:val="none"/>
              </w:rPr>
              <w:t>标时间和地点</w:t>
            </w:r>
          </w:p>
        </w:tc>
        <w:tc>
          <w:tcPr>
            <w:tcW w:w="6138" w:type="dxa"/>
            <w:vAlign w:val="top"/>
          </w:tcPr>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jc w:val="left"/>
              <w:textAlignment w:val="baseline"/>
              <w:rPr>
                <w:rFonts w:hint="eastAsia" w:ascii="宋体" w:hAnsi="宋体" w:eastAsia="宋体" w:cs="宋体"/>
                <w:color w:val="auto"/>
                <w:spacing w:val="13"/>
                <w:sz w:val="21"/>
                <w:szCs w:val="21"/>
                <w:highlight w:val="none"/>
              </w:rPr>
            </w:pPr>
            <w:r>
              <w:rPr>
                <w:rFonts w:hint="eastAsia" w:ascii="宋体" w:hAnsi="宋体" w:eastAsia="宋体" w:cs="宋体"/>
                <w:color w:val="auto"/>
                <w:spacing w:val="13"/>
                <w:sz w:val="21"/>
                <w:szCs w:val="21"/>
                <w:highlight w:val="none"/>
              </w:rPr>
              <w:t>采用双信封形式投标文件的开标</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jc w:val="left"/>
              <w:textAlignment w:val="baseline"/>
              <w:rPr>
                <w:rFonts w:hint="eastAsia" w:ascii="宋体" w:hAnsi="宋体" w:eastAsia="宋体" w:cs="宋体"/>
                <w:color w:val="auto"/>
                <w:spacing w:val="13"/>
                <w:sz w:val="21"/>
                <w:szCs w:val="21"/>
                <w:highlight w:val="none"/>
                <w:lang w:eastAsia="zh-CN"/>
              </w:rPr>
            </w:pPr>
            <w:r>
              <w:rPr>
                <w:rFonts w:hint="eastAsia" w:ascii="宋体" w:hAnsi="宋体" w:eastAsia="宋体" w:cs="宋体"/>
                <w:color w:val="auto"/>
                <w:spacing w:val="13"/>
                <w:sz w:val="21"/>
                <w:szCs w:val="21"/>
                <w:highlight w:val="none"/>
                <w:lang w:val="en-US" w:eastAsia="zh-CN"/>
              </w:rPr>
              <w:t>投标文件</w:t>
            </w:r>
            <w:r>
              <w:rPr>
                <w:rFonts w:hint="eastAsia" w:ascii="宋体" w:hAnsi="宋体" w:eastAsia="宋体" w:cs="宋体"/>
                <w:color w:val="auto"/>
                <w:spacing w:val="13"/>
                <w:sz w:val="21"/>
                <w:szCs w:val="21"/>
                <w:highlight w:val="none"/>
              </w:rPr>
              <w:t>第一个信封（商务及技术文件）开标</w:t>
            </w:r>
            <w:r>
              <w:rPr>
                <w:rFonts w:hint="eastAsia" w:ascii="宋体" w:hAnsi="宋体" w:eastAsia="宋体" w:cs="宋体"/>
                <w:color w:val="auto"/>
                <w:spacing w:val="13"/>
                <w:sz w:val="21"/>
                <w:szCs w:val="21"/>
                <w:highlight w:val="none"/>
                <w:lang w:val="en-US" w:eastAsia="zh-CN"/>
              </w:rPr>
              <w:t>时间：</w:t>
            </w:r>
            <w:r>
              <w:rPr>
                <w:rFonts w:hint="eastAsia" w:ascii="宋体" w:hAnsi="宋体" w:eastAsia="宋体" w:cs="宋体"/>
                <w:color w:val="auto"/>
                <w:spacing w:val="13"/>
                <w:sz w:val="21"/>
                <w:szCs w:val="21"/>
                <w:highlight w:val="none"/>
              </w:rPr>
              <w:t>同投标截止时间</w:t>
            </w:r>
            <w:r>
              <w:rPr>
                <w:rFonts w:hint="eastAsia" w:ascii="宋体" w:hAnsi="宋体" w:eastAsia="宋体" w:cs="宋体"/>
                <w:color w:val="auto"/>
                <w:spacing w:val="13"/>
                <w:sz w:val="21"/>
                <w:szCs w:val="21"/>
                <w:highlight w:val="none"/>
                <w:lang w:eastAsia="zh-CN"/>
              </w:rPr>
              <w:t>；</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jc w:val="left"/>
              <w:textAlignment w:val="baseline"/>
              <w:rPr>
                <w:rFonts w:hint="eastAsia" w:ascii="宋体" w:hAnsi="宋体" w:eastAsia="宋体" w:cs="宋体"/>
                <w:color w:val="auto"/>
                <w:spacing w:val="13"/>
                <w:sz w:val="21"/>
                <w:szCs w:val="21"/>
                <w:highlight w:val="none"/>
              </w:rPr>
            </w:pPr>
            <w:r>
              <w:rPr>
                <w:rFonts w:hint="eastAsia" w:ascii="宋体" w:hAnsi="宋体" w:eastAsia="宋体" w:cs="宋体"/>
                <w:color w:val="auto"/>
                <w:spacing w:val="13"/>
                <w:sz w:val="21"/>
                <w:szCs w:val="21"/>
                <w:highlight w:val="none"/>
              </w:rPr>
              <w:t>投标文件第一个信封（商务及技术文件）开标地点：同递交</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jc w:val="left"/>
              <w:textAlignment w:val="baseline"/>
              <w:rPr>
                <w:rFonts w:hint="eastAsia" w:ascii="宋体" w:hAnsi="宋体" w:eastAsia="宋体" w:cs="宋体"/>
                <w:color w:val="auto"/>
                <w:spacing w:val="13"/>
                <w:sz w:val="21"/>
                <w:szCs w:val="21"/>
                <w:highlight w:val="none"/>
                <w:lang w:eastAsia="zh-CN"/>
              </w:rPr>
            </w:pPr>
            <w:r>
              <w:rPr>
                <w:rFonts w:hint="eastAsia" w:ascii="宋体" w:hAnsi="宋体" w:eastAsia="宋体" w:cs="宋体"/>
                <w:color w:val="auto"/>
                <w:spacing w:val="13"/>
                <w:sz w:val="21"/>
                <w:szCs w:val="21"/>
                <w:highlight w:val="none"/>
              </w:rPr>
              <w:t>投标文件地点</w:t>
            </w:r>
            <w:r>
              <w:rPr>
                <w:rFonts w:hint="eastAsia" w:ascii="宋体" w:hAnsi="宋体" w:eastAsia="宋体" w:cs="宋体"/>
                <w:color w:val="auto"/>
                <w:spacing w:val="13"/>
                <w:sz w:val="21"/>
                <w:szCs w:val="21"/>
                <w:highlight w:val="none"/>
                <w:lang w:eastAsia="zh-CN"/>
              </w:rPr>
              <w:t>；</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jc w:val="left"/>
              <w:textAlignment w:val="baseline"/>
              <w:rPr>
                <w:rFonts w:hint="eastAsia" w:ascii="宋体" w:hAnsi="宋体" w:eastAsia="宋体" w:cs="宋体"/>
                <w:color w:val="auto"/>
                <w:spacing w:val="13"/>
                <w:sz w:val="21"/>
                <w:szCs w:val="21"/>
                <w:highlight w:val="none"/>
                <w:lang w:eastAsia="zh-CN"/>
              </w:rPr>
            </w:pPr>
            <w:r>
              <w:rPr>
                <w:rFonts w:hint="eastAsia" w:ascii="宋体" w:hAnsi="宋体" w:eastAsia="宋体" w:cs="宋体"/>
                <w:color w:val="auto"/>
                <w:spacing w:val="13"/>
                <w:sz w:val="21"/>
                <w:szCs w:val="21"/>
                <w:highlight w:val="none"/>
              </w:rPr>
              <w:t>投标文件第二个信封（报价文件）开标时间：投标文件第一个信封开标时通知</w:t>
            </w:r>
            <w:r>
              <w:rPr>
                <w:rFonts w:hint="eastAsia" w:ascii="宋体" w:hAnsi="宋体" w:eastAsia="宋体" w:cs="宋体"/>
                <w:color w:val="auto"/>
                <w:spacing w:val="13"/>
                <w:sz w:val="21"/>
                <w:szCs w:val="21"/>
                <w:highlight w:val="none"/>
                <w:lang w:eastAsia="zh-CN"/>
              </w:rPr>
              <w:t>；</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jc w:val="left"/>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3"/>
                <w:sz w:val="21"/>
                <w:szCs w:val="21"/>
                <w:highlight w:val="none"/>
              </w:rPr>
              <w:t>投标文件第二个信封（报价文件）开标地点：同递交投标文件地点</w:t>
            </w:r>
            <w:r>
              <w:rPr>
                <w:rFonts w:hint="eastAsia" w:ascii="宋体" w:hAnsi="宋体" w:eastAsia="宋体" w:cs="宋体"/>
                <w:color w:val="auto"/>
                <w:spacing w:val="13"/>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z w:val="21"/>
                <w:szCs w:val="21"/>
                <w:highlight w:val="none"/>
                <w:lang w:val="en-US" w:eastAsia="zh-CN"/>
              </w:rPr>
              <w:t>5.2</w:t>
            </w:r>
          </w:p>
        </w:tc>
        <w:tc>
          <w:tcPr>
            <w:tcW w:w="2205" w:type="dxa"/>
            <w:vAlign w:val="center"/>
          </w:tcPr>
          <w:p>
            <w:pPr>
              <w:keepNext w:val="0"/>
              <w:keepLines w:val="0"/>
              <w:pageBreakBefore w:val="0"/>
              <w:widowControl w:val="0"/>
              <w:wordWrap/>
              <w:overflowPunct/>
              <w:topLinePunct w:val="0"/>
              <w:bidi w:val="0"/>
              <w:spacing w:line="360" w:lineRule="exact"/>
              <w:ind w:left="0" w:right="0"/>
              <w:jc w:val="center"/>
              <w:rPr>
                <w:rFonts w:hint="eastAsia" w:ascii="宋体" w:hAnsi="宋体" w:eastAsia="宋体" w:cs="宋体"/>
                <w:color w:val="auto"/>
                <w:sz w:val="21"/>
                <w:szCs w:val="21"/>
                <w:highlight w:val="none"/>
              </w:rPr>
            </w:pPr>
          </w:p>
          <w:p>
            <w:pPr>
              <w:keepNext w:val="0"/>
              <w:keepLines w:val="0"/>
              <w:pageBreakBefore w:val="0"/>
              <w:widowControl w:val="0"/>
              <w:wordWrap/>
              <w:overflowPunct/>
              <w:topLinePunct w:val="0"/>
              <w:bidi w:val="0"/>
              <w:spacing w:line="360" w:lineRule="exact"/>
              <w:ind w:left="0" w:right="0"/>
              <w:jc w:val="center"/>
              <w:rPr>
                <w:rFonts w:hint="eastAsia" w:ascii="宋体" w:hAnsi="宋体" w:eastAsia="宋体" w:cs="宋体"/>
                <w:color w:val="auto"/>
                <w:sz w:val="21"/>
                <w:szCs w:val="21"/>
                <w:highlight w:val="none"/>
              </w:rPr>
            </w:pPr>
          </w:p>
          <w:p>
            <w:pPr>
              <w:keepNext w:val="0"/>
              <w:keepLines w:val="0"/>
              <w:pageBreakBefore w:val="0"/>
              <w:widowControl w:val="0"/>
              <w:wordWrap/>
              <w:overflowPunct/>
              <w:topLinePunct w:val="0"/>
              <w:bidi w:val="0"/>
              <w:spacing w:line="36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开标程序</w:t>
            </w:r>
          </w:p>
          <w:p>
            <w:pPr>
              <w:keepNext w:val="0"/>
              <w:keepLines w:val="0"/>
              <w:pageBreakBefore w:val="0"/>
              <w:widowControl w:val="0"/>
              <w:wordWrap/>
              <w:overflowPunct/>
              <w:topLinePunct w:val="0"/>
              <w:bidi w:val="0"/>
              <w:spacing w:line="36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（双信封）</w:t>
            </w:r>
          </w:p>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pacing w:val="10"/>
                <w:sz w:val="21"/>
                <w:szCs w:val="21"/>
                <w:highlight w:val="none"/>
              </w:rPr>
            </w:pPr>
          </w:p>
        </w:tc>
        <w:tc>
          <w:tcPr>
            <w:tcW w:w="6138" w:type="dxa"/>
            <w:vAlign w:val="top"/>
          </w:tcPr>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5.2.1 如发现投标文件有 4.2.4 项情况之一的，相应投标文件不予开标，招标人将投标文件退回投标人。</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5.2.2 招标人按下列程序对投标文件第一个信封（商务及技术文件）进行开标：</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(1)招标宣布开标纪律；宣布记录人等有关人员姓名；</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(2)公布投标人数量：招标人公布投标人数量及投标保证金缴纳情况。若开标系统显示已递交投标文件的单位数量少于3 家，招标人公布已递交投标文件单位名称，当场宣布招标失败，结束开标。</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(3)投标人解密：投标人数量大于等于 3 家，进入投标人解密环节。投标人解密时间：30 分钟。投标人解密方式：投标人使用 </w:t>
            </w:r>
            <w:r>
              <w:rPr>
                <w:rFonts w:hint="eastAsia" w:ascii="Times New Roman" w:hAnsi="Times New Roman" w:eastAsia="Times New Roman" w:cs="Times New Roman"/>
                <w:color w:val="auto"/>
                <w:highlight w:val="none"/>
              </w:rPr>
              <w:t>IE11浏览器访问嵊州网上不见面开标大厅</w:t>
            </w:r>
            <w:r>
              <w:rPr>
                <w:rFonts w:hint="eastAsia" w:ascii="Times New Roman" w:hAnsi="Times New Roman" w:eastAsia="宋体" w:cs="Times New Roman"/>
                <w:color w:val="auto"/>
                <w:highlight w:val="none"/>
                <w:lang w:eastAsia="zh-CN"/>
              </w:rPr>
              <w:t>：</w:t>
            </w:r>
            <w:r>
              <w:rPr>
                <w:rFonts w:hint="eastAsia" w:ascii="Times New Roman" w:hAnsi="Times New Roman" w:eastAsia="Times New Roman" w:cs="Times New Roman"/>
                <w:color w:val="auto"/>
                <w:highlight w:val="none"/>
              </w:rPr>
              <w:t>http://220.191.224.7:8088/BidOpening/bidopeninghallaction/hall/login；使用CA锁登录。</w:t>
            </w:r>
            <w:r>
              <w:rPr>
                <w:rFonts w:hint="eastAsia" w:ascii="宋体" w:hAnsi="宋体" w:eastAsia="宋体" w:cs="宋体"/>
                <w:color w:val="auto"/>
                <w:sz w:val="21"/>
                <w:szCs w:val="21"/>
                <w:highlight w:val="none"/>
              </w:rPr>
              <w:t>待招标人点击解密指令后，投标人使用生成投标文件的 CA 数字证书在线解密。</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若成功解密的投标人少于 3 家，招标人宣布本次招标失败。</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(4)招标人解密</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全部投标人解密完成后或投标人解密时间结束，招标人使用生成招标文件的 CA 数字证书解密投标文件。</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(5)公布第一个信封开标结果</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招标解密完成后，招标人公布投标人名单、投标保证金的递交情况、质量目标、安全目标、工期及其他内容，同时宣布第二个信封预计开标时间。</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)开标结束</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招标人宣布本次开标结束。</w:t>
            </w:r>
          </w:p>
          <w:p>
            <w:pPr>
              <w:keepNext w:val="0"/>
              <w:keepLines w:val="0"/>
              <w:pageBreakBefore w:val="0"/>
              <w:widowControl/>
              <w:kinsoku/>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5.2.3 在投标文件第一个信封（商务及技术文件）完成评审前，“电子交易平台”的开标评标系统不得读取投标文件第二个信封（报价文件）。</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5.2.4 招标人将按照本章第 5.1 款规定的时间和地点对投标文件第二个信封（报价文件）进行开标：</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(1)招标宣布开标纪律；宣布记录人等有关人员姓名；</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(2)宣布通过投标文件第一个信封（商务及技术文件）评审的投标人名单；</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招标人解密</w:t>
            </w:r>
          </w:p>
          <w:p>
            <w:pPr>
              <w:keepNext w:val="0"/>
              <w:keepLines w:val="0"/>
              <w:pageBreakBefore w:val="0"/>
              <w:widowControl/>
              <w:kinsoku/>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招标人使用生成招标文件的 CA 数字证书解密投标文件第二个信封。</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(4)抽取系数</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现场抽取调整系数、复合系数和下浮系数，采用技术通过制的综合评估法（合理低价法）的，抽取 B 值计算方案。</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(5)公布第二个信封开标结果</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公布所有投标文件第二个信封（投标报价和工程量清单）的投标人名称、投标报价及其他内容。</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)开标结束</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招标人宣布第二个信封开标结束。</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5.2.5 开标特别说明事项</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(1)因投标人原因造成其电子投标文件未解密的，视为撤销其投标文件；因投标人之外的原因造成电子投标文件未解密的，视为撤回其投标文件；</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(2)部分投标人的电子投标文件无法解密的，其他投标文件的开标可以继续进行；</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(3)投标人必须使用生成电子投标文件的 CA 数字证书解密电子投标文件；</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未在规定时间内完成投标文件解密，造成投标失败的，投标人自行负责。</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5.2.6 特殊情况的处理</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(1)如遇网络故障、网络安全问题等意外情况，所有投标人均无法解密，或因招标人 CA 锁原因导致招标人解密环节出现问题的，招标人向监管部门申请并征得同意后可延长开标时间或推迟时间重新开标，具体安排另行通知。</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(2)因电子交易系统故障、投标人数量过多等非投标人原因，导致投标文件不能在规定时间内完成解密的，招标人可向监管部门申请并征得同意后延长解密时间，并告知在线的投标人。</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(3)投标人电脑终端的硬件设备和软件系统配置必须符合不见面开标技术要求并运行正常，否则投标人自行承担不利后果。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5"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6"/>
                <w:sz w:val="21"/>
                <w:szCs w:val="21"/>
                <w:highlight w:val="none"/>
              </w:rPr>
              <w:t>6.1.1</w:t>
            </w:r>
          </w:p>
        </w:tc>
        <w:tc>
          <w:tcPr>
            <w:tcW w:w="2205"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pacing w:val="10"/>
                <w:sz w:val="21"/>
                <w:szCs w:val="21"/>
                <w:highlight w:val="none"/>
              </w:rPr>
            </w:pPr>
            <w:r>
              <w:rPr>
                <w:rFonts w:hint="eastAsia" w:ascii="宋体" w:hAnsi="宋体" w:eastAsia="宋体" w:cs="宋体"/>
                <w:color w:val="auto"/>
                <w:spacing w:val="14"/>
                <w:sz w:val="21"/>
                <w:szCs w:val="21"/>
                <w:highlight w:val="none"/>
              </w:rPr>
              <w:t>评</w:t>
            </w:r>
            <w:r>
              <w:rPr>
                <w:rFonts w:hint="eastAsia" w:ascii="宋体" w:hAnsi="宋体" w:eastAsia="宋体" w:cs="宋体"/>
                <w:color w:val="auto"/>
                <w:spacing w:val="8"/>
                <w:sz w:val="21"/>
                <w:szCs w:val="21"/>
                <w:highlight w:val="none"/>
              </w:rPr>
              <w:t>标委员会的组建</w:t>
            </w:r>
          </w:p>
        </w:tc>
        <w:tc>
          <w:tcPr>
            <w:tcW w:w="6138" w:type="dxa"/>
            <w:vAlign w:val="center"/>
          </w:tcPr>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jc w:val="left"/>
              <w:textAlignment w:val="baseline"/>
              <w:rPr>
                <w:rFonts w:hint="eastAsia" w:ascii="宋体" w:hAnsi="宋体" w:eastAsia="宋体" w:cs="宋体"/>
                <w:color w:val="auto"/>
                <w:spacing w:val="17"/>
                <w:sz w:val="21"/>
                <w:szCs w:val="21"/>
                <w:highlight w:val="none"/>
                <w:lang w:val="en-US" w:eastAsia="zh-CN"/>
              </w:rPr>
            </w:pPr>
            <w:r>
              <w:rPr>
                <w:rFonts w:hint="eastAsia" w:ascii="宋体" w:hAnsi="宋体" w:eastAsia="宋体" w:cs="宋体"/>
                <w:color w:val="auto"/>
                <w:spacing w:val="17"/>
                <w:sz w:val="21"/>
                <w:szCs w:val="21"/>
                <w:highlight w:val="none"/>
              </w:rPr>
              <w:t>评标委员会构成：</w:t>
            </w:r>
            <w:r>
              <w:rPr>
                <w:rFonts w:hint="eastAsia" w:ascii="宋体" w:hAnsi="宋体" w:eastAsia="宋体" w:cs="宋体"/>
                <w:color w:val="auto"/>
                <w:spacing w:val="17"/>
                <w:sz w:val="21"/>
                <w:szCs w:val="21"/>
                <w:highlight w:val="none"/>
                <w:u w:val="single"/>
                <w:lang w:val="en-US" w:eastAsia="zh-CN"/>
              </w:rPr>
              <w:t xml:space="preserve"> 7 </w:t>
            </w:r>
            <w:r>
              <w:rPr>
                <w:rFonts w:hint="eastAsia" w:ascii="宋体" w:hAnsi="宋体" w:eastAsia="宋体" w:cs="宋体"/>
                <w:color w:val="auto"/>
                <w:spacing w:val="17"/>
                <w:sz w:val="21"/>
                <w:szCs w:val="21"/>
                <w:highlight w:val="none"/>
              </w:rPr>
              <w:t>人</w:t>
            </w:r>
            <w:r>
              <w:rPr>
                <w:rFonts w:hint="eastAsia" w:ascii="宋体" w:hAnsi="宋体" w:eastAsia="宋体" w:cs="宋体"/>
                <w:color w:val="auto"/>
                <w:spacing w:val="17"/>
                <w:sz w:val="21"/>
                <w:szCs w:val="21"/>
                <w:highlight w:val="none"/>
                <w:lang w:eastAsia="zh-CN"/>
              </w:rPr>
              <w:t>，</w:t>
            </w:r>
            <w:r>
              <w:rPr>
                <w:rFonts w:hint="eastAsia" w:ascii="宋体" w:hAnsi="宋体" w:eastAsia="宋体" w:cs="宋体"/>
                <w:color w:val="auto"/>
                <w:spacing w:val="17"/>
                <w:sz w:val="21"/>
                <w:szCs w:val="21"/>
                <w:highlight w:val="none"/>
                <w:lang w:val="en-US" w:eastAsia="zh-CN"/>
              </w:rPr>
              <w:t>其中招标人代表</w:t>
            </w:r>
            <w:r>
              <w:rPr>
                <w:rFonts w:hint="eastAsia" w:ascii="宋体" w:hAnsi="宋体" w:eastAsia="宋体" w:cs="宋体"/>
                <w:color w:val="auto"/>
                <w:spacing w:val="17"/>
                <w:sz w:val="21"/>
                <w:szCs w:val="21"/>
                <w:highlight w:val="none"/>
                <w:u w:val="single"/>
                <w:lang w:val="en-US" w:eastAsia="zh-CN"/>
              </w:rPr>
              <w:t>0</w:t>
            </w:r>
            <w:r>
              <w:rPr>
                <w:rFonts w:hint="eastAsia" w:ascii="宋体" w:hAnsi="宋体" w:eastAsia="宋体" w:cs="宋体"/>
                <w:color w:val="auto"/>
                <w:spacing w:val="17"/>
                <w:sz w:val="21"/>
                <w:szCs w:val="21"/>
                <w:highlight w:val="none"/>
                <w:lang w:val="en-US" w:eastAsia="zh-CN"/>
              </w:rPr>
              <w:t>人，专家</w:t>
            </w:r>
            <w:r>
              <w:rPr>
                <w:rFonts w:hint="eastAsia" w:ascii="宋体" w:hAnsi="宋体" w:eastAsia="宋体" w:cs="宋体"/>
                <w:color w:val="auto"/>
                <w:spacing w:val="17"/>
                <w:sz w:val="21"/>
                <w:szCs w:val="21"/>
                <w:highlight w:val="none"/>
                <w:u w:val="single"/>
                <w:lang w:val="en-US" w:eastAsia="zh-CN"/>
              </w:rPr>
              <w:t>7</w:t>
            </w:r>
            <w:r>
              <w:rPr>
                <w:rFonts w:hint="eastAsia" w:ascii="宋体" w:hAnsi="宋体" w:eastAsia="宋体" w:cs="宋体"/>
                <w:color w:val="auto"/>
                <w:spacing w:val="17"/>
                <w:sz w:val="21"/>
                <w:szCs w:val="21"/>
                <w:highlight w:val="none"/>
                <w:lang w:val="en-US" w:eastAsia="zh-CN"/>
              </w:rPr>
              <w:t>人；</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jc w:val="left"/>
              <w:textAlignment w:val="baseline"/>
              <w:rPr>
                <w:rFonts w:hint="default" w:ascii="宋体" w:hAnsi="宋体" w:eastAsia="宋体" w:cs="宋体"/>
                <w:color w:val="auto"/>
                <w:sz w:val="21"/>
                <w:szCs w:val="21"/>
                <w:highlight w:val="none"/>
                <w:lang w:val="en-US" w:eastAsia="zh-CN"/>
              </w:rPr>
            </w:pPr>
            <w:r>
              <w:rPr>
                <w:rFonts w:hint="eastAsia" w:ascii="宋体" w:hAnsi="宋体" w:eastAsia="宋体" w:cs="宋体"/>
                <w:color w:val="auto"/>
                <w:spacing w:val="17"/>
                <w:sz w:val="21"/>
                <w:szCs w:val="21"/>
                <w:highlight w:val="none"/>
              </w:rPr>
              <w:t>评标专家确定方式：</w:t>
            </w:r>
            <w:r>
              <w:rPr>
                <w:rFonts w:hint="eastAsia" w:ascii="宋体" w:hAnsi="宋体" w:eastAsia="宋体" w:cs="宋体"/>
                <w:color w:val="auto"/>
                <w:spacing w:val="17"/>
                <w:sz w:val="21"/>
                <w:szCs w:val="21"/>
                <w:highlight w:val="none"/>
                <w:lang w:val="en-US" w:eastAsia="zh-CN"/>
              </w:rPr>
              <w:t>从</w:t>
            </w:r>
            <w:r>
              <w:rPr>
                <w:rFonts w:hint="eastAsia" w:ascii="宋体" w:hAnsi="宋体" w:eastAsia="宋体" w:cs="宋体"/>
                <w:color w:val="auto"/>
                <w:spacing w:val="17"/>
                <w:sz w:val="21"/>
                <w:szCs w:val="21"/>
                <w:highlight w:val="none"/>
                <w:u w:val="single"/>
                <w:lang w:val="en-US" w:eastAsia="zh-CN"/>
              </w:rPr>
              <w:t>浙江省</w:t>
            </w:r>
            <w:r>
              <w:rPr>
                <w:rFonts w:hint="eastAsia" w:ascii="宋体" w:hAnsi="宋体" w:eastAsia="宋体" w:cs="宋体"/>
                <w:color w:val="auto"/>
                <w:spacing w:val="17"/>
                <w:sz w:val="21"/>
                <w:szCs w:val="21"/>
                <w:highlight w:val="none"/>
              </w:rPr>
              <w:t>专家库中随机抽取。</w:t>
            </w:r>
            <w:r>
              <w:rPr>
                <w:rFonts w:hint="eastAsia" w:ascii="宋体" w:hAnsi="宋体" w:eastAsia="宋体" w:cs="宋体"/>
                <w:color w:val="auto"/>
                <w:spacing w:val="17"/>
                <w:sz w:val="21"/>
                <w:szCs w:val="21"/>
                <w:highlight w:val="none"/>
                <w:lang w:val="en-US" w:eastAsia="zh-CN"/>
              </w:rPr>
              <w:t>开标后发现有与招标人存在隶属关系的单位（企业）参加投标的，招标人不得派代表参加评标委员会。最终的评标委员会人数少于7人时应补抽专家。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3"/>
                <w:sz w:val="21"/>
                <w:szCs w:val="21"/>
                <w:highlight w:val="none"/>
              </w:rPr>
              <w:t>6.3.</w:t>
            </w:r>
            <w:r>
              <w:rPr>
                <w:rFonts w:hint="eastAsia" w:ascii="宋体" w:hAnsi="宋体" w:eastAsia="宋体" w:cs="宋体"/>
                <w:color w:val="auto"/>
                <w:spacing w:val="2"/>
                <w:sz w:val="21"/>
                <w:szCs w:val="21"/>
                <w:highlight w:val="none"/>
              </w:rPr>
              <w:t>2</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hanging="2" w:firstLineChars="0"/>
              <w:jc w:val="center"/>
              <w:rPr>
                <w:rFonts w:hint="eastAsia" w:ascii="宋体" w:hAnsi="宋体" w:eastAsia="宋体" w:cs="宋体"/>
                <w:color w:val="auto"/>
                <w:spacing w:val="10"/>
                <w:sz w:val="21"/>
                <w:szCs w:val="21"/>
                <w:highlight w:val="none"/>
              </w:rPr>
            </w:pPr>
            <w:r>
              <w:rPr>
                <w:rFonts w:hint="eastAsia" w:ascii="宋体" w:hAnsi="宋体" w:eastAsia="宋体" w:cs="宋体"/>
                <w:color w:val="auto"/>
                <w:spacing w:val="15"/>
                <w:sz w:val="21"/>
                <w:szCs w:val="21"/>
                <w:highlight w:val="none"/>
              </w:rPr>
              <w:t>评</w:t>
            </w:r>
            <w:r>
              <w:rPr>
                <w:rFonts w:hint="eastAsia" w:ascii="宋体" w:hAnsi="宋体" w:eastAsia="宋体" w:cs="宋体"/>
                <w:color w:val="auto"/>
                <w:spacing w:val="11"/>
                <w:sz w:val="21"/>
                <w:szCs w:val="21"/>
                <w:highlight w:val="none"/>
              </w:rPr>
              <w:t>标委员会推荐中标候选</w:t>
            </w:r>
            <w:r>
              <w:rPr>
                <w:rFonts w:hint="eastAsia" w:ascii="宋体" w:hAnsi="宋体" w:eastAsia="宋体" w:cs="宋体"/>
                <w:color w:val="auto"/>
                <w:spacing w:val="7"/>
                <w:sz w:val="21"/>
                <w:szCs w:val="21"/>
                <w:highlight w:val="none"/>
              </w:rPr>
              <w:t>人的人</w:t>
            </w:r>
            <w:r>
              <w:rPr>
                <w:rFonts w:hint="eastAsia" w:ascii="宋体" w:hAnsi="宋体" w:eastAsia="宋体" w:cs="宋体"/>
                <w:color w:val="auto"/>
                <w:spacing w:val="6"/>
                <w:sz w:val="21"/>
                <w:szCs w:val="21"/>
                <w:highlight w:val="none"/>
              </w:rPr>
              <w:t>数</w:t>
            </w:r>
          </w:p>
        </w:tc>
        <w:tc>
          <w:tcPr>
            <w:tcW w:w="6138" w:type="dxa"/>
            <w:vAlign w:val="center"/>
          </w:tcPr>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3"/>
                <w:sz w:val="21"/>
                <w:szCs w:val="21"/>
                <w:highlight w:val="none"/>
              </w:rPr>
              <w:t>推</w:t>
            </w:r>
            <w:r>
              <w:rPr>
                <w:rFonts w:hint="eastAsia" w:ascii="宋体" w:hAnsi="宋体" w:eastAsia="宋体" w:cs="宋体"/>
                <w:color w:val="auto"/>
                <w:spacing w:val="7"/>
                <w:sz w:val="21"/>
                <w:szCs w:val="21"/>
                <w:highlight w:val="none"/>
              </w:rPr>
              <w:t>荐的中标候选人的人数为</w:t>
            </w:r>
            <w:r>
              <w:rPr>
                <w:rFonts w:hint="eastAsia" w:ascii="宋体" w:hAnsi="宋体" w:eastAsia="宋体" w:cs="宋体"/>
                <w:color w:val="auto"/>
                <w:spacing w:val="7"/>
                <w:sz w:val="21"/>
                <w:szCs w:val="21"/>
                <w:highlight w:val="none"/>
                <w:u w:val="single" w:color="auto"/>
              </w:rPr>
              <w:t xml:space="preserve"> 1 </w:t>
            </w:r>
            <w:r>
              <w:rPr>
                <w:rFonts w:hint="eastAsia" w:ascii="宋体" w:hAnsi="宋体" w:eastAsia="宋体" w:cs="宋体"/>
                <w:color w:val="auto"/>
                <w:spacing w:val="7"/>
                <w:sz w:val="21"/>
                <w:szCs w:val="21"/>
                <w:highlight w:val="none"/>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5"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2"/>
                <w:sz w:val="21"/>
                <w:szCs w:val="21"/>
                <w:highlight w:val="none"/>
              </w:rPr>
              <w:t>7.</w:t>
            </w:r>
            <w:r>
              <w:rPr>
                <w:rFonts w:hint="eastAsia" w:ascii="宋体" w:hAnsi="宋体" w:eastAsia="宋体" w:cs="宋体"/>
                <w:color w:val="auto"/>
                <w:spacing w:val="1"/>
                <w:sz w:val="21"/>
                <w:szCs w:val="21"/>
                <w:highlight w:val="none"/>
              </w:rPr>
              <w:t>1</w:t>
            </w:r>
          </w:p>
        </w:tc>
        <w:tc>
          <w:tcPr>
            <w:tcW w:w="2205" w:type="dxa"/>
            <w:vAlign w:val="center"/>
          </w:tcPr>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jc w:val="center"/>
              <w:textAlignment w:val="baseline"/>
              <w:rPr>
                <w:rFonts w:hint="eastAsia" w:ascii="宋体" w:hAnsi="宋体" w:eastAsia="宋体" w:cs="宋体"/>
                <w:color w:val="auto"/>
                <w:spacing w:val="10"/>
                <w:sz w:val="21"/>
                <w:szCs w:val="21"/>
                <w:highlight w:val="none"/>
              </w:rPr>
            </w:pPr>
            <w:r>
              <w:rPr>
                <w:rFonts w:hint="eastAsia" w:ascii="宋体" w:hAnsi="宋体" w:eastAsia="宋体" w:cs="宋体"/>
                <w:color w:val="auto"/>
                <w:spacing w:val="15"/>
                <w:sz w:val="21"/>
                <w:szCs w:val="21"/>
                <w:highlight w:val="none"/>
              </w:rPr>
              <w:t>中</w:t>
            </w:r>
            <w:r>
              <w:rPr>
                <w:rFonts w:hint="eastAsia" w:ascii="宋体" w:hAnsi="宋体" w:eastAsia="宋体" w:cs="宋体"/>
                <w:color w:val="auto"/>
                <w:spacing w:val="9"/>
                <w:sz w:val="21"/>
                <w:szCs w:val="21"/>
                <w:highlight w:val="none"/>
              </w:rPr>
              <w:t>标候选人公示媒介、期</w:t>
            </w:r>
            <w:r>
              <w:rPr>
                <w:rFonts w:hint="eastAsia" w:ascii="宋体" w:hAnsi="宋体" w:eastAsia="宋体" w:cs="宋体"/>
                <w:color w:val="auto"/>
                <w:spacing w:val="5"/>
                <w:sz w:val="21"/>
                <w:szCs w:val="21"/>
                <w:highlight w:val="none"/>
              </w:rPr>
              <w:t>限</w:t>
            </w:r>
            <w:r>
              <w:rPr>
                <w:rFonts w:hint="eastAsia" w:ascii="宋体" w:hAnsi="宋体" w:eastAsia="宋体" w:cs="宋体"/>
                <w:color w:val="auto"/>
                <w:spacing w:val="3"/>
                <w:sz w:val="21"/>
                <w:szCs w:val="21"/>
                <w:highlight w:val="none"/>
              </w:rPr>
              <w:t>及内容</w:t>
            </w:r>
          </w:p>
        </w:tc>
        <w:tc>
          <w:tcPr>
            <w:tcW w:w="6138" w:type="dxa"/>
            <w:vAlign w:val="center"/>
          </w:tcPr>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7"/>
              <w:jc w:val="both"/>
              <w:textAlignment w:val="baseline"/>
              <w:rPr>
                <w:rFonts w:hint="eastAsia" w:ascii="宋体" w:hAnsi="宋体" w:eastAsia="宋体" w:cs="宋体"/>
                <w:color w:val="auto"/>
                <w:spacing w:val="16"/>
                <w:sz w:val="21"/>
                <w:szCs w:val="21"/>
                <w:highlight w:val="none"/>
                <w:lang w:val="en-US" w:eastAsia="zh-CN"/>
              </w:rPr>
            </w:pPr>
            <w:r>
              <w:rPr>
                <w:rFonts w:hint="eastAsia" w:ascii="宋体" w:hAnsi="宋体" w:eastAsia="宋体" w:cs="宋体"/>
                <w:color w:val="auto"/>
                <w:spacing w:val="16"/>
                <w:sz w:val="21"/>
                <w:szCs w:val="21"/>
                <w:highlight w:val="none"/>
              </w:rPr>
              <w:t>公示媒介：嵊州市</w:t>
            </w:r>
            <w:r>
              <w:rPr>
                <w:rFonts w:hint="eastAsia" w:ascii="宋体" w:hAnsi="宋体" w:eastAsia="宋体" w:cs="宋体"/>
                <w:color w:val="auto"/>
                <w:spacing w:val="16"/>
                <w:sz w:val="21"/>
                <w:szCs w:val="21"/>
                <w:highlight w:val="none"/>
                <w:lang w:val="en-US" w:eastAsia="zh-CN"/>
              </w:rPr>
              <w:t>人民政府门户网站</w:t>
            </w:r>
            <w:r>
              <w:rPr>
                <w:rFonts w:hint="eastAsia" w:ascii="宋体" w:hAnsi="宋体" w:eastAsia="宋体" w:cs="宋体"/>
                <w:color w:val="auto"/>
                <w:spacing w:val="16"/>
                <w:sz w:val="21"/>
                <w:szCs w:val="21"/>
                <w:highlight w:val="none"/>
              </w:rPr>
              <w:t>公共资源交易</w:t>
            </w:r>
            <w:r>
              <w:rPr>
                <w:rFonts w:hint="eastAsia" w:ascii="宋体" w:hAnsi="宋体" w:eastAsia="宋体" w:cs="宋体"/>
                <w:color w:val="auto"/>
                <w:spacing w:val="16"/>
                <w:sz w:val="21"/>
                <w:szCs w:val="21"/>
                <w:highlight w:val="none"/>
                <w:lang w:val="en-US" w:eastAsia="zh-CN"/>
              </w:rPr>
              <w:t>平台</w:t>
            </w:r>
            <w:r>
              <w:rPr>
                <w:rFonts w:hint="eastAsia" w:ascii="宋体" w:hAnsi="宋体" w:eastAsia="宋体" w:cs="宋体"/>
                <w:color w:val="auto"/>
                <w:spacing w:val="13"/>
                <w:kern w:val="2"/>
                <w:sz w:val="21"/>
                <w:szCs w:val="21"/>
                <w:highlight w:val="none"/>
                <w:u w:val="single"/>
                <w:lang w:eastAsia="zh-CN"/>
              </w:rPr>
              <w:t>（http://www.szzj.gov.cn/）</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7"/>
              <w:jc w:val="both"/>
              <w:textAlignment w:val="baseline"/>
              <w:rPr>
                <w:rFonts w:hint="eastAsia" w:ascii="宋体" w:hAnsi="宋体" w:eastAsia="宋体" w:cs="宋体"/>
                <w:color w:val="auto"/>
                <w:spacing w:val="16"/>
                <w:sz w:val="21"/>
                <w:szCs w:val="21"/>
                <w:highlight w:val="none"/>
              </w:rPr>
            </w:pPr>
            <w:r>
              <w:rPr>
                <w:rFonts w:hint="eastAsia" w:ascii="宋体" w:hAnsi="宋体" w:eastAsia="宋体" w:cs="宋体"/>
                <w:color w:val="auto"/>
                <w:spacing w:val="16"/>
                <w:sz w:val="21"/>
                <w:szCs w:val="21"/>
                <w:highlight w:val="none"/>
              </w:rPr>
              <w:t>公示期限：</w:t>
            </w:r>
            <w:r>
              <w:rPr>
                <w:rFonts w:hint="eastAsia" w:ascii="宋体" w:hAnsi="宋体" w:eastAsia="宋体" w:cs="宋体"/>
                <w:color w:val="auto"/>
                <w:spacing w:val="16"/>
                <w:sz w:val="21"/>
                <w:szCs w:val="21"/>
                <w:highlight w:val="none"/>
                <w:lang w:val="en-US" w:eastAsia="zh-CN"/>
              </w:rPr>
              <w:t>不少于</w:t>
            </w:r>
            <w:r>
              <w:rPr>
                <w:rFonts w:hint="eastAsia" w:ascii="宋体" w:hAnsi="宋体" w:eastAsia="宋体" w:cs="宋体"/>
                <w:color w:val="auto"/>
                <w:spacing w:val="16"/>
                <w:sz w:val="21"/>
                <w:szCs w:val="21"/>
                <w:highlight w:val="none"/>
              </w:rPr>
              <w:t>3日。如遇国家法定休假日，应顺延至法定休假日后第一个工作日。</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right="0" w:firstLine="7"/>
              <w:jc w:val="both"/>
              <w:textAlignment w:val="baseline"/>
              <w:rPr>
                <w:rFonts w:hint="eastAsia" w:ascii="宋体" w:hAnsi="宋体" w:eastAsia="宋体" w:cs="宋体"/>
                <w:color w:val="auto"/>
                <w:spacing w:val="16"/>
                <w:sz w:val="21"/>
                <w:szCs w:val="21"/>
                <w:highlight w:val="none"/>
              </w:rPr>
            </w:pPr>
            <w:r>
              <w:rPr>
                <w:rFonts w:hint="eastAsia" w:ascii="宋体" w:hAnsi="宋体" w:eastAsia="宋体" w:cs="宋体"/>
                <w:color w:val="auto"/>
                <w:spacing w:val="16"/>
                <w:sz w:val="21"/>
                <w:szCs w:val="21"/>
                <w:highlight w:val="none"/>
              </w:rPr>
              <w:t xml:space="preserve">公示内容： </w:t>
            </w:r>
          </w:p>
          <w:p>
            <w:pPr>
              <w:keepNext w:val="0"/>
              <w:keepLines w:val="0"/>
              <w:pageBreakBefore w:val="0"/>
              <w:widowControl w:val="0"/>
              <w:tabs>
                <w:tab w:val="left" w:pos="217"/>
              </w:tabs>
              <w:kinsoku/>
              <w:wordWrap/>
              <w:overflowPunct/>
              <w:topLinePunct w:val="0"/>
              <w:autoSpaceDE w:val="0"/>
              <w:autoSpaceDN w:val="0"/>
              <w:bidi w:val="0"/>
              <w:adjustRightInd w:val="0"/>
              <w:snapToGrid w:val="0"/>
              <w:spacing w:line="360" w:lineRule="exact"/>
              <w:ind w:left="0" w:right="0" w:firstLine="6"/>
              <w:jc w:val="both"/>
              <w:textAlignment w:val="baseline"/>
              <w:rPr>
                <w:rFonts w:hint="eastAsia" w:ascii="宋体" w:hAnsi="宋体" w:eastAsia="宋体" w:cs="宋体"/>
                <w:color w:val="auto"/>
                <w:spacing w:val="16"/>
                <w:sz w:val="21"/>
                <w:szCs w:val="21"/>
                <w:highlight w:val="none"/>
              </w:rPr>
            </w:pPr>
            <w:r>
              <w:rPr>
                <w:rFonts w:hint="eastAsia" w:ascii="宋体" w:hAnsi="宋体" w:eastAsia="宋体" w:cs="宋体"/>
                <w:color w:val="auto"/>
                <w:spacing w:val="16"/>
                <w:sz w:val="21"/>
                <w:szCs w:val="21"/>
                <w:highlight w:val="none"/>
              </w:rPr>
              <w:t>（1）中标候选人名称、资质等级、投标报价</w:t>
            </w:r>
            <w:r>
              <w:rPr>
                <w:rFonts w:hint="eastAsia" w:ascii="宋体" w:hAnsi="宋体" w:eastAsia="宋体" w:cs="宋体"/>
                <w:color w:val="auto"/>
                <w:spacing w:val="16"/>
                <w:sz w:val="21"/>
                <w:szCs w:val="21"/>
                <w:highlight w:val="none"/>
                <w:lang w:eastAsia="zh-CN"/>
              </w:rPr>
              <w:t>、</w:t>
            </w:r>
            <w:r>
              <w:rPr>
                <w:rFonts w:hint="eastAsia" w:ascii="宋体" w:hAnsi="宋体" w:eastAsia="宋体" w:cs="宋体"/>
                <w:color w:val="auto"/>
                <w:spacing w:val="16"/>
                <w:sz w:val="21"/>
                <w:szCs w:val="21"/>
                <w:highlight w:val="none"/>
              </w:rPr>
              <w:t>工程质量要求；</w:t>
            </w:r>
          </w:p>
          <w:p>
            <w:pPr>
              <w:keepNext w:val="0"/>
              <w:keepLines w:val="0"/>
              <w:pageBreakBefore w:val="0"/>
              <w:widowControl w:val="0"/>
              <w:tabs>
                <w:tab w:val="left" w:pos="217"/>
              </w:tabs>
              <w:kinsoku w:val="0"/>
              <w:wordWrap/>
              <w:overflowPunct/>
              <w:topLinePunct w:val="0"/>
              <w:autoSpaceDE w:val="0"/>
              <w:autoSpaceDN w:val="0"/>
              <w:bidi w:val="0"/>
              <w:adjustRightInd w:val="0"/>
              <w:snapToGrid w:val="0"/>
              <w:spacing w:line="360" w:lineRule="exact"/>
              <w:ind w:left="0" w:leftChars="0" w:right="0" w:rightChars="0" w:firstLine="7" w:firstLineChars="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（2）中标候选人在投标文件中承诺的项目负责人姓名、相关证书编号。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2"/>
                <w:sz w:val="21"/>
                <w:szCs w:val="21"/>
                <w:highlight w:val="none"/>
              </w:rPr>
              <w:t>7.</w:t>
            </w:r>
            <w:r>
              <w:rPr>
                <w:rFonts w:hint="eastAsia" w:ascii="宋体" w:hAnsi="宋体" w:eastAsia="宋体" w:cs="宋体"/>
                <w:color w:val="auto"/>
                <w:spacing w:val="1"/>
                <w:sz w:val="21"/>
                <w:szCs w:val="21"/>
                <w:highlight w:val="none"/>
              </w:rPr>
              <w:t>4</w:t>
            </w:r>
          </w:p>
        </w:tc>
        <w:tc>
          <w:tcPr>
            <w:tcW w:w="2205" w:type="dxa"/>
            <w:vAlign w:val="center"/>
          </w:tcPr>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hanging="16" w:firstLineChars="0"/>
              <w:jc w:val="center"/>
              <w:textAlignment w:val="baseline"/>
              <w:rPr>
                <w:rFonts w:hint="eastAsia" w:ascii="宋体" w:hAnsi="宋体" w:eastAsia="宋体" w:cs="宋体"/>
                <w:color w:val="auto"/>
                <w:spacing w:val="10"/>
                <w:sz w:val="21"/>
                <w:szCs w:val="21"/>
                <w:highlight w:val="none"/>
              </w:rPr>
            </w:pPr>
            <w:r>
              <w:rPr>
                <w:rFonts w:hint="eastAsia" w:ascii="宋体" w:hAnsi="宋体" w:eastAsia="宋体" w:cs="宋体"/>
                <w:color w:val="auto"/>
                <w:spacing w:val="11"/>
                <w:sz w:val="21"/>
                <w:szCs w:val="21"/>
                <w:highlight w:val="none"/>
              </w:rPr>
              <w:t>是否授权评标委员会确定</w:t>
            </w:r>
            <w:r>
              <w:rPr>
                <w:rFonts w:hint="eastAsia" w:ascii="宋体" w:hAnsi="宋体" w:eastAsia="宋体" w:cs="宋体"/>
                <w:color w:val="auto"/>
                <w:spacing w:val="1"/>
                <w:sz w:val="21"/>
                <w:szCs w:val="21"/>
                <w:highlight w:val="none"/>
              </w:rPr>
              <w:t>中</w:t>
            </w:r>
            <w:r>
              <w:rPr>
                <w:rFonts w:hint="eastAsia" w:ascii="宋体" w:hAnsi="宋体" w:eastAsia="宋体" w:cs="宋体"/>
                <w:color w:val="auto"/>
                <w:sz w:val="21"/>
                <w:szCs w:val="21"/>
                <w:highlight w:val="none"/>
              </w:rPr>
              <w:t>标人</w:t>
            </w:r>
          </w:p>
        </w:tc>
        <w:tc>
          <w:tcPr>
            <w:tcW w:w="6138" w:type="dxa"/>
            <w:vAlign w:val="center"/>
          </w:tcPr>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position w:val="7"/>
                <w:sz w:val="21"/>
                <w:szCs w:val="21"/>
                <w:highlight w:val="none"/>
              </w:rPr>
              <w:t>□是</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1"/>
                <w:sz w:val="21"/>
                <w:szCs w:val="21"/>
                <w:highlight w:val="none"/>
              </w:rPr>
              <w:t xml:space="preserve">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trPr>
        <w:tc>
          <w:tcPr>
            <w:tcW w:w="1179"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2"/>
                <w:sz w:val="21"/>
                <w:szCs w:val="21"/>
                <w:highlight w:val="none"/>
              </w:rPr>
              <w:t>7.</w:t>
            </w:r>
            <w:r>
              <w:rPr>
                <w:rFonts w:hint="eastAsia" w:ascii="宋体" w:hAnsi="宋体" w:eastAsia="宋体" w:cs="宋体"/>
                <w:color w:val="auto"/>
                <w:spacing w:val="1"/>
                <w:sz w:val="21"/>
                <w:szCs w:val="21"/>
                <w:highlight w:val="none"/>
              </w:rPr>
              <w:t>6</w:t>
            </w:r>
          </w:p>
        </w:tc>
        <w:tc>
          <w:tcPr>
            <w:tcW w:w="2205" w:type="dxa"/>
            <w:vAlign w:val="center"/>
          </w:tcPr>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jc w:val="center"/>
              <w:textAlignment w:val="baseline"/>
              <w:rPr>
                <w:rFonts w:hint="eastAsia" w:ascii="宋体" w:hAnsi="宋体" w:eastAsia="宋体" w:cs="宋体"/>
                <w:color w:val="auto"/>
                <w:spacing w:val="10"/>
                <w:sz w:val="21"/>
                <w:szCs w:val="21"/>
                <w:highlight w:val="none"/>
              </w:rPr>
            </w:pPr>
            <w:r>
              <w:rPr>
                <w:rFonts w:hint="eastAsia" w:ascii="宋体" w:hAnsi="宋体" w:eastAsia="宋体" w:cs="宋体"/>
                <w:color w:val="auto"/>
                <w:spacing w:val="11"/>
                <w:sz w:val="21"/>
                <w:szCs w:val="21"/>
                <w:highlight w:val="none"/>
              </w:rPr>
              <w:t>中</w:t>
            </w:r>
            <w:r>
              <w:rPr>
                <w:rFonts w:hint="eastAsia" w:ascii="宋体" w:hAnsi="宋体" w:eastAsia="宋体" w:cs="宋体"/>
                <w:color w:val="auto"/>
                <w:spacing w:val="7"/>
                <w:sz w:val="21"/>
                <w:szCs w:val="21"/>
                <w:highlight w:val="none"/>
              </w:rPr>
              <w:t>标结果公告媒介及期限</w:t>
            </w:r>
          </w:p>
        </w:tc>
        <w:tc>
          <w:tcPr>
            <w:tcW w:w="6138" w:type="dxa"/>
            <w:vAlign w:val="center"/>
          </w:tcPr>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firstLine="1"/>
              <w:jc w:val="both"/>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公告媒介：</w:t>
            </w:r>
            <w:r>
              <w:rPr>
                <w:rFonts w:hint="eastAsia" w:ascii="宋体" w:hAnsi="宋体" w:eastAsia="宋体" w:cs="宋体"/>
                <w:color w:val="auto"/>
                <w:spacing w:val="16"/>
                <w:sz w:val="21"/>
                <w:szCs w:val="21"/>
                <w:highlight w:val="none"/>
              </w:rPr>
              <w:t>嵊州市</w:t>
            </w:r>
            <w:r>
              <w:rPr>
                <w:rFonts w:hint="eastAsia" w:ascii="宋体" w:hAnsi="宋体" w:eastAsia="宋体" w:cs="宋体"/>
                <w:color w:val="auto"/>
                <w:spacing w:val="16"/>
                <w:sz w:val="21"/>
                <w:szCs w:val="21"/>
                <w:highlight w:val="none"/>
                <w:lang w:val="en-US" w:eastAsia="zh-CN"/>
              </w:rPr>
              <w:t>人民政府门户网站</w:t>
            </w:r>
            <w:r>
              <w:rPr>
                <w:rFonts w:hint="eastAsia" w:ascii="宋体" w:hAnsi="宋体" w:eastAsia="宋体" w:cs="宋体"/>
                <w:color w:val="auto"/>
                <w:spacing w:val="16"/>
                <w:sz w:val="21"/>
                <w:szCs w:val="21"/>
                <w:highlight w:val="none"/>
              </w:rPr>
              <w:t>公共资源交易</w:t>
            </w:r>
            <w:r>
              <w:rPr>
                <w:rFonts w:hint="eastAsia" w:ascii="宋体" w:hAnsi="宋体" w:eastAsia="宋体" w:cs="宋体"/>
                <w:color w:val="auto"/>
                <w:spacing w:val="16"/>
                <w:sz w:val="21"/>
                <w:szCs w:val="21"/>
                <w:highlight w:val="none"/>
                <w:lang w:val="en-US" w:eastAsia="zh-CN"/>
              </w:rPr>
              <w:t>平台</w:t>
            </w:r>
            <w:r>
              <w:rPr>
                <w:rFonts w:hint="eastAsia" w:ascii="宋体" w:hAnsi="宋体" w:eastAsia="宋体" w:cs="宋体"/>
                <w:color w:val="auto"/>
                <w:spacing w:val="13"/>
                <w:kern w:val="2"/>
                <w:sz w:val="21"/>
                <w:szCs w:val="21"/>
                <w:highlight w:val="none"/>
                <w:u w:val="single"/>
                <w:lang w:eastAsia="zh-CN"/>
              </w:rPr>
              <w:t>（http://www.szzj.gov.cn/）</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firstLine="1" w:firstLineChars="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公告期限：</w:t>
            </w:r>
            <w:r>
              <w:rPr>
                <w:rFonts w:hint="eastAsia" w:ascii="宋体" w:hAnsi="宋体" w:eastAsia="宋体" w:cs="宋体"/>
                <w:color w:val="auto"/>
                <w:spacing w:val="16"/>
                <w:sz w:val="21"/>
                <w:szCs w:val="21"/>
                <w:highlight w:val="none"/>
                <w:lang w:val="en-US" w:eastAsia="zh-CN"/>
              </w:rPr>
              <w:t>不少于</w:t>
            </w:r>
            <w:r>
              <w:rPr>
                <w:rFonts w:hint="eastAsia" w:ascii="宋体" w:hAnsi="宋体" w:eastAsia="宋体" w:cs="宋体"/>
                <w:color w:val="auto"/>
                <w:spacing w:val="15"/>
                <w:sz w:val="21"/>
                <w:szCs w:val="21"/>
                <w:highlight w:val="none"/>
              </w:rPr>
              <w:t>3日。如遇国家法定休假日，应顺延至法定休假日后第一个工作日。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5" w:hRule="atLeast"/>
        </w:trPr>
        <w:tc>
          <w:tcPr>
            <w:tcW w:w="1179" w:type="dxa"/>
            <w:vAlign w:val="center"/>
          </w:tcPr>
          <w:p>
            <w:pPr>
              <w:keepNext w:val="0"/>
              <w:keepLines w:val="0"/>
              <w:pageBreakBefore w:val="0"/>
              <w:widowControl w:val="0"/>
              <w:wordWrap/>
              <w:overflowPunct/>
              <w:topLinePunct w:val="0"/>
              <w:bidi w:val="0"/>
              <w:spacing w:line="360" w:lineRule="exact"/>
              <w:ind w:left="0" w:right="0"/>
              <w:jc w:val="center"/>
              <w:rPr>
                <w:rFonts w:hint="eastAsia" w:ascii="宋体" w:hAnsi="宋体" w:eastAsia="宋体" w:cs="宋体"/>
                <w:color w:val="auto"/>
                <w:sz w:val="21"/>
                <w:szCs w:val="21"/>
                <w:highlight w:val="none"/>
              </w:rPr>
            </w:pPr>
          </w:p>
          <w:p>
            <w:pPr>
              <w:keepNext w:val="0"/>
              <w:keepLines w:val="0"/>
              <w:pageBreakBefore w:val="0"/>
              <w:widowControl w:val="0"/>
              <w:wordWrap/>
              <w:overflowPunct/>
              <w:topLinePunct w:val="0"/>
              <w:bidi w:val="0"/>
              <w:spacing w:line="360" w:lineRule="exact"/>
              <w:ind w:left="0" w:right="0"/>
              <w:jc w:val="center"/>
              <w:rPr>
                <w:rFonts w:hint="eastAsia" w:ascii="宋体" w:hAnsi="宋体" w:eastAsia="宋体" w:cs="宋体"/>
                <w:color w:val="auto"/>
                <w:sz w:val="21"/>
                <w:szCs w:val="21"/>
                <w:highlight w:val="none"/>
              </w:rPr>
            </w:pPr>
          </w:p>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3"/>
                <w:sz w:val="21"/>
                <w:szCs w:val="21"/>
                <w:highlight w:val="none"/>
              </w:rPr>
              <w:t>7.7.1</w:t>
            </w:r>
          </w:p>
        </w:tc>
        <w:tc>
          <w:tcPr>
            <w:tcW w:w="2205" w:type="dxa"/>
            <w:vAlign w:val="center"/>
          </w:tcPr>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jc w:val="center"/>
              <w:textAlignment w:val="baseline"/>
              <w:rPr>
                <w:rFonts w:hint="eastAsia" w:ascii="宋体" w:hAnsi="宋体" w:eastAsia="宋体" w:cs="宋体"/>
                <w:color w:val="auto"/>
                <w:sz w:val="21"/>
                <w:szCs w:val="21"/>
                <w:highlight w:val="none"/>
              </w:rPr>
            </w:pP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jc w:val="center"/>
              <w:textAlignment w:val="baseline"/>
              <w:rPr>
                <w:rFonts w:hint="eastAsia" w:ascii="宋体" w:hAnsi="宋体" w:eastAsia="宋体" w:cs="宋体"/>
                <w:color w:val="auto"/>
                <w:sz w:val="21"/>
                <w:szCs w:val="21"/>
                <w:highlight w:val="none"/>
              </w:rPr>
            </w:pP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jc w:val="center"/>
              <w:textAlignment w:val="baseline"/>
              <w:rPr>
                <w:rFonts w:hint="eastAsia" w:ascii="宋体" w:hAnsi="宋体" w:eastAsia="宋体" w:cs="宋体"/>
                <w:color w:val="auto"/>
                <w:spacing w:val="10"/>
                <w:sz w:val="21"/>
                <w:szCs w:val="21"/>
                <w:highlight w:val="none"/>
              </w:rPr>
            </w:pPr>
            <w:r>
              <w:rPr>
                <w:rFonts w:hint="eastAsia" w:ascii="宋体" w:hAnsi="宋体" w:eastAsia="宋体" w:cs="宋体"/>
                <w:color w:val="auto"/>
                <w:spacing w:val="9"/>
                <w:sz w:val="21"/>
                <w:szCs w:val="21"/>
                <w:highlight w:val="none"/>
              </w:rPr>
              <w:t>履</w:t>
            </w:r>
            <w:r>
              <w:rPr>
                <w:rFonts w:hint="eastAsia" w:ascii="宋体" w:hAnsi="宋体" w:eastAsia="宋体" w:cs="宋体"/>
                <w:color w:val="auto"/>
                <w:spacing w:val="7"/>
                <w:sz w:val="21"/>
                <w:szCs w:val="21"/>
                <w:highlight w:val="none"/>
              </w:rPr>
              <w:t>约保证金</w:t>
            </w:r>
          </w:p>
        </w:tc>
        <w:tc>
          <w:tcPr>
            <w:tcW w:w="6138" w:type="dxa"/>
            <w:vAlign w:val="center"/>
          </w:tcPr>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firstLine="2"/>
              <w:jc w:val="both"/>
              <w:textAlignment w:val="baseline"/>
              <w:rPr>
                <w:rFonts w:hint="eastAsia" w:ascii="宋体" w:hAnsi="宋体" w:eastAsia="宋体" w:cs="宋体"/>
                <w:color w:val="auto"/>
                <w:spacing w:val="14"/>
                <w:position w:val="2"/>
                <w:sz w:val="21"/>
                <w:szCs w:val="21"/>
                <w:highlight w:val="none"/>
              </w:rPr>
            </w:pPr>
            <w:r>
              <w:rPr>
                <w:rFonts w:hint="eastAsia" w:ascii="宋体" w:hAnsi="宋体" w:eastAsia="宋体" w:cs="宋体"/>
                <w:color w:val="auto"/>
                <w:spacing w:val="14"/>
                <w:position w:val="2"/>
                <w:sz w:val="21"/>
                <w:szCs w:val="21"/>
                <w:highlight w:val="none"/>
              </w:rPr>
              <w:t>履约担保的形式：保证金；</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firstLine="2"/>
              <w:jc w:val="both"/>
              <w:textAlignment w:val="baseline"/>
              <w:rPr>
                <w:rFonts w:hint="eastAsia" w:ascii="宋体" w:hAnsi="宋体" w:eastAsia="宋体" w:cs="宋体"/>
                <w:color w:val="auto"/>
                <w:spacing w:val="14"/>
                <w:position w:val="2"/>
                <w:sz w:val="21"/>
                <w:szCs w:val="21"/>
                <w:highlight w:val="none"/>
              </w:rPr>
            </w:pPr>
            <w:r>
              <w:rPr>
                <w:rFonts w:hint="eastAsia" w:ascii="宋体" w:hAnsi="宋体" w:eastAsia="宋体" w:cs="宋体"/>
                <w:color w:val="auto"/>
                <w:spacing w:val="14"/>
                <w:position w:val="2"/>
                <w:sz w:val="21"/>
                <w:szCs w:val="21"/>
                <w:highlight w:val="none"/>
              </w:rPr>
              <w:t>履约担保的金额：中标合同金额的2%；</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firstLine="2"/>
              <w:jc w:val="both"/>
              <w:textAlignment w:val="baseline"/>
              <w:rPr>
                <w:rFonts w:hint="eastAsia" w:ascii="宋体" w:hAnsi="宋体" w:eastAsia="宋体" w:cs="宋体"/>
                <w:color w:val="auto"/>
                <w:spacing w:val="14"/>
                <w:position w:val="2"/>
                <w:sz w:val="21"/>
                <w:szCs w:val="21"/>
                <w:highlight w:val="none"/>
              </w:rPr>
            </w:pPr>
            <w:r>
              <w:rPr>
                <w:rFonts w:hint="eastAsia" w:ascii="宋体" w:hAnsi="宋体" w:eastAsia="宋体" w:cs="宋体"/>
                <w:color w:val="auto"/>
                <w:spacing w:val="14"/>
                <w:position w:val="2"/>
                <w:sz w:val="21"/>
                <w:szCs w:val="21"/>
                <w:highlight w:val="none"/>
              </w:rPr>
              <w:t>履约保证金支付时间：中标人应在中标候选人公示结束之日起5个工作日内向招标人交付履约保证金，否则，视为中标人放弃中标。</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firstLine="2" w:firstLineChars="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4"/>
                <w:position w:val="2"/>
                <w:sz w:val="21"/>
                <w:szCs w:val="21"/>
                <w:highlight w:val="none"/>
              </w:rPr>
              <w:t>履约保证金支付方式：保函、网上银行、电汇、汇票或转账形式</w:t>
            </w:r>
            <w:r>
              <w:rPr>
                <w:rFonts w:hint="eastAsia" w:ascii="宋体" w:hAnsi="宋体" w:eastAsia="宋体" w:cs="宋体"/>
                <w:color w:val="auto"/>
                <w:spacing w:val="14"/>
                <w:position w:val="2"/>
                <w:sz w:val="21"/>
                <w:szCs w:val="21"/>
                <w:highlight w:val="none"/>
                <w:lang w:eastAsia="zh-CN"/>
              </w:rPr>
              <w:t>。</w:t>
            </w:r>
            <w:r>
              <w:rPr>
                <w:rFonts w:hint="eastAsia" w:ascii="宋体" w:hAnsi="宋体" w:eastAsia="宋体" w:cs="宋体"/>
                <w:color w:val="auto"/>
                <w:spacing w:val="14"/>
                <w:position w:val="2"/>
                <w:sz w:val="21"/>
                <w:szCs w:val="21"/>
                <w:highlight w:val="none"/>
              </w:rPr>
              <w:t>（保函有效期必须在本项目约定完工日期之日起30日历天日后）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0" w:hRule="atLeast"/>
        </w:trPr>
        <w:tc>
          <w:tcPr>
            <w:tcW w:w="1179" w:type="dxa"/>
            <w:vAlign w:val="center"/>
          </w:tcPr>
          <w:p>
            <w:pPr>
              <w:keepNext w:val="0"/>
              <w:keepLines w:val="0"/>
              <w:pageBreakBefore w:val="0"/>
              <w:widowControl w:val="0"/>
              <w:wordWrap/>
              <w:overflowPunct/>
              <w:topLinePunct w:val="0"/>
              <w:bidi w:val="0"/>
              <w:spacing w:line="360" w:lineRule="exact"/>
              <w:ind w:right="0" w:rightChars="0"/>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2"/>
                <w:sz w:val="21"/>
                <w:szCs w:val="21"/>
                <w:highlight w:val="none"/>
              </w:rPr>
              <w:t>8.5.1</w:t>
            </w:r>
          </w:p>
        </w:tc>
        <w:tc>
          <w:tcPr>
            <w:tcW w:w="2205" w:type="dxa"/>
            <w:vAlign w:val="center"/>
          </w:tcPr>
          <w:p>
            <w:pPr>
              <w:keepNext w:val="0"/>
              <w:keepLines w:val="0"/>
              <w:pageBreakBefore w:val="0"/>
              <w:widowControl w:val="0"/>
              <w:kinsoku w:val="0"/>
              <w:wordWrap/>
              <w:overflowPunct/>
              <w:topLinePunct w:val="0"/>
              <w:autoSpaceDE w:val="0"/>
              <w:autoSpaceDN w:val="0"/>
              <w:bidi w:val="0"/>
              <w:adjustRightInd w:val="0"/>
              <w:snapToGrid w:val="0"/>
              <w:spacing w:line="360" w:lineRule="exact"/>
              <w:ind w:right="0" w:rightChars="0"/>
              <w:jc w:val="center"/>
              <w:textAlignment w:val="baseline"/>
              <w:rPr>
                <w:rFonts w:hint="eastAsia" w:ascii="宋体" w:hAnsi="宋体" w:eastAsia="宋体" w:cs="宋体"/>
                <w:color w:val="auto"/>
                <w:spacing w:val="10"/>
                <w:sz w:val="21"/>
                <w:szCs w:val="21"/>
                <w:highlight w:val="none"/>
              </w:rPr>
            </w:pPr>
            <w:r>
              <w:rPr>
                <w:rFonts w:hint="eastAsia" w:ascii="宋体" w:hAnsi="宋体" w:eastAsia="宋体" w:cs="宋体"/>
                <w:color w:val="auto"/>
                <w:spacing w:val="7"/>
                <w:sz w:val="21"/>
                <w:szCs w:val="21"/>
                <w:highlight w:val="none"/>
              </w:rPr>
              <w:t>监督部门</w:t>
            </w:r>
          </w:p>
        </w:tc>
        <w:tc>
          <w:tcPr>
            <w:tcW w:w="6138" w:type="dxa"/>
            <w:vAlign w:val="center"/>
          </w:tcPr>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jc w:val="both"/>
              <w:textAlignment w:val="baseline"/>
              <w:rPr>
                <w:rFonts w:hint="eastAsia" w:ascii="宋体" w:hAnsi="宋体" w:eastAsia="宋体" w:cs="宋体"/>
                <w:color w:val="auto"/>
                <w:spacing w:val="8"/>
                <w:position w:val="11"/>
                <w:sz w:val="21"/>
                <w:szCs w:val="21"/>
                <w:highlight w:val="none"/>
              </w:rPr>
            </w:pPr>
            <w:r>
              <w:rPr>
                <w:rFonts w:hint="eastAsia" w:ascii="宋体" w:hAnsi="宋体" w:eastAsia="宋体" w:cs="宋体"/>
                <w:color w:val="auto"/>
                <w:spacing w:val="8"/>
                <w:position w:val="11"/>
                <w:sz w:val="21"/>
                <w:szCs w:val="21"/>
                <w:highlight w:val="none"/>
              </w:rPr>
              <w:t>嵊州市交通运输局</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jc w:val="both"/>
              <w:textAlignment w:val="baseline"/>
              <w:rPr>
                <w:rFonts w:hint="eastAsia" w:ascii="宋体" w:hAnsi="宋体" w:eastAsia="宋体" w:cs="宋体"/>
                <w:color w:val="auto"/>
                <w:spacing w:val="8"/>
                <w:position w:val="11"/>
                <w:sz w:val="21"/>
                <w:szCs w:val="21"/>
                <w:highlight w:val="none"/>
              </w:rPr>
            </w:pPr>
            <w:r>
              <w:rPr>
                <w:rFonts w:hint="eastAsia" w:ascii="宋体" w:hAnsi="宋体" w:eastAsia="宋体" w:cs="宋体"/>
                <w:color w:val="auto"/>
                <w:spacing w:val="8"/>
                <w:position w:val="11"/>
                <w:sz w:val="21"/>
                <w:szCs w:val="21"/>
                <w:highlight w:val="none"/>
              </w:rPr>
              <w:t>地址</w:t>
            </w:r>
            <w:r>
              <w:rPr>
                <w:rFonts w:hint="eastAsia" w:ascii="宋体" w:hAnsi="宋体" w:eastAsia="宋体" w:cs="宋体"/>
                <w:color w:val="auto"/>
                <w:spacing w:val="8"/>
                <w:position w:val="11"/>
                <w:sz w:val="21"/>
                <w:szCs w:val="21"/>
                <w:highlight w:val="none"/>
                <w:lang w:eastAsia="zh-CN"/>
              </w:rPr>
              <w:t>：</w:t>
            </w:r>
            <w:r>
              <w:rPr>
                <w:rFonts w:hint="eastAsia" w:ascii="宋体" w:hAnsi="宋体" w:eastAsia="宋体" w:cs="宋体"/>
                <w:color w:val="auto"/>
                <w:spacing w:val="8"/>
                <w:position w:val="11"/>
                <w:sz w:val="21"/>
                <w:szCs w:val="21"/>
                <w:highlight w:val="none"/>
              </w:rPr>
              <w:t>嵊州市嵊州大道108号</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jc w:val="both"/>
              <w:textAlignment w:val="baseline"/>
              <w:rPr>
                <w:rFonts w:hint="eastAsia" w:ascii="宋体" w:hAnsi="宋体" w:eastAsia="宋体" w:cs="宋体"/>
                <w:color w:val="auto"/>
                <w:spacing w:val="8"/>
                <w:position w:val="11"/>
                <w:sz w:val="21"/>
                <w:szCs w:val="21"/>
                <w:highlight w:val="none"/>
              </w:rPr>
            </w:pPr>
            <w:r>
              <w:rPr>
                <w:rFonts w:hint="eastAsia" w:ascii="宋体" w:hAnsi="宋体" w:eastAsia="宋体" w:cs="宋体"/>
                <w:color w:val="auto"/>
                <w:spacing w:val="8"/>
                <w:position w:val="11"/>
                <w:sz w:val="21"/>
                <w:szCs w:val="21"/>
                <w:highlight w:val="none"/>
              </w:rPr>
              <w:t>邮编</w:t>
            </w:r>
            <w:r>
              <w:rPr>
                <w:rFonts w:hint="eastAsia" w:ascii="宋体" w:hAnsi="宋体" w:eastAsia="宋体" w:cs="宋体"/>
                <w:color w:val="auto"/>
                <w:spacing w:val="8"/>
                <w:position w:val="11"/>
                <w:sz w:val="21"/>
                <w:szCs w:val="21"/>
                <w:highlight w:val="none"/>
                <w:lang w:eastAsia="zh-CN"/>
              </w:rPr>
              <w:t>：</w:t>
            </w:r>
            <w:r>
              <w:rPr>
                <w:rFonts w:hint="eastAsia" w:ascii="宋体" w:hAnsi="宋体" w:eastAsia="宋体" w:cs="宋体"/>
                <w:color w:val="auto"/>
                <w:spacing w:val="8"/>
                <w:position w:val="11"/>
                <w:sz w:val="21"/>
                <w:szCs w:val="21"/>
                <w:highlight w:val="none"/>
              </w:rPr>
              <w:t>312400       电话：0575-83031799</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jc w:val="both"/>
              <w:textAlignment w:val="baseline"/>
              <w:rPr>
                <w:rFonts w:hint="eastAsia" w:ascii="宋体" w:hAnsi="宋体" w:eastAsia="宋体" w:cs="宋体"/>
                <w:color w:val="auto"/>
                <w:spacing w:val="8"/>
                <w:position w:val="11"/>
                <w:sz w:val="21"/>
                <w:szCs w:val="21"/>
                <w:highlight w:val="none"/>
              </w:rPr>
            </w:pPr>
            <w:r>
              <w:rPr>
                <w:rFonts w:hint="eastAsia" w:ascii="宋体" w:hAnsi="宋体" w:eastAsia="宋体" w:cs="宋体"/>
                <w:color w:val="auto"/>
                <w:spacing w:val="8"/>
                <w:position w:val="11"/>
                <w:sz w:val="21"/>
                <w:szCs w:val="21"/>
                <w:highlight w:val="none"/>
              </w:rPr>
              <w:t>嵊州市政务服务中心（公管办）</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jc w:val="both"/>
              <w:textAlignment w:val="baseline"/>
              <w:rPr>
                <w:rFonts w:hint="eastAsia" w:ascii="宋体" w:hAnsi="宋体" w:eastAsia="宋体" w:cs="宋体"/>
                <w:color w:val="auto"/>
                <w:spacing w:val="8"/>
                <w:position w:val="11"/>
                <w:sz w:val="21"/>
                <w:szCs w:val="21"/>
                <w:highlight w:val="none"/>
              </w:rPr>
            </w:pPr>
            <w:r>
              <w:rPr>
                <w:rFonts w:hint="eastAsia" w:ascii="宋体" w:hAnsi="宋体" w:eastAsia="宋体" w:cs="宋体"/>
                <w:color w:val="auto"/>
                <w:spacing w:val="8"/>
                <w:position w:val="11"/>
                <w:sz w:val="21"/>
                <w:szCs w:val="21"/>
                <w:highlight w:val="none"/>
              </w:rPr>
              <w:t>地址：嵊州市官河南路799号(嵊州市国际会展中心)南楼四楼</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jc w:val="both"/>
              <w:textAlignment w:val="baseline"/>
              <w:rPr>
                <w:rFonts w:hint="eastAsia" w:ascii="宋体" w:hAnsi="宋体" w:eastAsia="宋体" w:cs="宋体"/>
                <w:color w:val="auto"/>
                <w:spacing w:val="8"/>
                <w:position w:val="11"/>
                <w:sz w:val="21"/>
                <w:szCs w:val="21"/>
                <w:highlight w:val="none"/>
              </w:rPr>
            </w:pPr>
            <w:r>
              <w:rPr>
                <w:rFonts w:hint="eastAsia" w:ascii="宋体" w:hAnsi="宋体" w:eastAsia="宋体" w:cs="宋体"/>
                <w:color w:val="auto"/>
                <w:spacing w:val="8"/>
                <w:position w:val="11"/>
                <w:sz w:val="21"/>
                <w:szCs w:val="21"/>
                <w:highlight w:val="none"/>
              </w:rPr>
              <w:t>邮编：312400           电话：0575-83360380</w:t>
            </w:r>
          </w:p>
          <w:p>
            <w:pPr>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position w:val="11"/>
                <w:sz w:val="21"/>
                <w:szCs w:val="21"/>
                <w:highlight w:val="none"/>
              </w:rPr>
              <w:t>本项目的招标投标活动及其相关当事人应当接受市交通局及政务服务中心（公管办）的监督、邀请浙江省嵊州市公证处现场公证。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0" w:hRule="atLeast"/>
        </w:trPr>
        <w:tc>
          <w:tcPr>
            <w:tcW w:w="1179"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9</w:t>
            </w:r>
            <w:r>
              <w:rPr>
                <w:rFonts w:hint="eastAsia" w:ascii="宋体" w:hAnsi="宋体" w:eastAsia="宋体" w:cs="宋体"/>
                <w:color w:val="auto"/>
                <w:spacing w:val="1"/>
                <w:sz w:val="21"/>
                <w:szCs w:val="21"/>
                <w:highlight w:val="none"/>
              </w:rPr>
              <w:t>.2</w:t>
            </w:r>
          </w:p>
        </w:tc>
        <w:tc>
          <w:tcPr>
            <w:tcW w:w="2205" w:type="dxa"/>
            <w:vAlign w:val="center"/>
          </w:tcPr>
          <w:p>
            <w:pPr>
              <w:keepNext w:val="0"/>
              <w:keepLines w:val="0"/>
              <w:pageBreakBefore w:val="0"/>
              <w:widowControl w:val="0"/>
              <w:wordWrap/>
              <w:overflowPunct/>
              <w:topLinePunct w:val="0"/>
              <w:bidi w:val="0"/>
              <w:spacing w:line="360" w:lineRule="exact"/>
              <w:ind w:left="0" w:leftChars="0" w:right="0" w:rightChars="0"/>
              <w:jc w:val="center"/>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否</w:t>
            </w:r>
            <w:r>
              <w:rPr>
                <w:rFonts w:hint="eastAsia" w:ascii="宋体" w:hAnsi="宋体" w:eastAsia="宋体" w:cs="宋体"/>
                <w:color w:val="auto"/>
                <w:spacing w:val="5"/>
                <w:sz w:val="21"/>
                <w:szCs w:val="21"/>
                <w:highlight w:val="none"/>
              </w:rPr>
              <w:t>决投标</w:t>
            </w:r>
          </w:p>
        </w:tc>
        <w:tc>
          <w:tcPr>
            <w:tcW w:w="6138" w:type="dxa"/>
            <w:vAlign w:val="top"/>
          </w:tcPr>
          <w:p>
            <w:pPr>
              <w:keepNext w:val="0"/>
              <w:keepLines w:val="0"/>
              <w:pageBreakBefore w:val="0"/>
              <w:widowControl w:val="0"/>
              <w:wordWrap/>
              <w:overflowPunct/>
              <w:topLinePunct w:val="0"/>
              <w:bidi w:val="0"/>
              <w:spacing w:line="360" w:lineRule="exact"/>
              <w:ind w:left="0" w:right="0" w:hanging="6"/>
              <w:jc w:val="left"/>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9.2 否决投标</w:t>
            </w:r>
          </w:p>
          <w:p>
            <w:pPr>
              <w:keepNext w:val="0"/>
              <w:keepLines w:val="0"/>
              <w:pageBreakBefore w:val="0"/>
              <w:widowControl w:val="0"/>
              <w:kinsoku/>
              <w:wordWrap/>
              <w:overflowPunct/>
              <w:topLinePunct w:val="0"/>
              <w:autoSpaceDE w:val="0"/>
              <w:autoSpaceDN/>
              <w:bidi w:val="0"/>
              <w:adjustRightInd w:val="0"/>
              <w:snapToGrid w:val="0"/>
              <w:spacing w:line="360" w:lineRule="exact"/>
              <w:ind w:left="0" w:right="0" w:hanging="6"/>
              <w:jc w:val="left"/>
              <w:textAlignment w:val="baseline"/>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9.2.1 凡评标委员会拟作出否决投标决定的，应先向投标人</w:t>
            </w:r>
            <w:r>
              <w:rPr>
                <w:rFonts w:hint="eastAsia"/>
                <w:color w:val="auto"/>
                <w:szCs w:val="21"/>
                <w:highlight w:val="none"/>
              </w:rPr>
              <w:t>在电子交易系统中</w:t>
            </w:r>
            <w:r>
              <w:rPr>
                <w:rFonts w:hint="eastAsia" w:ascii="宋体" w:hAnsi="宋体" w:eastAsia="宋体" w:cs="宋体"/>
                <w:color w:val="auto"/>
                <w:spacing w:val="6"/>
                <w:sz w:val="21"/>
                <w:szCs w:val="21"/>
                <w:highlight w:val="none"/>
              </w:rPr>
              <w:t>进行书面询问核实。未进行询问核实程序的，不得做出否决投标决定，投标人放弃接受询问核实机会</w:t>
            </w:r>
            <w:r>
              <w:rPr>
                <w:rFonts w:hint="eastAsia" w:ascii="宋体" w:hAnsi="宋体" w:eastAsia="宋体" w:cs="宋体"/>
                <w:color w:val="auto"/>
                <w:spacing w:val="6"/>
                <w:sz w:val="21"/>
                <w:szCs w:val="21"/>
                <w:highlight w:val="none"/>
                <w:lang w:val="en-US" w:eastAsia="zh-CN"/>
              </w:rPr>
              <w:t>的</w:t>
            </w:r>
            <w:r>
              <w:rPr>
                <w:rFonts w:hint="eastAsia" w:ascii="宋体" w:hAnsi="宋体" w:eastAsia="宋体" w:cs="宋体"/>
                <w:color w:val="auto"/>
                <w:spacing w:val="6"/>
                <w:sz w:val="21"/>
                <w:szCs w:val="21"/>
                <w:highlight w:val="none"/>
              </w:rPr>
              <w:t>除外。投标人应自行关注系统中评标委员会发出的澄清并及时答复</w:t>
            </w:r>
            <w:r>
              <w:rPr>
                <w:rFonts w:hint="eastAsia" w:ascii="宋体" w:hAnsi="宋体" w:eastAsia="宋体" w:cs="宋体"/>
                <w:color w:val="auto"/>
                <w:spacing w:val="6"/>
                <w:sz w:val="21"/>
                <w:szCs w:val="21"/>
                <w:highlight w:val="none"/>
                <w:lang w:eastAsia="zh-CN"/>
              </w:rPr>
              <w:t>，</w:t>
            </w:r>
            <w:r>
              <w:rPr>
                <w:rFonts w:hint="eastAsia" w:ascii="宋体" w:hAnsi="宋体" w:eastAsia="宋体" w:cs="宋体"/>
                <w:color w:val="auto"/>
                <w:spacing w:val="6"/>
                <w:sz w:val="21"/>
                <w:szCs w:val="21"/>
                <w:highlight w:val="none"/>
              </w:rPr>
              <w:t>在规定的时限内投标人不参加核实或不予答复的，视为放弃接受询问核实机会。</w:t>
            </w:r>
          </w:p>
          <w:p>
            <w:pPr>
              <w:keepNext w:val="0"/>
              <w:keepLines w:val="0"/>
              <w:pageBreakBefore w:val="0"/>
              <w:widowControl w:val="0"/>
              <w:wordWrap/>
              <w:overflowPunct/>
              <w:topLinePunct w:val="0"/>
              <w:bidi w:val="0"/>
              <w:spacing w:line="360" w:lineRule="exact"/>
              <w:ind w:left="0" w:right="0" w:hanging="6"/>
              <w:jc w:val="left"/>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9.2.2 投标文件存在以下情形的，由评标委员会审核并经过询标程序，其投标文件将被否决：</w:t>
            </w:r>
          </w:p>
          <w:p>
            <w:pPr>
              <w:keepNext w:val="0"/>
              <w:keepLines w:val="0"/>
              <w:pageBreakBefore w:val="0"/>
              <w:widowControl w:val="0"/>
              <w:wordWrap/>
              <w:overflowPunct/>
              <w:topLinePunct w:val="0"/>
              <w:bidi w:val="0"/>
              <w:spacing w:line="360" w:lineRule="exact"/>
              <w:ind w:right="0"/>
              <w:jc w:val="left"/>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6"/>
                <w:sz w:val="21"/>
                <w:szCs w:val="21"/>
                <w:highlight w:val="none"/>
                <w:lang w:val="en-US" w:eastAsia="zh-CN"/>
              </w:rPr>
              <w:t>1、第一个信封形式评审与响应性评审未通过</w:t>
            </w:r>
            <w:r>
              <w:rPr>
                <w:rFonts w:hint="eastAsia" w:ascii="宋体" w:hAnsi="宋体" w:eastAsia="宋体" w:cs="宋体"/>
                <w:color w:val="auto"/>
                <w:spacing w:val="6"/>
                <w:sz w:val="21"/>
                <w:szCs w:val="21"/>
                <w:highlight w:val="none"/>
                <w:lang w:eastAsia="zh-CN"/>
              </w:rPr>
              <w:t>；</w:t>
            </w:r>
          </w:p>
          <w:p>
            <w:pPr>
              <w:pStyle w:val="2"/>
              <w:keepNext w:val="0"/>
              <w:keepLines w:val="0"/>
              <w:pageBreakBefore w:val="0"/>
              <w:wordWrap/>
              <w:overflowPunct/>
              <w:topLinePunct w:val="0"/>
              <w:bidi w:val="0"/>
              <w:spacing w:before="0" w:after="0" w:afterLines="0" w:line="360" w:lineRule="exact"/>
              <w:ind w:left="0" w:leftChars="0" w:right="0" w:firstLine="0" w:firstLineChars="0"/>
              <w:jc w:val="left"/>
              <w:rPr>
                <w:rFonts w:hint="eastAsia" w:ascii="宋体" w:hAnsi="宋体" w:eastAsia="宋体" w:cs="宋体"/>
                <w:color w:val="auto"/>
                <w:spacing w:val="6"/>
                <w:sz w:val="21"/>
                <w:szCs w:val="21"/>
                <w:highlight w:val="none"/>
                <w:lang w:val="en-US" w:eastAsia="zh-CN"/>
              </w:rPr>
            </w:pPr>
            <w:r>
              <w:rPr>
                <w:rFonts w:hint="eastAsia" w:ascii="宋体" w:hAnsi="宋体" w:eastAsia="宋体" w:cs="宋体"/>
                <w:color w:val="auto"/>
                <w:spacing w:val="6"/>
                <w:sz w:val="21"/>
                <w:szCs w:val="21"/>
                <w:highlight w:val="none"/>
                <w:lang w:val="en-US" w:eastAsia="zh-CN"/>
              </w:rPr>
              <w:t>2、第二个信封形式评审与响应性评审未通过；</w:t>
            </w:r>
          </w:p>
          <w:p>
            <w:pPr>
              <w:pStyle w:val="2"/>
              <w:keepNext w:val="0"/>
              <w:keepLines w:val="0"/>
              <w:pageBreakBefore w:val="0"/>
              <w:wordWrap/>
              <w:overflowPunct/>
              <w:topLinePunct w:val="0"/>
              <w:bidi w:val="0"/>
              <w:spacing w:before="0" w:after="0" w:afterLines="0" w:line="360" w:lineRule="exact"/>
              <w:ind w:left="0" w:leftChars="0" w:right="0" w:firstLine="0" w:firstLineChars="0"/>
              <w:jc w:val="left"/>
              <w:rPr>
                <w:rFonts w:hint="eastAsia" w:ascii="宋体" w:hAnsi="宋体" w:eastAsia="宋体" w:cs="宋体"/>
                <w:color w:val="auto"/>
                <w:spacing w:val="6"/>
                <w:sz w:val="21"/>
                <w:szCs w:val="21"/>
                <w:highlight w:val="none"/>
                <w:lang w:val="en-US" w:eastAsia="zh-CN"/>
              </w:rPr>
            </w:pPr>
            <w:r>
              <w:rPr>
                <w:rFonts w:hint="eastAsia" w:ascii="宋体" w:hAnsi="宋体" w:eastAsia="宋体" w:cs="宋体"/>
                <w:color w:val="auto"/>
                <w:spacing w:val="6"/>
                <w:sz w:val="21"/>
                <w:szCs w:val="21"/>
                <w:highlight w:val="none"/>
                <w:lang w:val="en-US" w:eastAsia="zh-CN"/>
              </w:rPr>
              <w:t>3、资格评审未通过；</w:t>
            </w:r>
          </w:p>
          <w:p>
            <w:pPr>
              <w:pStyle w:val="2"/>
              <w:keepNext w:val="0"/>
              <w:keepLines w:val="0"/>
              <w:pageBreakBefore w:val="0"/>
              <w:wordWrap/>
              <w:overflowPunct/>
              <w:topLinePunct w:val="0"/>
              <w:bidi w:val="0"/>
              <w:spacing w:before="0" w:after="0" w:afterLines="0" w:line="360" w:lineRule="exact"/>
              <w:ind w:left="0" w:leftChars="0" w:right="0" w:firstLine="0" w:firstLineChars="0"/>
              <w:jc w:val="left"/>
              <w:rPr>
                <w:rFonts w:hint="eastAsia" w:ascii="宋体" w:hAnsi="宋体" w:eastAsia="宋体" w:cs="宋体"/>
                <w:color w:val="auto"/>
                <w:spacing w:val="6"/>
                <w:sz w:val="21"/>
                <w:szCs w:val="21"/>
                <w:highlight w:val="none"/>
                <w:lang w:val="en-US" w:eastAsia="zh-CN"/>
              </w:rPr>
            </w:pPr>
            <w:r>
              <w:rPr>
                <w:rFonts w:hint="eastAsia" w:ascii="宋体" w:hAnsi="宋体" w:eastAsia="宋体" w:cs="宋体"/>
                <w:color w:val="auto"/>
                <w:spacing w:val="6"/>
                <w:sz w:val="21"/>
                <w:szCs w:val="21"/>
                <w:highlight w:val="none"/>
                <w:lang w:val="en-US" w:eastAsia="zh-CN"/>
              </w:rPr>
              <w:t>4、施工组织设计未通过；</w:t>
            </w:r>
          </w:p>
          <w:p>
            <w:pPr>
              <w:pStyle w:val="2"/>
              <w:keepNext w:val="0"/>
              <w:keepLines w:val="0"/>
              <w:pageBreakBefore w:val="0"/>
              <w:wordWrap/>
              <w:overflowPunct/>
              <w:topLinePunct w:val="0"/>
              <w:bidi w:val="0"/>
              <w:spacing w:before="0" w:after="0" w:afterLines="0" w:line="360" w:lineRule="exact"/>
              <w:ind w:left="0" w:leftChars="0" w:right="0" w:firstLine="0" w:firstLineChars="0"/>
              <w:jc w:val="left"/>
              <w:rPr>
                <w:rFonts w:hint="eastAsia" w:ascii="宋体" w:hAnsi="宋体" w:eastAsia="宋体" w:cs="宋体"/>
                <w:color w:val="auto"/>
                <w:spacing w:val="6"/>
                <w:sz w:val="21"/>
                <w:szCs w:val="21"/>
                <w:highlight w:val="none"/>
                <w:lang w:val="en-US" w:eastAsia="zh-CN"/>
              </w:rPr>
            </w:pPr>
            <w:r>
              <w:rPr>
                <w:rFonts w:hint="eastAsia" w:ascii="宋体" w:hAnsi="宋体" w:eastAsia="宋体" w:cs="宋体"/>
                <w:color w:val="auto"/>
                <w:spacing w:val="6"/>
                <w:sz w:val="21"/>
                <w:szCs w:val="21"/>
                <w:highlight w:val="none"/>
                <w:lang w:val="en-US" w:eastAsia="zh-CN"/>
              </w:rPr>
              <w:t>5、投标人对被限制投标并在处罚期内的情况</w:t>
            </w:r>
            <w:r>
              <w:rPr>
                <w:rFonts w:hint="eastAsia" w:ascii="宋体" w:hAnsi="宋体" w:eastAsia="宋体" w:cs="宋体"/>
                <w:color w:val="auto"/>
                <w:spacing w:val="4"/>
                <w:sz w:val="21"/>
                <w:szCs w:val="21"/>
                <w:highlight w:val="none"/>
              </w:rPr>
              <w:t>隐瞒不报的</w:t>
            </w:r>
            <w:r>
              <w:rPr>
                <w:rFonts w:hint="eastAsia" w:ascii="宋体" w:hAnsi="宋体" w:eastAsia="宋体" w:cs="宋体"/>
                <w:color w:val="auto"/>
                <w:spacing w:val="4"/>
                <w:sz w:val="21"/>
                <w:szCs w:val="21"/>
                <w:highlight w:val="none"/>
                <w:lang w:eastAsia="zh-CN"/>
              </w:rPr>
              <w:t>，</w:t>
            </w:r>
            <w:r>
              <w:rPr>
                <w:rFonts w:hint="eastAsia" w:ascii="宋体" w:hAnsi="宋体" w:eastAsia="宋体" w:cs="宋体"/>
                <w:color w:val="auto"/>
                <w:spacing w:val="4"/>
                <w:sz w:val="21"/>
                <w:szCs w:val="21"/>
                <w:highlight w:val="none"/>
                <w:lang w:val="en-US" w:eastAsia="zh-CN"/>
              </w:rPr>
              <w:t>对</w:t>
            </w:r>
            <w:r>
              <w:rPr>
                <w:rFonts w:hint="eastAsia" w:ascii="宋体" w:hAnsi="宋体" w:eastAsia="宋体" w:cs="宋体"/>
                <w:color w:val="auto"/>
                <w:spacing w:val="7"/>
                <w:sz w:val="21"/>
                <w:szCs w:val="21"/>
                <w:highlight w:val="none"/>
              </w:rPr>
              <w:t>有行贿行为未构成犯罪</w:t>
            </w:r>
            <w:r>
              <w:rPr>
                <w:rFonts w:hint="eastAsia" w:ascii="宋体" w:hAnsi="宋体" w:eastAsia="宋体" w:cs="宋体"/>
                <w:color w:val="auto"/>
                <w:spacing w:val="7"/>
                <w:sz w:val="21"/>
                <w:szCs w:val="21"/>
                <w:highlight w:val="none"/>
                <w:lang w:val="en-US" w:eastAsia="zh-CN"/>
              </w:rPr>
              <w:t>的情况</w:t>
            </w:r>
            <w:r>
              <w:rPr>
                <w:rFonts w:hint="eastAsia" w:ascii="宋体" w:hAnsi="宋体" w:eastAsia="宋体" w:cs="宋体"/>
                <w:color w:val="auto"/>
                <w:spacing w:val="4"/>
                <w:sz w:val="21"/>
                <w:szCs w:val="21"/>
                <w:highlight w:val="none"/>
              </w:rPr>
              <w:t>隐瞒不报</w:t>
            </w:r>
            <w:r>
              <w:rPr>
                <w:rFonts w:hint="eastAsia" w:ascii="宋体" w:hAnsi="宋体" w:eastAsia="宋体" w:cs="宋体"/>
                <w:color w:val="auto"/>
                <w:spacing w:val="7"/>
                <w:sz w:val="21"/>
                <w:szCs w:val="21"/>
                <w:highlight w:val="none"/>
              </w:rPr>
              <w:t>的</w:t>
            </w:r>
            <w:r>
              <w:rPr>
                <w:rFonts w:hint="eastAsia" w:ascii="宋体" w:hAnsi="宋体" w:eastAsia="宋体" w:cs="宋体"/>
                <w:color w:val="auto"/>
                <w:spacing w:val="7"/>
                <w:sz w:val="21"/>
                <w:szCs w:val="21"/>
                <w:highlight w:val="none"/>
                <w:lang w:eastAsia="zh-CN"/>
              </w:rPr>
              <w:t>，</w:t>
            </w:r>
            <w:r>
              <w:rPr>
                <w:rFonts w:hint="eastAsia" w:ascii="宋体" w:hAnsi="宋体" w:eastAsia="宋体" w:cs="宋体"/>
                <w:color w:val="auto"/>
                <w:spacing w:val="7"/>
                <w:sz w:val="21"/>
                <w:szCs w:val="21"/>
                <w:highlight w:val="none"/>
                <w:lang w:val="en-US" w:eastAsia="zh-CN"/>
              </w:rPr>
              <w:t>对</w:t>
            </w:r>
            <w:r>
              <w:rPr>
                <w:rFonts w:hint="eastAsia" w:ascii="宋体" w:hAnsi="宋体" w:eastAsia="宋体" w:cs="宋体"/>
                <w:color w:val="auto"/>
                <w:spacing w:val="7"/>
                <w:sz w:val="21"/>
                <w:szCs w:val="21"/>
                <w:highlight w:val="none"/>
                <w:lang w:eastAsia="zh-CN"/>
              </w:rPr>
              <w:t>列入失信黑名单但未被限制投标的</w:t>
            </w:r>
            <w:r>
              <w:rPr>
                <w:rFonts w:hint="eastAsia" w:ascii="宋体" w:hAnsi="宋体" w:eastAsia="宋体" w:cs="宋体"/>
                <w:color w:val="auto"/>
                <w:spacing w:val="7"/>
                <w:sz w:val="21"/>
                <w:szCs w:val="21"/>
                <w:highlight w:val="none"/>
                <w:lang w:val="en-US" w:eastAsia="zh-CN"/>
              </w:rPr>
              <w:t>情况</w:t>
            </w:r>
            <w:r>
              <w:rPr>
                <w:rFonts w:hint="eastAsia" w:ascii="宋体" w:hAnsi="宋体" w:eastAsia="宋体" w:cs="宋体"/>
                <w:color w:val="auto"/>
                <w:spacing w:val="4"/>
                <w:sz w:val="21"/>
                <w:szCs w:val="21"/>
                <w:highlight w:val="none"/>
              </w:rPr>
              <w:t>隐瞒不报的</w:t>
            </w:r>
            <w:r>
              <w:rPr>
                <w:rFonts w:hint="eastAsia" w:ascii="宋体" w:hAnsi="宋体" w:eastAsia="宋体" w:cs="宋体"/>
                <w:color w:val="auto"/>
                <w:spacing w:val="4"/>
                <w:sz w:val="21"/>
                <w:szCs w:val="21"/>
                <w:highlight w:val="none"/>
                <w:lang w:eastAsia="zh-CN"/>
              </w:rPr>
              <w:t>；</w:t>
            </w:r>
          </w:p>
          <w:p>
            <w:pPr>
              <w:pStyle w:val="2"/>
              <w:keepNext w:val="0"/>
              <w:keepLines w:val="0"/>
              <w:pageBreakBefore w:val="0"/>
              <w:wordWrap/>
              <w:overflowPunct/>
              <w:topLinePunct w:val="0"/>
              <w:bidi w:val="0"/>
              <w:spacing w:before="0" w:after="0" w:afterLines="0" w:line="360" w:lineRule="exact"/>
              <w:ind w:left="0" w:leftChars="0" w:right="0" w:firstLine="0" w:firstLineChars="0"/>
              <w:jc w:val="left"/>
              <w:rPr>
                <w:rFonts w:hint="eastAsia" w:ascii="宋体" w:hAnsi="宋体" w:eastAsia="宋体" w:cs="宋体"/>
                <w:color w:val="auto"/>
                <w:spacing w:val="6"/>
                <w:sz w:val="21"/>
                <w:szCs w:val="21"/>
                <w:highlight w:val="none"/>
                <w:lang w:val="en-US" w:eastAsia="zh-CN"/>
              </w:rPr>
            </w:pPr>
            <w:r>
              <w:rPr>
                <w:rFonts w:hint="eastAsia" w:ascii="宋体" w:hAnsi="宋体" w:eastAsia="宋体" w:cs="宋体"/>
                <w:color w:val="auto"/>
                <w:spacing w:val="6"/>
                <w:sz w:val="21"/>
                <w:szCs w:val="21"/>
                <w:highlight w:val="none"/>
                <w:lang w:val="en-US" w:eastAsia="zh-CN"/>
              </w:rPr>
              <w:t>6、投标报价有算术错误的，评标委员会按评审原则对投标报价进行修正，投标人不接受修正价格的；</w:t>
            </w:r>
          </w:p>
          <w:p>
            <w:pPr>
              <w:pStyle w:val="2"/>
              <w:keepNext w:val="0"/>
              <w:keepLines w:val="0"/>
              <w:pageBreakBefore w:val="0"/>
              <w:wordWrap/>
              <w:overflowPunct/>
              <w:topLinePunct w:val="0"/>
              <w:bidi w:val="0"/>
              <w:spacing w:before="0" w:after="0" w:afterLines="0" w:line="360" w:lineRule="exact"/>
              <w:ind w:left="0" w:leftChars="0" w:right="0" w:firstLine="0" w:firstLineChars="0"/>
              <w:jc w:val="left"/>
              <w:rPr>
                <w:rFonts w:hint="eastAsia" w:ascii="宋体" w:hAnsi="宋体" w:eastAsia="宋体" w:cs="宋体"/>
                <w:color w:val="auto"/>
                <w:spacing w:val="6"/>
                <w:sz w:val="21"/>
                <w:szCs w:val="21"/>
                <w:highlight w:val="none"/>
                <w:lang w:val="en-US" w:eastAsia="zh-CN"/>
              </w:rPr>
            </w:pPr>
            <w:r>
              <w:rPr>
                <w:rFonts w:hint="eastAsia" w:ascii="宋体" w:hAnsi="宋体" w:eastAsia="宋体" w:cs="宋体"/>
                <w:color w:val="auto"/>
                <w:spacing w:val="6"/>
                <w:sz w:val="21"/>
                <w:szCs w:val="21"/>
                <w:highlight w:val="none"/>
                <w:lang w:val="en-US" w:eastAsia="zh-CN"/>
              </w:rPr>
              <w:t>7、工程量清单中的投标报价有其他错误的，评标委员会按评审原则对投标报价进行修正，投标人不接受修正价格的；</w:t>
            </w:r>
          </w:p>
          <w:p>
            <w:pPr>
              <w:pStyle w:val="2"/>
              <w:keepNext w:val="0"/>
              <w:keepLines w:val="0"/>
              <w:pageBreakBefore w:val="0"/>
              <w:wordWrap/>
              <w:overflowPunct/>
              <w:topLinePunct w:val="0"/>
              <w:bidi w:val="0"/>
              <w:spacing w:before="0" w:after="0" w:afterLines="0" w:line="360" w:lineRule="exact"/>
              <w:ind w:left="0" w:leftChars="0" w:right="0" w:firstLine="0" w:firstLineChars="0"/>
              <w:jc w:val="left"/>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6"/>
                <w:sz w:val="21"/>
                <w:szCs w:val="21"/>
                <w:highlight w:val="none"/>
                <w:lang w:val="en-US" w:eastAsia="zh-CN"/>
              </w:rPr>
              <w:t>8、</w:t>
            </w:r>
            <w:r>
              <w:rPr>
                <w:rFonts w:hint="eastAsia" w:ascii="宋体" w:hAnsi="宋体" w:eastAsia="宋体" w:cs="宋体"/>
                <w:color w:val="auto"/>
                <w:spacing w:val="8"/>
                <w:sz w:val="21"/>
                <w:szCs w:val="21"/>
                <w:highlight w:val="none"/>
              </w:rPr>
              <w:t>修正后的最终投标报价超过最高投标限价</w:t>
            </w:r>
            <w:r>
              <w:rPr>
                <w:rFonts w:hint="eastAsia" w:ascii="宋体" w:hAnsi="宋体" w:eastAsia="宋体" w:cs="宋体"/>
                <w:color w:val="auto"/>
                <w:spacing w:val="8"/>
                <w:sz w:val="21"/>
                <w:szCs w:val="21"/>
                <w:highlight w:val="none"/>
                <w:lang w:eastAsia="zh-CN"/>
              </w:rPr>
              <w:t>的；</w:t>
            </w:r>
          </w:p>
          <w:p>
            <w:pPr>
              <w:pStyle w:val="2"/>
              <w:keepNext w:val="0"/>
              <w:keepLines w:val="0"/>
              <w:pageBreakBefore w:val="0"/>
              <w:wordWrap/>
              <w:overflowPunct/>
              <w:topLinePunct w:val="0"/>
              <w:bidi w:val="0"/>
              <w:spacing w:before="0" w:after="0" w:afterLines="0" w:line="360" w:lineRule="exact"/>
              <w:ind w:left="0" w:leftChars="0" w:right="0" w:firstLine="0" w:firstLineChars="0"/>
              <w:jc w:val="left"/>
              <w:rPr>
                <w:rFonts w:hint="eastAsia" w:ascii="宋体" w:hAnsi="宋体" w:eastAsia="宋体" w:cs="宋体"/>
                <w:color w:val="auto"/>
                <w:spacing w:val="6"/>
                <w:sz w:val="21"/>
                <w:szCs w:val="21"/>
                <w:highlight w:val="none"/>
                <w:lang w:eastAsia="zh-CN"/>
              </w:rPr>
            </w:pPr>
            <w:r>
              <w:rPr>
                <w:rFonts w:hint="eastAsia" w:ascii="宋体" w:hAnsi="宋体" w:eastAsia="宋体" w:cs="宋体"/>
                <w:color w:val="auto"/>
                <w:spacing w:val="8"/>
                <w:sz w:val="21"/>
                <w:szCs w:val="21"/>
                <w:highlight w:val="none"/>
                <w:lang w:val="en-US" w:eastAsia="zh-CN"/>
              </w:rPr>
              <w:t>9、</w:t>
            </w:r>
            <w:r>
              <w:rPr>
                <w:rFonts w:hint="eastAsia" w:ascii="宋体" w:hAnsi="宋体" w:eastAsia="宋体" w:cs="宋体"/>
                <w:color w:val="auto"/>
                <w:spacing w:val="9"/>
                <w:sz w:val="21"/>
                <w:szCs w:val="21"/>
                <w:highlight w:val="none"/>
              </w:rPr>
              <w:t>评标委员会发现投标人的报价明显低于其他投标报价，使得其投标报价可能低于其个别成</w:t>
            </w:r>
            <w:r>
              <w:rPr>
                <w:rFonts w:hint="eastAsia" w:ascii="宋体" w:hAnsi="宋体" w:eastAsia="宋体" w:cs="宋体"/>
                <w:color w:val="auto"/>
                <w:spacing w:val="16"/>
                <w:sz w:val="21"/>
                <w:szCs w:val="21"/>
                <w:highlight w:val="none"/>
              </w:rPr>
              <w:t>本的</w:t>
            </w:r>
            <w:r>
              <w:rPr>
                <w:rFonts w:hint="eastAsia" w:ascii="宋体" w:hAnsi="宋体" w:eastAsia="宋体" w:cs="宋体"/>
                <w:color w:val="auto"/>
                <w:spacing w:val="13"/>
                <w:sz w:val="21"/>
                <w:szCs w:val="21"/>
                <w:highlight w:val="none"/>
              </w:rPr>
              <w:t>，</w:t>
            </w:r>
            <w:r>
              <w:rPr>
                <w:rFonts w:hint="eastAsia" w:ascii="宋体" w:hAnsi="宋体" w:eastAsia="宋体" w:cs="宋体"/>
                <w:color w:val="auto"/>
                <w:spacing w:val="8"/>
                <w:sz w:val="21"/>
                <w:szCs w:val="21"/>
                <w:highlight w:val="none"/>
              </w:rPr>
              <w:t>应当要求该投标人作出说明并提供相应的证明材料</w:t>
            </w:r>
            <w:r>
              <w:rPr>
                <w:rFonts w:hint="eastAsia" w:ascii="宋体" w:hAnsi="宋体" w:eastAsia="宋体" w:cs="宋体"/>
                <w:color w:val="auto"/>
                <w:spacing w:val="8"/>
                <w:sz w:val="21"/>
                <w:szCs w:val="21"/>
                <w:highlight w:val="none"/>
                <w:lang w:eastAsia="zh-CN"/>
              </w:rPr>
              <w:t>，</w:t>
            </w:r>
            <w:r>
              <w:rPr>
                <w:rFonts w:hint="eastAsia" w:ascii="宋体" w:hAnsi="宋体" w:eastAsia="宋体" w:cs="宋体"/>
                <w:color w:val="auto"/>
                <w:spacing w:val="8"/>
                <w:sz w:val="21"/>
                <w:szCs w:val="21"/>
                <w:highlight w:val="none"/>
              </w:rPr>
              <w:t>投标人不能合理说明或者不能提供相应证</w:t>
            </w:r>
            <w:r>
              <w:rPr>
                <w:rFonts w:hint="eastAsia" w:ascii="宋体" w:hAnsi="宋体" w:eastAsia="宋体" w:cs="宋体"/>
                <w:color w:val="auto"/>
                <w:spacing w:val="12"/>
                <w:sz w:val="21"/>
                <w:szCs w:val="21"/>
                <w:highlight w:val="none"/>
              </w:rPr>
              <w:t>明</w:t>
            </w:r>
            <w:r>
              <w:rPr>
                <w:rFonts w:hint="eastAsia" w:ascii="宋体" w:hAnsi="宋体" w:eastAsia="宋体" w:cs="宋体"/>
                <w:color w:val="auto"/>
                <w:spacing w:val="9"/>
                <w:sz w:val="21"/>
                <w:szCs w:val="21"/>
                <w:highlight w:val="none"/>
              </w:rPr>
              <w:t>材</w:t>
            </w:r>
            <w:r>
              <w:rPr>
                <w:rFonts w:hint="eastAsia" w:ascii="宋体" w:hAnsi="宋体" w:eastAsia="宋体" w:cs="宋体"/>
                <w:color w:val="auto"/>
                <w:spacing w:val="6"/>
                <w:sz w:val="21"/>
                <w:szCs w:val="21"/>
                <w:highlight w:val="none"/>
              </w:rPr>
              <w:t>料的</w:t>
            </w:r>
            <w:r>
              <w:rPr>
                <w:rFonts w:hint="eastAsia" w:ascii="宋体" w:hAnsi="宋体" w:eastAsia="宋体" w:cs="宋体"/>
                <w:color w:val="auto"/>
                <w:spacing w:val="6"/>
                <w:sz w:val="21"/>
                <w:szCs w:val="21"/>
                <w:highlight w:val="none"/>
                <w:lang w:eastAsia="zh-CN"/>
              </w:rPr>
              <w:t>；</w:t>
            </w:r>
          </w:p>
          <w:p>
            <w:pPr>
              <w:pStyle w:val="2"/>
              <w:keepNext w:val="0"/>
              <w:keepLines w:val="0"/>
              <w:pageBreakBefore w:val="0"/>
              <w:wordWrap/>
              <w:overflowPunct/>
              <w:topLinePunct w:val="0"/>
              <w:bidi w:val="0"/>
              <w:spacing w:before="0" w:after="0" w:afterLines="0" w:line="360" w:lineRule="exact"/>
              <w:ind w:left="0" w:leftChars="0" w:right="0" w:firstLine="0" w:firstLineChars="0"/>
              <w:jc w:val="left"/>
              <w:rPr>
                <w:rFonts w:hint="default" w:ascii="宋体" w:hAnsi="宋体" w:eastAsia="宋体" w:cs="宋体"/>
                <w:color w:val="auto"/>
                <w:spacing w:val="6"/>
                <w:sz w:val="21"/>
                <w:szCs w:val="21"/>
                <w:highlight w:val="none"/>
                <w:lang w:val="en-US" w:eastAsia="zh-CN"/>
              </w:rPr>
            </w:pPr>
            <w:r>
              <w:rPr>
                <w:rFonts w:hint="eastAsia" w:ascii="宋体" w:hAnsi="宋体" w:eastAsia="宋体" w:cs="宋体"/>
                <w:color w:val="auto"/>
                <w:spacing w:val="6"/>
                <w:sz w:val="21"/>
                <w:szCs w:val="21"/>
                <w:highlight w:val="none"/>
                <w:lang w:val="en-US" w:eastAsia="zh-CN"/>
              </w:rPr>
              <w:t>10、</w:t>
            </w:r>
            <w:r>
              <w:rPr>
                <w:rFonts w:hint="eastAsia" w:ascii="宋体" w:hAnsi="宋体" w:eastAsia="宋体" w:cs="宋体"/>
                <w:color w:val="auto"/>
                <w:spacing w:val="6"/>
                <w:sz w:val="21"/>
                <w:szCs w:val="21"/>
                <w:highlight w:val="none"/>
              </w:rPr>
              <w:t>投标人存在串通投标、弄虚作假、行贿等违法行为的</w:t>
            </w:r>
            <w:r>
              <w:rPr>
                <w:rFonts w:hint="eastAsia" w:ascii="宋体" w:hAnsi="宋体" w:eastAsia="宋体" w:cs="宋体"/>
                <w:color w:val="auto"/>
                <w:spacing w:val="6"/>
                <w:sz w:val="21"/>
                <w:szCs w:val="21"/>
                <w:highlight w:val="none"/>
                <w:lang w:eastAsia="zh-CN"/>
              </w:rPr>
              <w:t>。</w:t>
            </w:r>
          </w:p>
          <w:p>
            <w:pPr>
              <w:pStyle w:val="2"/>
              <w:keepNext w:val="0"/>
              <w:keepLines w:val="0"/>
              <w:pageBreakBefore w:val="0"/>
              <w:wordWrap/>
              <w:overflowPunct/>
              <w:topLinePunct w:val="0"/>
              <w:bidi w:val="0"/>
              <w:spacing w:before="0" w:after="0" w:afterLines="0" w:line="360" w:lineRule="exact"/>
              <w:ind w:left="0" w:leftChars="0" w:right="0" w:firstLine="0" w:firstLineChars="0"/>
              <w:jc w:val="left"/>
              <w:rPr>
                <w:rFonts w:hint="eastAsia" w:ascii="宋体" w:hAnsi="宋体" w:cs="宋体"/>
                <w:color w:val="auto"/>
                <w:spacing w:val="6"/>
                <w:sz w:val="21"/>
                <w:szCs w:val="21"/>
                <w:highlight w:val="none"/>
                <w:lang w:val="en-US" w:eastAsia="zh-CN"/>
              </w:rPr>
            </w:pPr>
            <w:r>
              <w:rPr>
                <w:rFonts w:hint="eastAsia" w:ascii="宋体" w:hAnsi="宋体" w:cs="宋体"/>
                <w:color w:val="auto"/>
                <w:spacing w:val="6"/>
                <w:sz w:val="21"/>
                <w:szCs w:val="21"/>
                <w:highlight w:val="none"/>
                <w:lang w:val="en-US" w:eastAsia="zh-CN"/>
              </w:rPr>
              <w:t>11、未按投标人须知3.7.3制作投标文件。</w:t>
            </w:r>
          </w:p>
          <w:p>
            <w:pPr>
              <w:pStyle w:val="2"/>
              <w:keepNext w:val="0"/>
              <w:keepLines w:val="0"/>
              <w:pageBreakBefore w:val="0"/>
              <w:wordWrap/>
              <w:overflowPunct/>
              <w:topLinePunct w:val="0"/>
              <w:bidi w:val="0"/>
              <w:spacing w:before="0" w:after="0" w:afterLines="0" w:line="360" w:lineRule="exact"/>
              <w:ind w:left="0" w:leftChars="0" w:right="0" w:firstLine="0" w:firstLineChars="0"/>
              <w:jc w:val="left"/>
              <w:rPr>
                <w:rFonts w:hint="eastAsia" w:ascii="宋体" w:hAnsi="宋体" w:eastAsia="宋体" w:cs="宋体"/>
                <w:color w:val="auto"/>
                <w:spacing w:val="8"/>
                <w:position w:val="11"/>
                <w:sz w:val="21"/>
                <w:szCs w:val="21"/>
                <w:highlight w:val="none"/>
              </w:rPr>
            </w:pPr>
            <w:r>
              <w:rPr>
                <w:rFonts w:hint="eastAsia" w:ascii="宋体" w:hAnsi="宋体" w:eastAsia="宋体" w:cs="宋体"/>
                <w:color w:val="auto"/>
                <w:spacing w:val="6"/>
                <w:sz w:val="21"/>
                <w:szCs w:val="21"/>
                <w:highlight w:val="none"/>
              </w:rPr>
              <w:t>9.2.3 除本条规定以外，招标文件中其他条款均不得作为否决投标文件的依据。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1" w:hRule="atLeast"/>
        </w:trPr>
        <w:tc>
          <w:tcPr>
            <w:tcW w:w="1179" w:type="dxa"/>
            <w:shd w:val="clear" w:color="auto" w:fill="auto"/>
            <w:vAlign w:val="center"/>
          </w:tcPr>
          <w:p>
            <w:pPr>
              <w:keepNext w:val="0"/>
              <w:keepLines w:val="0"/>
              <w:pageBreakBefore w:val="0"/>
              <w:widowControl w:val="0"/>
              <w:wordWrap/>
              <w:overflowPunct/>
              <w:topLinePunct w:val="0"/>
              <w:bidi w:val="0"/>
              <w:spacing w:line="360" w:lineRule="exact"/>
              <w:ind w:left="0" w:leftChars="0" w:right="0" w:rightChars="0"/>
              <w:jc w:val="center"/>
              <w:rPr>
                <w:rFonts w:hint="default"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9.3</w:t>
            </w:r>
          </w:p>
        </w:tc>
        <w:tc>
          <w:tcPr>
            <w:tcW w:w="2205" w:type="dxa"/>
            <w:shd w:val="clear" w:color="auto" w:fill="auto"/>
            <w:vAlign w:val="center"/>
          </w:tcPr>
          <w:p>
            <w:pPr>
              <w:keepNext w:val="0"/>
              <w:keepLines w:val="0"/>
              <w:pageBreakBefore w:val="0"/>
              <w:widowControl w:val="0"/>
              <w:wordWrap/>
              <w:overflowPunct/>
              <w:topLinePunct w:val="0"/>
              <w:bidi w:val="0"/>
              <w:spacing w:line="36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其他</w:t>
            </w:r>
          </w:p>
        </w:tc>
        <w:tc>
          <w:tcPr>
            <w:tcW w:w="6138" w:type="dxa"/>
            <w:shd w:val="clear" w:color="auto" w:fill="auto"/>
            <w:vAlign w:val="center"/>
          </w:tcPr>
          <w:p>
            <w:pPr>
              <w:keepNext w:val="0"/>
              <w:keepLines w:val="0"/>
              <w:pageBreakBefore w:val="0"/>
              <w:widowControl w:val="0"/>
              <w:wordWrap/>
              <w:overflowPunct/>
              <w:topLinePunct w:val="0"/>
              <w:bidi w:val="0"/>
              <w:spacing w:line="360" w:lineRule="exact"/>
              <w:ind w:left="0" w:right="0" w:firstLine="2"/>
              <w:jc w:val="both"/>
              <w:rPr>
                <w:rFonts w:hint="eastAsia" w:ascii="宋体" w:hAnsi="宋体" w:eastAsia="宋体" w:cs="宋体"/>
                <w:color w:val="auto"/>
                <w:spacing w:val="14"/>
                <w:position w:val="2"/>
                <w:sz w:val="21"/>
                <w:szCs w:val="21"/>
                <w:highlight w:val="none"/>
              </w:rPr>
            </w:pPr>
            <w:r>
              <w:rPr>
                <w:rFonts w:hint="eastAsia" w:ascii="宋体" w:hAnsi="宋体" w:eastAsia="宋体" w:cs="宋体"/>
                <w:color w:val="auto"/>
                <w:spacing w:val="14"/>
                <w:kern w:val="2"/>
                <w:position w:val="2"/>
                <w:sz w:val="21"/>
                <w:szCs w:val="21"/>
                <w:highlight w:val="none"/>
                <w:lang w:val="en-US" w:eastAsia="zh-CN"/>
              </w:rPr>
              <w:t>9.3.1</w:t>
            </w:r>
            <w:r>
              <w:rPr>
                <w:rFonts w:hint="eastAsia" w:ascii="宋体" w:hAnsi="宋体" w:eastAsia="宋体" w:cs="宋体"/>
                <w:color w:val="auto"/>
                <w:spacing w:val="14"/>
                <w:position w:val="2"/>
                <w:sz w:val="21"/>
                <w:szCs w:val="21"/>
                <w:highlight w:val="none"/>
                <w:lang w:val="en-US" w:eastAsia="zh-CN"/>
              </w:rPr>
              <w:t>如因政策原因发包人未能办理用地手续而导致该部分不能实施所带来的相关完工、交竣工、验收、结算等延期风险或不予支付风险的，承包人承诺不要求发包人经济赔偿，但工期可相应顺延。</w:t>
            </w:r>
          </w:p>
        </w:tc>
      </w:tr>
    </w:tbl>
    <w:p>
      <w:pPr>
        <w:pageBreakBefore w:val="0"/>
        <w:wordWrap/>
        <w:overflowPunct/>
        <w:topLinePunct w:val="0"/>
        <w:bidi w:val="0"/>
        <w:spacing w:before="65" w:line="400" w:lineRule="exact"/>
        <w:ind w:right="187"/>
        <w:jc w:val="left"/>
        <w:rPr>
          <w:rFonts w:hint="eastAsia" w:ascii="宋体" w:hAnsi="宋体" w:eastAsia="宋体" w:cs="宋体"/>
          <w:color w:val="auto"/>
          <w:spacing w:val="0"/>
          <w:position w:val="0"/>
          <w:sz w:val="21"/>
          <w:szCs w:val="21"/>
          <w:highlight w:val="none"/>
        </w:rPr>
      </w:pPr>
      <w:bookmarkStart w:id="36" w:name="_bookmark29"/>
      <w:bookmarkEnd w:id="36"/>
      <w:bookmarkStart w:id="37" w:name="_bookmark32"/>
      <w:bookmarkEnd w:id="37"/>
      <w:bookmarkStart w:id="38" w:name="_bookmark26"/>
      <w:bookmarkEnd w:id="38"/>
      <w:bookmarkStart w:id="39" w:name="_bookmark28"/>
      <w:bookmarkEnd w:id="39"/>
      <w:bookmarkStart w:id="40" w:name="_bookmark27"/>
      <w:bookmarkEnd w:id="40"/>
      <w:bookmarkStart w:id="41" w:name="_bookmark31"/>
      <w:bookmarkEnd w:id="41"/>
      <w:bookmarkStart w:id="42" w:name="_bookmark25"/>
      <w:bookmarkEnd w:id="42"/>
      <w:bookmarkStart w:id="43" w:name="_bookmark30"/>
      <w:bookmarkEnd w:id="43"/>
    </w:p>
    <w:p>
      <w:pPr>
        <w:tabs>
          <w:tab w:val="left" w:pos="2331"/>
          <w:tab w:val="center" w:pos="4745"/>
        </w:tabs>
        <w:spacing w:before="101" w:line="408" w:lineRule="exact"/>
        <w:ind w:left="129"/>
        <w:jc w:val="left"/>
        <w:outlineLvl w:val="9"/>
        <w:rPr>
          <w:rFonts w:hint="eastAsia" w:ascii="宋体" w:hAnsi="宋体" w:eastAsia="宋体" w:cs="宋体"/>
          <w:b/>
          <w:bCs/>
          <w:color w:val="auto"/>
          <w:spacing w:val="8"/>
          <w:sz w:val="24"/>
          <w:szCs w:val="24"/>
          <w:highlight w:val="none"/>
          <w:lang w:val="en-US" w:eastAsia="zh-CN"/>
        </w:rPr>
      </w:pPr>
      <w:bookmarkStart w:id="44" w:name="_Toc237744602"/>
      <w:bookmarkStart w:id="45" w:name="_Toc233435896"/>
      <w:bookmarkStart w:id="46" w:name="_Toc238550049"/>
      <w:bookmarkStart w:id="47" w:name="_Toc233429679"/>
      <w:bookmarkStart w:id="48" w:name="_Toc282787323"/>
      <w:bookmarkStart w:id="49" w:name="_Toc282779392"/>
      <w:bookmarkStart w:id="50" w:name="_Toc288491408"/>
      <w:bookmarkStart w:id="51" w:name="_Toc282778883"/>
      <w:bookmarkStart w:id="52" w:name="_Toc233423169"/>
      <w:bookmarkStart w:id="53" w:name="_Toc235846285"/>
      <w:bookmarkStart w:id="54" w:name="_Toc287853232"/>
      <w:bookmarkStart w:id="55" w:name="_Toc283794080"/>
      <w:bookmarkStart w:id="56" w:name="_Toc237255061"/>
    </w:p>
    <w:p>
      <w:pPr>
        <w:rPr>
          <w:rFonts w:hint="eastAsia" w:ascii="宋体" w:hAnsi="宋体" w:eastAsia="宋体" w:cs="宋体"/>
          <w:b/>
          <w:bCs/>
          <w:color w:val="auto"/>
          <w:spacing w:val="8"/>
          <w:sz w:val="24"/>
          <w:szCs w:val="24"/>
          <w:highlight w:val="none"/>
          <w:lang w:val="en-US" w:eastAsia="zh-CN"/>
        </w:rPr>
      </w:pPr>
    </w:p>
    <w:p>
      <w:pPr>
        <w:rPr>
          <w:rFonts w:hint="eastAsia" w:ascii="宋体" w:hAnsi="宋体" w:eastAsia="宋体" w:cs="宋体"/>
          <w:b/>
          <w:bCs/>
          <w:color w:val="auto"/>
          <w:spacing w:val="8"/>
          <w:sz w:val="24"/>
          <w:szCs w:val="24"/>
          <w:highlight w:val="none"/>
          <w:lang w:val="en-US" w:eastAsia="zh-CN"/>
        </w:rPr>
      </w:pPr>
      <w:r>
        <w:rPr>
          <w:rFonts w:hint="eastAsia" w:ascii="宋体" w:hAnsi="宋体" w:eastAsia="宋体" w:cs="宋体"/>
          <w:b/>
          <w:bCs/>
          <w:color w:val="auto"/>
          <w:spacing w:val="8"/>
          <w:sz w:val="24"/>
          <w:szCs w:val="24"/>
          <w:highlight w:val="none"/>
          <w:lang w:val="en-US" w:eastAsia="zh-CN"/>
        </w:rPr>
        <w:br w:type="page"/>
      </w:r>
    </w:p>
    <w:p>
      <w:pPr>
        <w:tabs>
          <w:tab w:val="left" w:pos="2331"/>
          <w:tab w:val="center" w:pos="4745"/>
        </w:tabs>
        <w:spacing w:before="101" w:line="408" w:lineRule="exact"/>
        <w:ind w:left="129"/>
        <w:jc w:val="left"/>
        <w:outlineLvl w:val="9"/>
        <w:rPr>
          <w:rFonts w:hint="eastAsia" w:ascii="宋体" w:hAnsi="宋体" w:eastAsia="宋体" w:cs="宋体"/>
          <w:b/>
          <w:bCs/>
          <w:color w:val="auto"/>
          <w:spacing w:val="8"/>
          <w:sz w:val="24"/>
          <w:szCs w:val="24"/>
          <w:highlight w:val="none"/>
          <w:lang w:eastAsia="zh-CN"/>
        </w:rPr>
      </w:pPr>
      <w:r>
        <w:rPr>
          <w:rFonts w:hint="eastAsia" w:ascii="宋体" w:hAnsi="宋体" w:eastAsia="宋体" w:cs="宋体"/>
          <w:b/>
          <w:bCs/>
          <w:color w:val="auto"/>
          <w:spacing w:val="8"/>
          <w:sz w:val="24"/>
          <w:szCs w:val="24"/>
          <w:highlight w:val="none"/>
          <w:lang w:val="en-US" w:eastAsia="zh-CN"/>
        </w:rPr>
        <w:t>附录</w:t>
      </w:r>
    </w:p>
    <w:p>
      <w:pPr>
        <w:tabs>
          <w:tab w:val="left" w:pos="2331"/>
          <w:tab w:val="center" w:pos="4745"/>
        </w:tabs>
        <w:spacing w:before="101" w:line="408" w:lineRule="exact"/>
        <w:ind w:left="129"/>
        <w:jc w:val="left"/>
        <w:outlineLvl w:val="9"/>
        <w:rPr>
          <w:rFonts w:hint="eastAsia" w:ascii="宋体" w:hAnsi="宋体" w:eastAsia="宋体" w:cs="宋体"/>
          <w:b/>
          <w:bCs/>
          <w:color w:val="auto"/>
          <w:spacing w:val="8"/>
          <w:sz w:val="24"/>
          <w:szCs w:val="24"/>
          <w:highlight w:val="none"/>
        </w:rPr>
      </w:pPr>
      <w:r>
        <w:rPr>
          <w:rFonts w:hint="eastAsia" w:ascii="宋体" w:hAnsi="宋体" w:eastAsia="宋体" w:cs="宋体"/>
          <w:b/>
          <w:bCs/>
          <w:color w:val="auto"/>
          <w:spacing w:val="8"/>
          <w:sz w:val="24"/>
          <w:szCs w:val="24"/>
          <w:highlight w:val="none"/>
          <w:lang w:eastAsia="zh-CN"/>
        </w:rPr>
        <w:tab/>
      </w:r>
      <w:r>
        <w:rPr>
          <w:rFonts w:hint="eastAsia" w:ascii="宋体" w:hAnsi="宋体" w:eastAsia="宋体" w:cs="宋体"/>
          <w:b/>
          <w:bCs/>
          <w:color w:val="auto"/>
          <w:spacing w:val="8"/>
          <w:sz w:val="24"/>
          <w:szCs w:val="24"/>
          <w:highlight w:val="none"/>
        </w:rPr>
        <w:t>附录1  资格审查条件（资质最低条件）</w:t>
      </w:r>
    </w:p>
    <w:p>
      <w:pPr>
        <w:pStyle w:val="2"/>
        <w:rPr>
          <w:rFonts w:hint="eastAsia" w:ascii="宋体" w:hAnsi="宋体" w:eastAsia="宋体" w:cs="宋体"/>
          <w:color w:val="auto"/>
          <w:highlight w:val="none"/>
        </w:rPr>
      </w:pPr>
    </w:p>
    <w:tbl>
      <w:tblPr>
        <w:tblStyle w:val="18"/>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211"/>
        <w:gridCol w:w="686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2" w:hRule="atLeast"/>
        </w:trPr>
        <w:tc>
          <w:tcPr>
            <w:tcW w:w="2211" w:type="dxa"/>
            <w:tcBorders>
              <w:right w:val="single" w:color="auto" w:sz="4" w:space="0"/>
            </w:tcBorders>
            <w:noWrap w:val="0"/>
            <w:vAlign w:val="center"/>
          </w:tcPr>
          <w:p>
            <w:pPr>
              <w:pStyle w:val="2"/>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 段</w:t>
            </w:r>
          </w:p>
        </w:tc>
        <w:tc>
          <w:tcPr>
            <w:tcW w:w="6860" w:type="dxa"/>
            <w:tcBorders>
              <w:left w:val="single" w:color="auto" w:sz="4" w:space="0"/>
            </w:tcBorders>
            <w:noWrap w:val="0"/>
            <w:vAlign w:val="center"/>
          </w:tcPr>
          <w:p>
            <w:pPr>
              <w:pStyle w:val="2"/>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施工企业</w:t>
            </w:r>
            <w:r>
              <w:rPr>
                <w:rFonts w:hint="eastAsia" w:ascii="宋体" w:hAnsi="宋体" w:cs="宋体"/>
                <w:color w:val="auto"/>
                <w:sz w:val="21"/>
                <w:szCs w:val="21"/>
                <w:highlight w:val="none"/>
                <w:lang w:val="en-US" w:eastAsia="zh-CN"/>
              </w:rPr>
              <w:t>资质</w:t>
            </w:r>
            <w:r>
              <w:rPr>
                <w:rFonts w:hint="eastAsia" w:ascii="宋体" w:hAnsi="宋体" w:eastAsia="宋体" w:cs="宋体"/>
                <w:color w:val="auto"/>
                <w:sz w:val="21"/>
                <w:szCs w:val="21"/>
                <w:highlight w:val="none"/>
              </w:rPr>
              <w:t>等级要求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60" w:hRule="atLeast"/>
        </w:trPr>
        <w:tc>
          <w:tcPr>
            <w:tcW w:w="2211" w:type="dxa"/>
            <w:tcBorders>
              <w:right w:val="single" w:color="auto" w:sz="4" w:space="0"/>
            </w:tcBorders>
            <w:noWrap w:val="0"/>
            <w:vAlign w:val="center"/>
          </w:tcPr>
          <w:p>
            <w:pPr>
              <w:pStyle w:val="2"/>
              <w:ind w:left="0" w:leftChars="0" w:firstLine="0" w:firstLineChars="0"/>
              <w:jc w:val="both"/>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嵊州市三溪水库配套工程（上竹线楼家-三溪段道路改建工程）</w:t>
            </w:r>
          </w:p>
        </w:tc>
        <w:tc>
          <w:tcPr>
            <w:tcW w:w="6860" w:type="dxa"/>
            <w:tcBorders>
              <w:left w:val="single" w:color="auto" w:sz="4" w:space="0"/>
            </w:tcBorders>
            <w:noWrap w:val="0"/>
            <w:vAlign w:val="center"/>
          </w:tcPr>
          <w:p>
            <w:pPr>
              <w:pStyle w:val="2"/>
              <w:ind w:left="0" w:leftChars="0" w:firstLine="0" w:firstLine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投标人应具备</w:t>
            </w:r>
            <w:r>
              <w:rPr>
                <w:rFonts w:hint="eastAsia" w:ascii="宋体" w:hAnsi="宋体" w:eastAsia="宋体" w:cs="宋体"/>
                <w:b/>
                <w:bCs/>
                <w:color w:val="auto"/>
                <w:sz w:val="21"/>
                <w:szCs w:val="21"/>
                <w:highlight w:val="none"/>
                <w:u w:val="single"/>
              </w:rPr>
              <w:t>独立法人资格、</w:t>
            </w:r>
            <w:r>
              <w:rPr>
                <w:rFonts w:hint="eastAsia" w:ascii="宋体" w:hAnsi="宋体" w:eastAsia="宋体" w:cs="宋体"/>
                <w:b/>
                <w:bCs/>
                <w:color w:val="auto"/>
                <w:sz w:val="21"/>
                <w:szCs w:val="21"/>
                <w:highlight w:val="none"/>
                <w:u w:val="single"/>
                <w:lang w:eastAsia="zh-CN"/>
              </w:rPr>
              <w:t>公路工程施工总承包</w:t>
            </w:r>
            <w:r>
              <w:rPr>
                <w:rFonts w:hint="eastAsia" w:ascii="宋体" w:hAnsi="宋体" w:cs="宋体"/>
                <w:b/>
                <w:bCs/>
                <w:color w:val="auto"/>
                <w:sz w:val="21"/>
                <w:szCs w:val="21"/>
                <w:highlight w:val="none"/>
                <w:u w:val="single"/>
                <w:lang w:val="en-US" w:eastAsia="zh-CN"/>
              </w:rPr>
              <w:t>叁级</w:t>
            </w:r>
            <w:r>
              <w:rPr>
                <w:rFonts w:hint="eastAsia" w:ascii="宋体" w:hAnsi="宋体" w:eastAsia="宋体" w:cs="宋体"/>
                <w:b/>
                <w:bCs/>
                <w:color w:val="auto"/>
                <w:sz w:val="21"/>
                <w:szCs w:val="21"/>
                <w:highlight w:val="none"/>
                <w:u w:val="single"/>
                <w:lang w:eastAsia="zh-CN"/>
              </w:rPr>
              <w:t>及以</w:t>
            </w:r>
            <w:r>
              <w:rPr>
                <w:rFonts w:hint="eastAsia" w:ascii="宋体" w:hAnsi="宋体" w:eastAsia="宋体" w:cs="宋体"/>
                <w:color w:val="auto"/>
                <w:sz w:val="21"/>
                <w:szCs w:val="21"/>
                <w:highlight w:val="none"/>
                <w:u w:val="single"/>
                <w:lang w:eastAsia="zh-CN"/>
              </w:rPr>
              <w:t>上</w:t>
            </w:r>
            <w:r>
              <w:rPr>
                <w:rFonts w:hint="eastAsia" w:ascii="宋体" w:hAnsi="宋体" w:eastAsia="宋体" w:cs="宋体"/>
                <w:color w:val="auto"/>
                <w:sz w:val="21"/>
                <w:szCs w:val="21"/>
                <w:highlight w:val="none"/>
              </w:rPr>
              <w:t>资质</w:t>
            </w:r>
            <w:r>
              <w:rPr>
                <w:rFonts w:hint="eastAsia" w:ascii="宋体" w:hAnsi="宋体" w:eastAsia="宋体" w:cs="宋体"/>
                <w:color w:val="auto"/>
                <w:sz w:val="21"/>
                <w:szCs w:val="21"/>
                <w:highlight w:val="none"/>
                <w:lang w:val="en-US" w:eastAsia="zh-CN"/>
              </w:rPr>
              <w:t>;</w:t>
            </w:r>
          </w:p>
        </w:tc>
      </w:tr>
    </w:tbl>
    <w:p>
      <w:pPr>
        <w:pStyle w:val="2"/>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pStyle w:val="2"/>
        <w:ind w:left="0" w:leftChars="0" w:firstLine="0" w:firstLineChars="0"/>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pStyle w:val="2"/>
        <w:ind w:left="0" w:leftChars="0" w:firstLine="0" w:firstLineChars="0"/>
        <w:rPr>
          <w:rFonts w:hint="eastAsia" w:ascii="宋体" w:hAnsi="宋体" w:eastAsia="宋体" w:cs="宋体"/>
          <w:color w:val="auto"/>
          <w:highlight w:val="none"/>
        </w:rPr>
      </w:pPr>
    </w:p>
    <w:p>
      <w:pPr>
        <w:pStyle w:val="2"/>
        <w:ind w:left="0" w:leftChars="0" w:firstLine="0" w:firstLineChars="0"/>
        <w:rPr>
          <w:rFonts w:hint="eastAsia" w:ascii="宋体" w:hAnsi="宋体" w:eastAsia="宋体" w:cs="宋体"/>
          <w:color w:val="auto"/>
          <w:highlight w:val="none"/>
        </w:rPr>
      </w:pPr>
    </w:p>
    <w:p>
      <w:pPr>
        <w:spacing w:before="101" w:line="408" w:lineRule="exact"/>
        <w:jc w:val="center"/>
        <w:outlineLvl w:val="9"/>
        <w:rPr>
          <w:rFonts w:hint="eastAsia" w:ascii="宋体" w:hAnsi="宋体" w:eastAsia="宋体" w:cs="宋体"/>
          <w:b/>
          <w:bCs/>
          <w:color w:val="auto"/>
          <w:spacing w:val="8"/>
          <w:sz w:val="24"/>
          <w:szCs w:val="24"/>
          <w:highlight w:val="none"/>
        </w:rPr>
      </w:pPr>
      <w:r>
        <w:rPr>
          <w:rFonts w:hint="eastAsia" w:ascii="宋体" w:hAnsi="宋体" w:eastAsia="宋体" w:cs="宋体"/>
          <w:b/>
          <w:bCs/>
          <w:color w:val="auto"/>
          <w:spacing w:val="8"/>
          <w:sz w:val="24"/>
          <w:szCs w:val="24"/>
          <w:highlight w:val="none"/>
        </w:rPr>
        <w:t>附录2  资格审查条件（财务最低要求）</w:t>
      </w:r>
    </w:p>
    <w:p>
      <w:pPr>
        <w:pStyle w:val="2"/>
        <w:rPr>
          <w:rFonts w:hint="eastAsia" w:ascii="宋体" w:hAnsi="宋体" w:eastAsia="宋体" w:cs="宋体"/>
          <w:color w:val="auto"/>
          <w:highlight w:val="none"/>
        </w:rPr>
      </w:pPr>
    </w:p>
    <w:tbl>
      <w:tblPr>
        <w:tblStyle w:val="18"/>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85"/>
        <w:gridCol w:w="728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7" w:hRule="atLeast"/>
        </w:trPr>
        <w:tc>
          <w:tcPr>
            <w:tcW w:w="1785" w:type="dxa"/>
            <w:tcBorders>
              <w:top w:val="single" w:color="auto" w:sz="4" w:space="0"/>
              <w:left w:val="single" w:color="auto" w:sz="4" w:space="0"/>
              <w:right w:val="single" w:color="auto" w:sz="4" w:space="0"/>
            </w:tcBorders>
            <w:noWrap w:val="0"/>
            <w:vAlign w:val="center"/>
          </w:tcPr>
          <w:p>
            <w:pPr>
              <w:pStyle w:val="2"/>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 段</w:t>
            </w:r>
          </w:p>
        </w:tc>
        <w:tc>
          <w:tcPr>
            <w:tcW w:w="7286" w:type="dxa"/>
            <w:tcBorders>
              <w:top w:val="single" w:color="auto" w:sz="4" w:space="0"/>
              <w:left w:val="single" w:color="auto" w:sz="4" w:space="0"/>
              <w:right w:val="single" w:color="auto" w:sz="4" w:space="0"/>
            </w:tcBorders>
            <w:noWrap w:val="0"/>
            <w:vAlign w:val="center"/>
          </w:tcPr>
          <w:p>
            <w:pPr>
              <w:pStyle w:val="2"/>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财 务 要 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89" w:hRule="atLeast"/>
        </w:trPr>
        <w:tc>
          <w:tcPr>
            <w:tcW w:w="1785" w:type="dxa"/>
            <w:tcBorders>
              <w:left w:val="single" w:color="auto" w:sz="4" w:space="0"/>
              <w:bottom w:val="single" w:color="auto" w:sz="4" w:space="0"/>
              <w:right w:val="single" w:color="auto" w:sz="4" w:space="0"/>
            </w:tcBorders>
            <w:noWrap w:val="0"/>
            <w:vAlign w:val="center"/>
          </w:tcPr>
          <w:p>
            <w:pPr>
              <w:pStyle w:val="2"/>
              <w:ind w:left="0" w:leftChars="0" w:right="0" w:rightChars="0" w:firstLine="0" w:firstLineChars="0"/>
              <w:jc w:val="both"/>
              <w:rPr>
                <w:rFonts w:hint="eastAsia" w:ascii="宋体" w:hAnsi="宋体" w:eastAsia="宋体" w:cs="宋体"/>
                <w:snapToGrid w:val="0"/>
                <w:color w:val="auto"/>
                <w:kern w:val="0"/>
                <w:sz w:val="21"/>
                <w:szCs w:val="21"/>
                <w:highlight w:val="none"/>
              </w:rPr>
            </w:pPr>
            <w:r>
              <w:rPr>
                <w:rFonts w:hint="eastAsia" w:ascii="宋体" w:hAnsi="宋体" w:cs="宋体"/>
                <w:color w:val="auto"/>
                <w:sz w:val="21"/>
                <w:szCs w:val="21"/>
                <w:highlight w:val="none"/>
                <w:lang w:val="en-US" w:eastAsia="zh-CN"/>
              </w:rPr>
              <w:t>嵊州市三溪水库配套工程（上竹线楼家-三溪段道路改建工程）</w:t>
            </w:r>
          </w:p>
        </w:tc>
        <w:tc>
          <w:tcPr>
            <w:tcW w:w="7286" w:type="dxa"/>
            <w:tcBorders>
              <w:left w:val="single" w:color="auto" w:sz="4" w:space="0"/>
              <w:bottom w:val="single" w:color="auto" w:sz="4" w:space="0"/>
              <w:right w:val="single" w:color="auto" w:sz="4" w:space="0"/>
            </w:tcBorders>
            <w:noWrap w:val="0"/>
            <w:vAlign w:val="center"/>
          </w:tcPr>
          <w:p>
            <w:pPr>
              <w:keepNext w:val="0"/>
              <w:keepLines w:val="0"/>
              <w:pageBreakBefore w:val="0"/>
              <w:kinsoku w:val="0"/>
              <w:wordWrap/>
              <w:overflowPunct/>
              <w:topLinePunct w:val="0"/>
              <w:autoSpaceDE w:val="0"/>
              <w:autoSpaceDN w:val="0"/>
              <w:bidi w:val="0"/>
              <w:adjustRightInd w:val="0"/>
              <w:snapToGrid w:val="0"/>
              <w:spacing w:before="65" w:line="360" w:lineRule="exact"/>
              <w:ind w:right="46"/>
              <w:jc w:val="both"/>
              <w:textAlignment w:val="baseline"/>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承诺提供不少于</w:t>
            </w:r>
            <w:r>
              <w:rPr>
                <w:rFonts w:hint="eastAsia" w:ascii="宋体" w:hAnsi="宋体" w:eastAsia="宋体" w:cs="宋体"/>
                <w:color w:val="auto"/>
                <w:spacing w:val="9"/>
                <w:sz w:val="21"/>
                <w:szCs w:val="21"/>
                <w:highlight w:val="none"/>
                <w:lang w:val="en-US" w:eastAsia="zh-CN"/>
              </w:rPr>
              <w:t xml:space="preserve"> 1800 </w:t>
            </w:r>
            <w:r>
              <w:rPr>
                <w:rFonts w:hint="eastAsia" w:ascii="宋体" w:hAnsi="宋体" w:eastAsia="宋体" w:cs="宋体"/>
                <w:color w:val="auto"/>
                <w:spacing w:val="9"/>
                <w:sz w:val="21"/>
                <w:szCs w:val="21"/>
                <w:highlight w:val="none"/>
              </w:rPr>
              <w:t>万元人民币的流动资金（由投标人自行决定采用银行信贷证明或财务能力承诺书。</w:t>
            </w:r>
            <w:r>
              <w:rPr>
                <w:rFonts w:hint="eastAsia" w:ascii="宋体" w:hAnsi="宋体" w:eastAsia="宋体" w:cs="宋体"/>
                <w:color w:val="auto"/>
                <w:spacing w:val="9"/>
                <w:sz w:val="21"/>
                <w:szCs w:val="21"/>
                <w:highlight w:val="none"/>
                <w:lang w:eastAsia="zh-CN"/>
              </w:rPr>
              <w:t>）</w:t>
            </w:r>
          </w:p>
          <w:p>
            <w:pPr>
              <w:keepNext w:val="0"/>
              <w:keepLines w:val="0"/>
              <w:pageBreakBefore w:val="0"/>
              <w:kinsoku w:val="0"/>
              <w:wordWrap/>
              <w:overflowPunct/>
              <w:topLinePunct w:val="0"/>
              <w:autoSpaceDE w:val="0"/>
              <w:autoSpaceDN w:val="0"/>
              <w:bidi w:val="0"/>
              <w:adjustRightInd w:val="0"/>
              <w:snapToGrid w:val="0"/>
              <w:spacing w:before="65" w:line="360" w:lineRule="exact"/>
              <w:ind w:right="46" w:firstLine="456" w:firstLineChars="200"/>
              <w:jc w:val="both"/>
              <w:textAlignment w:val="baseline"/>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lang w:val="en-US" w:eastAsia="zh-CN"/>
              </w:rPr>
              <w:t>若</w:t>
            </w:r>
            <w:r>
              <w:rPr>
                <w:rFonts w:hint="eastAsia" w:ascii="宋体" w:hAnsi="宋体" w:eastAsia="宋体" w:cs="宋体"/>
                <w:color w:val="auto"/>
                <w:spacing w:val="9"/>
                <w:sz w:val="21"/>
                <w:szCs w:val="21"/>
                <w:highlight w:val="none"/>
              </w:rPr>
              <w:t>采用财务能力承诺书的，应附招标公告发布后银行出具的不少于要求流动资金的银行存款证明。</w:t>
            </w:r>
          </w:p>
          <w:p>
            <w:pPr>
              <w:pStyle w:val="2"/>
              <w:keepNext w:val="0"/>
              <w:keepLines w:val="0"/>
              <w:pageBreakBefore w:val="0"/>
              <w:kinsoku w:val="0"/>
              <w:wordWrap/>
              <w:overflowPunct/>
              <w:topLinePunct w:val="0"/>
              <w:autoSpaceDE w:val="0"/>
              <w:autoSpaceDN w:val="0"/>
              <w:bidi w:val="0"/>
              <w:adjustRightInd w:val="0"/>
              <w:snapToGrid w:val="0"/>
              <w:spacing w:line="360" w:lineRule="exact"/>
              <w:ind w:left="0" w:leftChars="0" w:firstLine="456" w:firstLineChars="20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9"/>
                <w:sz w:val="21"/>
                <w:szCs w:val="21"/>
                <w:highlight w:val="none"/>
              </w:rPr>
              <w:t>若采用银行信贷证明，开具银行信贷证明的银行级别：国有或股份制商业银行县（区、市）级及以上银行。</w:t>
            </w:r>
          </w:p>
        </w:tc>
      </w:tr>
    </w:tbl>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bookmarkEnd w:id="44"/>
    <w:bookmarkEnd w:id="45"/>
    <w:bookmarkEnd w:id="46"/>
    <w:bookmarkEnd w:id="47"/>
    <w:bookmarkEnd w:id="48"/>
    <w:bookmarkEnd w:id="49"/>
    <w:bookmarkEnd w:id="50"/>
    <w:bookmarkEnd w:id="51"/>
    <w:bookmarkEnd w:id="52"/>
    <w:bookmarkEnd w:id="53"/>
    <w:bookmarkEnd w:id="54"/>
    <w:bookmarkEnd w:id="55"/>
    <w:bookmarkEnd w:id="56"/>
    <w:p>
      <w:pPr>
        <w:pStyle w:val="2"/>
        <w:ind w:left="0" w:leftChars="0" w:firstLine="0" w:firstLineChars="0"/>
        <w:rPr>
          <w:rFonts w:hint="eastAsia"/>
          <w:color w:val="auto"/>
          <w:highlight w:val="none"/>
        </w:rPr>
      </w:pPr>
      <w:bookmarkStart w:id="57" w:name="_Toc233429680"/>
      <w:bookmarkStart w:id="58" w:name="_Toc282779393"/>
      <w:bookmarkStart w:id="59" w:name="_Toc282787324"/>
      <w:bookmarkStart w:id="60" w:name="_Toc233435897"/>
      <w:bookmarkStart w:id="61" w:name="_Toc237744603"/>
      <w:bookmarkStart w:id="62" w:name="_Toc288491409"/>
      <w:bookmarkStart w:id="63" w:name="_Toc282778884"/>
      <w:bookmarkStart w:id="64" w:name="_Toc17097"/>
      <w:bookmarkStart w:id="65" w:name="_Toc235846286"/>
      <w:bookmarkStart w:id="66" w:name="_Toc238550050"/>
      <w:bookmarkStart w:id="67" w:name="_Toc287853233"/>
      <w:bookmarkStart w:id="68" w:name="_Toc233423170"/>
      <w:bookmarkStart w:id="69" w:name="_Toc237255062"/>
      <w:bookmarkStart w:id="70" w:name="_Toc283794081"/>
    </w:p>
    <w:p>
      <w:pPr>
        <w:bidi w:val="0"/>
        <w:rPr>
          <w:rFonts w:hint="eastAsia"/>
          <w:color w:val="auto"/>
          <w:highlight w:val="none"/>
        </w:rPr>
      </w:pPr>
    </w:p>
    <w:p>
      <w:pPr>
        <w:tabs>
          <w:tab w:val="left" w:pos="2076"/>
          <w:tab w:val="center" w:pos="4745"/>
        </w:tabs>
        <w:spacing w:before="101" w:line="408" w:lineRule="exact"/>
        <w:jc w:val="center"/>
        <w:outlineLvl w:val="9"/>
        <w:rPr>
          <w:rFonts w:hint="eastAsia" w:asciiTheme="majorEastAsia" w:hAnsiTheme="majorEastAsia" w:eastAsiaTheme="majorEastAsia" w:cstheme="majorEastAsia"/>
          <w:b/>
          <w:bCs/>
          <w:color w:val="auto"/>
          <w:spacing w:val="8"/>
          <w:sz w:val="24"/>
          <w:szCs w:val="24"/>
          <w:highlight w:val="none"/>
        </w:rPr>
      </w:pPr>
      <w:bookmarkStart w:id="71" w:name="_Toc7060"/>
      <w:r>
        <w:rPr>
          <w:rFonts w:hint="eastAsia" w:asciiTheme="majorEastAsia" w:hAnsiTheme="majorEastAsia" w:eastAsiaTheme="majorEastAsia" w:cstheme="majorEastAsia"/>
          <w:b/>
          <w:bCs/>
          <w:color w:val="auto"/>
          <w:spacing w:val="8"/>
          <w:sz w:val="24"/>
          <w:szCs w:val="24"/>
          <w:highlight w:val="none"/>
        </w:rPr>
        <w:t>附录3  资格审查条件（业绩最低要求）</w:t>
      </w:r>
      <w:bookmarkEnd w:id="71"/>
    </w:p>
    <w:p>
      <w:pPr>
        <w:pStyle w:val="2"/>
        <w:rPr>
          <w:rFonts w:hint="eastAsia" w:asciiTheme="majorEastAsia" w:hAnsiTheme="majorEastAsia" w:eastAsiaTheme="majorEastAsia" w:cstheme="majorEastAsia"/>
          <w:color w:val="auto"/>
          <w:highlight w:val="none"/>
          <w:lang w:eastAsia="zh-CN"/>
        </w:rPr>
      </w:pPr>
    </w:p>
    <w:tbl>
      <w:tblPr>
        <w:tblStyle w:val="18"/>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481"/>
        <w:gridCol w:w="659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7" w:hRule="atLeast"/>
        </w:trPr>
        <w:tc>
          <w:tcPr>
            <w:tcW w:w="2481" w:type="dxa"/>
            <w:tcBorders>
              <w:top w:val="single" w:color="auto" w:sz="4" w:space="0"/>
              <w:left w:val="single" w:color="auto" w:sz="4" w:space="0"/>
              <w:right w:val="single" w:color="auto" w:sz="4" w:space="0"/>
            </w:tcBorders>
            <w:noWrap w:val="0"/>
            <w:vAlign w:val="center"/>
          </w:tcPr>
          <w:p>
            <w:pPr>
              <w:pStyle w:val="2"/>
              <w:ind w:left="0" w:leftChars="0" w:firstLine="0" w:firstLineChars="0"/>
              <w:jc w:val="center"/>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标 段</w:t>
            </w:r>
          </w:p>
        </w:tc>
        <w:tc>
          <w:tcPr>
            <w:tcW w:w="6590" w:type="dxa"/>
            <w:tcBorders>
              <w:top w:val="single" w:color="auto" w:sz="4" w:space="0"/>
              <w:left w:val="single" w:color="auto" w:sz="4" w:space="0"/>
              <w:right w:val="single" w:color="auto" w:sz="4" w:space="0"/>
            </w:tcBorders>
            <w:noWrap w:val="0"/>
            <w:vAlign w:val="center"/>
          </w:tcPr>
          <w:p>
            <w:pPr>
              <w:pStyle w:val="2"/>
              <w:ind w:left="0" w:leftChars="0" w:firstLine="0" w:firstLineChars="0"/>
              <w:jc w:val="center"/>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业 绩 要 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74" w:hRule="atLeast"/>
        </w:trPr>
        <w:tc>
          <w:tcPr>
            <w:tcW w:w="2481" w:type="dxa"/>
            <w:tcBorders>
              <w:left w:val="single" w:color="auto" w:sz="4" w:space="0"/>
              <w:bottom w:val="single" w:color="auto" w:sz="4" w:space="0"/>
              <w:right w:val="single" w:color="auto" w:sz="4" w:space="0"/>
            </w:tcBorders>
            <w:noWrap w:val="0"/>
            <w:vAlign w:val="center"/>
          </w:tcPr>
          <w:p>
            <w:pPr>
              <w:pStyle w:val="2"/>
              <w:ind w:left="0" w:leftChars="0" w:right="0" w:rightChars="0" w:firstLine="0" w:firstLineChars="0"/>
              <w:jc w:val="center"/>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嵊州市三溪水库配套工程（上竹线楼家-三溪段道路改建工程）</w:t>
            </w:r>
          </w:p>
        </w:tc>
        <w:tc>
          <w:tcPr>
            <w:tcW w:w="6590" w:type="dxa"/>
            <w:tcBorders>
              <w:left w:val="single" w:color="auto" w:sz="4" w:space="0"/>
              <w:bottom w:val="single" w:color="auto" w:sz="4" w:space="0"/>
              <w:right w:val="single" w:color="auto" w:sz="4" w:space="0"/>
            </w:tcBorders>
            <w:noWrap w:val="0"/>
            <w:vAlign w:val="center"/>
          </w:tcPr>
          <w:p>
            <w:pPr>
              <w:pStyle w:val="2"/>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0" w:firstLineChars="0"/>
              <w:jc w:val="center"/>
              <w:textAlignment w:val="baseline"/>
              <w:rPr>
                <w:rFonts w:hint="default" w:asciiTheme="majorEastAsia" w:hAnsiTheme="majorEastAsia" w:eastAsiaTheme="majorEastAsia" w:cstheme="majorEastAsia"/>
                <w:color w:val="auto"/>
                <w:highlight w:val="none"/>
                <w:lang w:val="en-US" w:eastAsia="zh-CN"/>
              </w:rPr>
            </w:pPr>
            <w:r>
              <w:rPr>
                <w:rFonts w:hint="eastAsia" w:asciiTheme="majorEastAsia" w:hAnsiTheme="majorEastAsia" w:eastAsiaTheme="majorEastAsia" w:cstheme="majorEastAsia"/>
                <w:color w:val="auto"/>
                <w:highlight w:val="none"/>
                <w:lang w:val="en-US" w:eastAsia="zh-CN"/>
              </w:rPr>
              <w:t>/</w:t>
            </w:r>
          </w:p>
        </w:tc>
      </w:tr>
    </w:tbl>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spacing w:before="101" w:line="408" w:lineRule="exact"/>
        <w:jc w:val="center"/>
        <w:outlineLvl w:val="9"/>
        <w:rPr>
          <w:rFonts w:hint="eastAsia" w:asciiTheme="majorEastAsia" w:hAnsiTheme="majorEastAsia" w:eastAsiaTheme="majorEastAsia" w:cstheme="majorEastAsia"/>
          <w:b/>
          <w:bCs/>
          <w:color w:val="auto"/>
          <w:spacing w:val="8"/>
          <w:sz w:val="24"/>
          <w:szCs w:val="24"/>
          <w:highlight w:val="none"/>
        </w:rPr>
      </w:pPr>
      <w:r>
        <w:rPr>
          <w:rFonts w:hint="eastAsia" w:asciiTheme="majorEastAsia" w:hAnsiTheme="majorEastAsia" w:eastAsiaTheme="majorEastAsia" w:cstheme="majorEastAsia"/>
          <w:b/>
          <w:bCs/>
          <w:color w:val="auto"/>
          <w:spacing w:val="8"/>
          <w:sz w:val="24"/>
          <w:szCs w:val="24"/>
          <w:highlight w:val="none"/>
        </w:rPr>
        <w:t>附录</w:t>
      </w:r>
      <w:r>
        <w:rPr>
          <w:rFonts w:hint="eastAsia" w:asciiTheme="majorEastAsia" w:hAnsiTheme="majorEastAsia" w:eastAsiaTheme="majorEastAsia" w:cstheme="majorEastAsia"/>
          <w:b/>
          <w:bCs/>
          <w:color w:val="auto"/>
          <w:spacing w:val="8"/>
          <w:sz w:val="24"/>
          <w:szCs w:val="24"/>
          <w:highlight w:val="none"/>
          <w:lang w:val="en-US" w:eastAsia="zh-CN"/>
        </w:rPr>
        <w:t>4</w:t>
      </w:r>
      <w:r>
        <w:rPr>
          <w:rFonts w:hint="eastAsia" w:asciiTheme="majorEastAsia" w:hAnsiTheme="majorEastAsia" w:eastAsiaTheme="majorEastAsia" w:cstheme="majorEastAsia"/>
          <w:b/>
          <w:bCs/>
          <w:color w:val="auto"/>
          <w:spacing w:val="8"/>
          <w:sz w:val="24"/>
          <w:szCs w:val="24"/>
          <w:highlight w:val="none"/>
        </w:rPr>
        <w:t xml:space="preserve">  资格审查条件 (信誉最低</w:t>
      </w:r>
      <w:r>
        <w:rPr>
          <w:rFonts w:hint="eastAsia" w:asciiTheme="majorEastAsia" w:hAnsiTheme="majorEastAsia" w:eastAsiaTheme="majorEastAsia" w:cstheme="majorEastAsia"/>
          <w:b/>
          <w:bCs/>
          <w:color w:val="auto"/>
          <w:spacing w:val="8"/>
          <w:sz w:val="24"/>
          <w:szCs w:val="24"/>
          <w:highlight w:val="none"/>
          <w:lang w:val="en-US" w:eastAsia="zh-CN"/>
        </w:rPr>
        <w:t>要</w:t>
      </w:r>
      <w:r>
        <w:rPr>
          <w:rFonts w:hint="eastAsia" w:asciiTheme="majorEastAsia" w:hAnsiTheme="majorEastAsia" w:eastAsiaTheme="majorEastAsia" w:cstheme="majorEastAsia"/>
          <w:b/>
          <w:bCs/>
          <w:color w:val="auto"/>
          <w:spacing w:val="8"/>
          <w:sz w:val="24"/>
          <w:szCs w:val="24"/>
          <w:highlight w:val="none"/>
        </w:rPr>
        <w:t>求)</w:t>
      </w:r>
    </w:p>
    <w:p>
      <w:pPr>
        <w:pStyle w:val="2"/>
        <w:rPr>
          <w:rFonts w:hint="eastAsia" w:asciiTheme="majorEastAsia" w:hAnsiTheme="majorEastAsia" w:eastAsiaTheme="majorEastAsia" w:cstheme="majorEastAsia"/>
          <w:color w:val="auto"/>
          <w:highlight w:val="none"/>
        </w:rPr>
      </w:pPr>
    </w:p>
    <w:tbl>
      <w:tblPr>
        <w:tblStyle w:val="18"/>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448"/>
        <w:gridCol w:w="662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7" w:hRule="atLeast"/>
        </w:trPr>
        <w:tc>
          <w:tcPr>
            <w:tcW w:w="2448" w:type="dxa"/>
            <w:tcBorders>
              <w:top w:val="single" w:color="auto" w:sz="4" w:space="0"/>
              <w:left w:val="single" w:color="auto" w:sz="4" w:space="0"/>
              <w:right w:val="single" w:color="auto" w:sz="4" w:space="0"/>
            </w:tcBorders>
            <w:noWrap w:val="0"/>
            <w:vAlign w:val="center"/>
          </w:tcPr>
          <w:p>
            <w:pPr>
              <w:pStyle w:val="2"/>
              <w:ind w:left="0" w:leftChars="0" w:firstLine="0" w:firstLine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标 段</w:t>
            </w:r>
          </w:p>
        </w:tc>
        <w:tc>
          <w:tcPr>
            <w:tcW w:w="6623" w:type="dxa"/>
            <w:tcBorders>
              <w:top w:val="single" w:color="auto" w:sz="4" w:space="0"/>
              <w:left w:val="single" w:color="auto" w:sz="4" w:space="0"/>
              <w:right w:val="single" w:color="auto" w:sz="4" w:space="0"/>
            </w:tcBorders>
            <w:noWrap w:val="0"/>
            <w:vAlign w:val="center"/>
          </w:tcPr>
          <w:p>
            <w:pPr>
              <w:pStyle w:val="2"/>
              <w:ind w:left="0" w:leftChars="0" w:firstLine="0" w:firstLine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信誉</w:t>
            </w:r>
            <w:r>
              <w:rPr>
                <w:rFonts w:hint="eastAsia" w:asciiTheme="majorEastAsia" w:hAnsiTheme="majorEastAsia" w:eastAsiaTheme="majorEastAsia" w:cstheme="majorEastAsia"/>
                <w:color w:val="auto"/>
                <w:sz w:val="21"/>
                <w:szCs w:val="21"/>
                <w:highlight w:val="none"/>
              </w:rPr>
              <w:t xml:space="preserve"> 要 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89" w:hRule="atLeast"/>
        </w:trPr>
        <w:tc>
          <w:tcPr>
            <w:tcW w:w="2448" w:type="dxa"/>
            <w:tcBorders>
              <w:left w:val="single" w:color="auto" w:sz="4" w:space="0"/>
              <w:bottom w:val="single" w:color="auto" w:sz="4" w:space="0"/>
              <w:right w:val="single" w:color="auto" w:sz="4" w:space="0"/>
            </w:tcBorders>
            <w:noWrap w:val="0"/>
            <w:vAlign w:val="center"/>
          </w:tcPr>
          <w:p>
            <w:pPr>
              <w:pStyle w:val="2"/>
              <w:ind w:left="0" w:leftChars="0" w:right="0" w:rightChars="0" w:firstLine="0" w:firstLineChars="0"/>
              <w:jc w:val="both"/>
              <w:rPr>
                <w:rFonts w:hint="eastAsia" w:asciiTheme="majorEastAsia" w:hAnsiTheme="majorEastAsia" w:eastAsiaTheme="majorEastAsia" w:cstheme="majorEastAsia"/>
                <w:snapToGrid w:val="0"/>
                <w:color w:val="auto"/>
                <w:kern w:val="0"/>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嵊州市三溪水库配套工程（上竹线楼家-三溪段道路改建工程）</w:t>
            </w:r>
          </w:p>
        </w:tc>
        <w:tc>
          <w:tcPr>
            <w:tcW w:w="6623" w:type="dxa"/>
            <w:tcBorders>
              <w:left w:val="single" w:color="auto" w:sz="4" w:space="0"/>
              <w:bottom w:val="single" w:color="auto" w:sz="4" w:space="0"/>
              <w:right w:val="single" w:color="auto" w:sz="4" w:space="0"/>
            </w:tcBorders>
            <w:noWrap w:val="0"/>
            <w:vAlign w:val="center"/>
          </w:tcPr>
          <w:p>
            <w:pPr>
              <w:pStyle w:val="2"/>
              <w:keepNext w:val="0"/>
              <w:keepLines w:val="0"/>
              <w:pageBreakBefore w:val="0"/>
              <w:kinsoku w:val="0"/>
              <w:wordWrap/>
              <w:overflowPunct/>
              <w:topLinePunct w:val="0"/>
              <w:autoSpaceDE w:val="0"/>
              <w:autoSpaceDN w:val="0"/>
              <w:bidi w:val="0"/>
              <w:adjustRightInd w:val="0"/>
              <w:snapToGrid w:val="0"/>
              <w:spacing w:line="360" w:lineRule="exact"/>
              <w:ind w:left="0" w:leftChars="0" w:firstLine="0" w:firstLineChars="0"/>
              <w:jc w:val="center"/>
              <w:textAlignment w:val="baseline"/>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highlight w:val="none"/>
              </w:rPr>
              <w:t>不得存在投标人须知第 1.4.3 及 1.4.4 项</w:t>
            </w:r>
            <w:r>
              <w:rPr>
                <w:rFonts w:hint="eastAsia" w:asciiTheme="majorEastAsia" w:hAnsiTheme="majorEastAsia" w:eastAsiaTheme="majorEastAsia" w:cstheme="majorEastAsia"/>
                <w:color w:val="auto"/>
                <w:highlight w:val="none"/>
                <w:lang w:val="en-US" w:eastAsia="zh-CN"/>
              </w:rPr>
              <w:t>情形。</w:t>
            </w:r>
          </w:p>
        </w:tc>
      </w:tr>
    </w:tbl>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bookmarkEnd w:id="57"/>
    <w:bookmarkEnd w:id="58"/>
    <w:bookmarkEnd w:id="59"/>
    <w:bookmarkEnd w:id="60"/>
    <w:bookmarkEnd w:id="61"/>
    <w:bookmarkEnd w:id="62"/>
    <w:bookmarkEnd w:id="63"/>
    <w:bookmarkEnd w:id="64"/>
    <w:bookmarkEnd w:id="65"/>
    <w:bookmarkEnd w:id="66"/>
    <w:bookmarkEnd w:id="67"/>
    <w:bookmarkEnd w:id="68"/>
    <w:bookmarkEnd w:id="69"/>
    <w:bookmarkEnd w:id="70"/>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spacing w:before="101" w:line="408" w:lineRule="exact"/>
        <w:ind w:left="129"/>
        <w:jc w:val="center"/>
        <w:outlineLvl w:val="9"/>
        <w:rPr>
          <w:rFonts w:hint="eastAsia" w:ascii="宋体" w:hAnsi="宋体" w:eastAsia="宋体" w:cs="宋体"/>
          <w:b/>
          <w:bCs/>
          <w:color w:val="auto"/>
          <w:spacing w:val="8"/>
          <w:sz w:val="24"/>
          <w:szCs w:val="24"/>
          <w:highlight w:val="none"/>
        </w:rPr>
      </w:pPr>
      <w:bookmarkStart w:id="72" w:name="_Toc10198"/>
      <w:bookmarkStart w:id="73" w:name="_Toc4673"/>
      <w:bookmarkStart w:id="74" w:name="_Toc11398"/>
    </w:p>
    <w:p>
      <w:pPr>
        <w:spacing w:before="101" w:line="408" w:lineRule="exact"/>
        <w:ind w:left="129"/>
        <w:jc w:val="center"/>
        <w:outlineLvl w:val="9"/>
        <w:rPr>
          <w:rFonts w:hint="eastAsia" w:ascii="宋体" w:hAnsi="宋体" w:eastAsia="宋体" w:cs="宋体"/>
          <w:b/>
          <w:bCs/>
          <w:color w:val="auto"/>
          <w:spacing w:val="8"/>
          <w:sz w:val="24"/>
          <w:szCs w:val="24"/>
          <w:highlight w:val="none"/>
        </w:rPr>
      </w:pPr>
      <w:r>
        <w:rPr>
          <w:rFonts w:hint="eastAsia" w:ascii="宋体" w:hAnsi="宋体" w:eastAsia="宋体" w:cs="宋体"/>
          <w:b/>
          <w:bCs/>
          <w:color w:val="auto"/>
          <w:spacing w:val="8"/>
          <w:sz w:val="24"/>
          <w:szCs w:val="24"/>
          <w:highlight w:val="none"/>
        </w:rPr>
        <w:t>附录5  资格审查条件 (项目经理、项目技术负责人和安全负责人最低要求)</w:t>
      </w:r>
      <w:bookmarkEnd w:id="72"/>
    </w:p>
    <w:p>
      <w:pPr>
        <w:pStyle w:val="2"/>
        <w:rPr>
          <w:rFonts w:hint="eastAsia" w:ascii="宋体" w:hAnsi="宋体" w:eastAsia="宋体" w:cs="宋体"/>
          <w:color w:val="auto"/>
          <w:highlight w:val="none"/>
        </w:rPr>
      </w:pPr>
    </w:p>
    <w:tbl>
      <w:tblPr>
        <w:tblStyle w:val="18"/>
        <w:tblW w:w="9392"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62"/>
        <w:gridCol w:w="857"/>
        <w:gridCol w:w="667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9" w:hRule="atLeast"/>
        </w:trPr>
        <w:tc>
          <w:tcPr>
            <w:tcW w:w="1862" w:type="dxa"/>
            <w:tcBorders>
              <w:top w:val="single" w:color="auto" w:sz="4" w:space="0"/>
              <w:left w:val="single" w:color="auto" w:sz="4" w:space="0"/>
              <w:right w:val="single" w:color="auto" w:sz="4" w:space="0"/>
            </w:tcBorders>
            <w:noWrap w:val="0"/>
            <w:vAlign w:val="center"/>
          </w:tcPr>
          <w:p>
            <w:pPr>
              <w:spacing w:before="120" w:beforeLines="50" w:after="120" w:afterLines="50" w:line="4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人 员</w:t>
            </w:r>
          </w:p>
        </w:tc>
        <w:tc>
          <w:tcPr>
            <w:tcW w:w="857" w:type="dxa"/>
            <w:tcBorders>
              <w:top w:val="single" w:color="auto" w:sz="4" w:space="0"/>
              <w:left w:val="single" w:color="auto" w:sz="4" w:space="0"/>
              <w:right w:val="single" w:color="auto" w:sz="4" w:space="0"/>
            </w:tcBorders>
            <w:noWrap w:val="0"/>
            <w:vAlign w:val="center"/>
          </w:tcPr>
          <w:p>
            <w:pPr>
              <w:spacing w:before="120" w:beforeLines="50" w:after="120" w:afterLines="50" w:line="4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数 量</w:t>
            </w:r>
          </w:p>
        </w:tc>
        <w:tc>
          <w:tcPr>
            <w:tcW w:w="6673"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before="120" w:beforeLines="50" w:after="120" w:afterLines="50" w:line="360" w:lineRule="exact"/>
              <w:jc w:val="center"/>
              <w:textAlignment w:val="baseline"/>
              <w:rPr>
                <w:rFonts w:hint="eastAsia" w:ascii="宋体" w:hAnsi="宋体" w:eastAsia="宋体" w:cs="宋体"/>
                <w:color w:val="auto"/>
                <w:highlight w:val="none"/>
              </w:rPr>
            </w:pPr>
            <w:r>
              <w:rPr>
                <w:rFonts w:hint="eastAsia" w:ascii="宋体" w:hAnsi="宋体" w:eastAsia="宋体" w:cs="宋体"/>
                <w:color w:val="auto"/>
                <w:highlight w:val="none"/>
              </w:rPr>
              <w:t>资 格 要 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862" w:type="dxa"/>
            <w:tcBorders>
              <w:left w:val="single" w:color="auto" w:sz="4" w:space="0"/>
              <w:right w:val="single" w:color="auto" w:sz="4" w:space="0"/>
            </w:tcBorders>
            <w:noWrap w:val="0"/>
            <w:vAlign w:val="center"/>
          </w:tcPr>
          <w:p>
            <w:pPr>
              <w:pageBreakBefore w:val="0"/>
              <w:wordWrap/>
              <w:overflowPunct/>
              <w:topLinePunct w:val="0"/>
              <w:bidi w:val="0"/>
              <w:spacing w:before="65" w:line="400" w:lineRule="exact"/>
              <w:jc w:val="center"/>
              <w:rPr>
                <w:rFonts w:hint="eastAsia" w:ascii="宋体" w:hAnsi="宋体" w:eastAsia="宋体" w:cs="宋体"/>
                <w:color w:val="auto"/>
                <w:highlight w:val="none"/>
              </w:rPr>
            </w:pPr>
            <w:r>
              <w:rPr>
                <w:rFonts w:hint="eastAsia" w:ascii="宋体" w:hAnsi="宋体" w:eastAsia="宋体" w:cs="宋体"/>
                <w:color w:val="auto"/>
                <w:spacing w:val="0"/>
                <w:position w:val="0"/>
                <w:sz w:val="21"/>
                <w:szCs w:val="21"/>
                <w:highlight w:val="none"/>
              </w:rPr>
              <w:t>项目经理</w:t>
            </w:r>
          </w:p>
        </w:tc>
        <w:tc>
          <w:tcPr>
            <w:tcW w:w="857" w:type="dxa"/>
            <w:tcBorders>
              <w:left w:val="single" w:color="auto" w:sz="4" w:space="0"/>
              <w:right w:val="single" w:color="auto" w:sz="4" w:space="0"/>
            </w:tcBorders>
            <w:noWrap w:val="0"/>
            <w:vAlign w:val="center"/>
          </w:tcPr>
          <w:p>
            <w:pPr>
              <w:pageBreakBefore w:val="0"/>
              <w:wordWrap/>
              <w:overflowPunct/>
              <w:topLinePunct w:val="0"/>
              <w:bidi w:val="0"/>
              <w:spacing w:before="57" w:line="400" w:lineRule="exact"/>
              <w:jc w:val="center"/>
              <w:rPr>
                <w:rFonts w:hint="eastAsia" w:ascii="宋体" w:hAnsi="宋体" w:eastAsia="宋体" w:cs="宋体"/>
                <w:color w:val="auto"/>
                <w:highlight w:val="none"/>
              </w:rPr>
            </w:pPr>
            <w:r>
              <w:rPr>
                <w:rFonts w:hint="eastAsia" w:ascii="宋体" w:hAnsi="宋体" w:eastAsia="宋体" w:cs="宋体"/>
                <w:color w:val="auto"/>
                <w:spacing w:val="0"/>
                <w:position w:val="0"/>
                <w:sz w:val="21"/>
                <w:szCs w:val="21"/>
                <w:highlight w:val="none"/>
              </w:rPr>
              <w:t>1</w:t>
            </w:r>
          </w:p>
        </w:tc>
        <w:tc>
          <w:tcPr>
            <w:tcW w:w="6673" w:type="dxa"/>
            <w:tcBorders>
              <w:left w:val="single" w:color="auto" w:sz="4" w:space="0"/>
              <w:right w:val="single" w:color="auto" w:sz="4" w:space="0"/>
            </w:tcBorders>
            <w:noWrap w:val="0"/>
            <w:vAlign w:val="center"/>
          </w:tcPr>
          <w:p>
            <w:pPr>
              <w:keepNext w:val="0"/>
              <w:keepLines w:val="0"/>
              <w:pageBreakBefore w:val="0"/>
              <w:widowControl/>
              <w:numPr>
                <w:ilvl w:val="0"/>
                <w:numId w:val="5"/>
              </w:numPr>
              <w:kinsoku w:val="0"/>
              <w:wordWrap/>
              <w:overflowPunct/>
              <w:topLinePunct w:val="0"/>
              <w:autoSpaceDE w:val="0"/>
              <w:autoSpaceDN w:val="0"/>
              <w:bidi w:val="0"/>
              <w:adjustRightInd w:val="0"/>
              <w:snapToGrid w:val="0"/>
              <w:spacing w:before="28" w:line="360" w:lineRule="exact"/>
              <w:ind w:left="-16" w:leftChars="0" w:right="89" w:firstLine="16" w:firstLineChars="0"/>
              <w:jc w:val="left"/>
              <w:textAlignment w:val="baseline"/>
              <w:rPr>
                <w:rFonts w:hint="eastAsia" w:ascii="宋体" w:hAnsi="宋体" w:eastAsia="宋体" w:cs="宋体"/>
                <w:color w:val="auto"/>
                <w:highlight w:val="none"/>
              </w:rPr>
            </w:pPr>
            <w:r>
              <w:rPr>
                <w:rFonts w:hint="eastAsia" w:ascii="宋体" w:hAnsi="宋体" w:eastAsia="宋体" w:cs="宋体"/>
                <w:color w:val="auto"/>
                <w:highlight w:val="none"/>
              </w:rPr>
              <w:t>有</w:t>
            </w:r>
            <w:r>
              <w:rPr>
                <w:rFonts w:hint="eastAsia" w:ascii="宋体" w:hAnsi="宋体" w:eastAsia="宋体" w:cs="宋体"/>
                <w:color w:val="auto"/>
                <w:highlight w:val="none"/>
                <w:u w:val="none"/>
              </w:rPr>
              <w:t>公路工程专业</w:t>
            </w:r>
            <w:r>
              <w:rPr>
                <w:rFonts w:hint="eastAsia" w:ascii="宋体" w:hAnsi="宋体" w:eastAsia="宋体" w:cs="宋体"/>
                <w:color w:val="auto"/>
                <w:highlight w:val="none"/>
                <w:u w:val="none"/>
                <w:lang w:val="en-US" w:eastAsia="zh-CN"/>
              </w:rPr>
              <w:t>一</w:t>
            </w:r>
            <w:r>
              <w:rPr>
                <w:rFonts w:hint="eastAsia" w:ascii="宋体" w:hAnsi="宋体" w:eastAsia="宋体" w:cs="宋体"/>
                <w:color w:val="auto"/>
                <w:highlight w:val="none"/>
                <w:u w:val="none"/>
              </w:rPr>
              <w:t>级注册建造师证书，</w:t>
            </w:r>
            <w:r>
              <w:rPr>
                <w:rFonts w:hint="eastAsia" w:ascii="宋体" w:hAnsi="宋体" w:eastAsia="宋体" w:cs="宋体"/>
                <w:color w:val="auto"/>
                <w:highlight w:val="none"/>
                <w:u w:val="none"/>
                <w:lang w:val="en-US" w:eastAsia="zh-CN"/>
              </w:rPr>
              <w:t>有</w:t>
            </w:r>
            <w:r>
              <w:rPr>
                <w:rFonts w:hint="eastAsia" w:ascii="宋体" w:hAnsi="宋体" w:eastAsia="宋体" w:cs="宋体"/>
                <w:color w:val="auto"/>
                <w:highlight w:val="none"/>
                <w:u w:val="none"/>
              </w:rPr>
              <w:t>公路工程相关</w:t>
            </w:r>
            <w:r>
              <w:rPr>
                <w:rFonts w:hint="eastAsia" w:ascii="宋体" w:hAnsi="宋体" w:eastAsia="宋体" w:cs="宋体"/>
                <w:color w:val="auto"/>
                <w:highlight w:val="none"/>
                <w:u w:val="none"/>
                <w:lang w:val="en-US" w:eastAsia="zh-CN"/>
              </w:rPr>
              <w:t>专业</w:t>
            </w:r>
            <w:r>
              <w:rPr>
                <w:rFonts w:hint="eastAsia" w:ascii="宋体" w:hAnsi="宋体" w:eastAsia="宋体" w:cs="宋体"/>
                <w:color w:val="auto"/>
                <w:highlight w:val="none"/>
                <w:u w:val="none"/>
              </w:rPr>
              <w:t>中级</w:t>
            </w:r>
            <w:r>
              <w:rPr>
                <w:rFonts w:hint="eastAsia" w:ascii="宋体" w:hAnsi="宋体" w:eastAsia="宋体" w:cs="宋体"/>
                <w:color w:val="auto"/>
                <w:highlight w:val="none"/>
                <w:u w:val="none"/>
                <w:lang w:val="en-US" w:eastAsia="zh-CN"/>
              </w:rPr>
              <w:t>及以上</w:t>
            </w:r>
            <w:r>
              <w:rPr>
                <w:rFonts w:hint="eastAsia" w:ascii="宋体" w:hAnsi="宋体" w:eastAsia="宋体" w:cs="宋体"/>
                <w:color w:val="auto"/>
                <w:highlight w:val="none"/>
              </w:rPr>
              <w:t>技术职称；</w:t>
            </w:r>
          </w:p>
          <w:p>
            <w:pPr>
              <w:keepNext w:val="0"/>
              <w:keepLines w:val="0"/>
              <w:pageBreakBefore w:val="0"/>
              <w:widowControl/>
              <w:numPr>
                <w:ilvl w:val="0"/>
                <w:numId w:val="5"/>
              </w:numPr>
              <w:kinsoku w:val="0"/>
              <w:wordWrap/>
              <w:overflowPunct/>
              <w:topLinePunct w:val="0"/>
              <w:autoSpaceDE w:val="0"/>
              <w:autoSpaceDN w:val="0"/>
              <w:bidi w:val="0"/>
              <w:adjustRightInd w:val="0"/>
              <w:snapToGrid w:val="0"/>
              <w:spacing w:before="28" w:line="360" w:lineRule="exact"/>
              <w:ind w:left="-16" w:leftChars="0" w:right="89" w:firstLine="16" w:firstLineChars="0"/>
              <w:jc w:val="left"/>
              <w:textAlignment w:val="baseline"/>
              <w:rPr>
                <w:rFonts w:hint="eastAsia" w:ascii="宋体" w:hAnsi="宋体" w:eastAsia="宋体" w:cs="宋体"/>
                <w:color w:val="auto"/>
                <w:highlight w:val="none"/>
              </w:rPr>
            </w:pPr>
            <w:r>
              <w:rPr>
                <w:rFonts w:hint="eastAsia" w:ascii="宋体" w:hAnsi="宋体" w:eastAsia="宋体" w:cs="宋体"/>
                <w:color w:val="auto"/>
                <w:highlight w:val="none"/>
              </w:rPr>
              <w:t>有效期内的公路水运施工企业项目负责人安全生产考核合格证书（B 类）；</w:t>
            </w:r>
          </w:p>
          <w:p>
            <w:pPr>
              <w:keepNext w:val="0"/>
              <w:keepLines w:val="0"/>
              <w:pageBreakBefore w:val="0"/>
              <w:widowControl/>
              <w:numPr>
                <w:ilvl w:val="0"/>
                <w:numId w:val="5"/>
              </w:numPr>
              <w:kinsoku w:val="0"/>
              <w:wordWrap/>
              <w:overflowPunct/>
              <w:topLinePunct w:val="0"/>
              <w:autoSpaceDE w:val="0"/>
              <w:autoSpaceDN w:val="0"/>
              <w:bidi w:val="0"/>
              <w:adjustRightInd w:val="0"/>
              <w:snapToGrid w:val="0"/>
              <w:spacing w:before="28" w:line="360" w:lineRule="exact"/>
              <w:ind w:left="-16" w:leftChars="0" w:right="89" w:rightChars="0" w:firstLine="16" w:firstLineChars="0"/>
              <w:jc w:val="left"/>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拟任项目经理投标截止日未在其他在建合同工程中任项目经理</w:t>
            </w:r>
            <w:r>
              <w:rPr>
                <w:rFonts w:hint="eastAsia" w:ascii="宋体" w:hAnsi="宋体" w:eastAsia="宋体" w:cs="宋体"/>
                <w:color w:val="auto"/>
                <w:kern w:val="2"/>
                <w:sz w:val="21"/>
                <w:szCs w:val="21"/>
                <w:highlight w:val="none"/>
              </w:rPr>
              <w:t>（包括设计施工总承包项目中的施工负责人）</w:t>
            </w:r>
            <w:r>
              <w:rPr>
                <w:rFonts w:hint="eastAsia" w:ascii="宋体" w:hAnsi="宋体" w:eastAsia="宋体" w:cs="宋体"/>
                <w:color w:val="auto"/>
                <w:highlight w:val="none"/>
                <w:lang w:eastAsia="zh-CN"/>
              </w:rPr>
              <w:t>；</w:t>
            </w:r>
          </w:p>
          <w:p>
            <w:pPr>
              <w:keepNext w:val="0"/>
              <w:keepLines w:val="0"/>
              <w:pageBreakBefore w:val="0"/>
              <w:widowControl/>
              <w:numPr>
                <w:ilvl w:val="0"/>
                <w:numId w:val="5"/>
              </w:numPr>
              <w:kinsoku w:val="0"/>
              <w:wordWrap/>
              <w:overflowPunct/>
              <w:topLinePunct w:val="0"/>
              <w:autoSpaceDE w:val="0"/>
              <w:autoSpaceDN w:val="0"/>
              <w:bidi w:val="0"/>
              <w:adjustRightInd w:val="0"/>
              <w:snapToGrid w:val="0"/>
              <w:spacing w:before="28" w:line="360" w:lineRule="exact"/>
              <w:ind w:left="-16" w:leftChars="0" w:right="89" w:rightChars="0" w:firstLine="16" w:firstLineChars="0"/>
              <w:jc w:val="left"/>
              <w:textAlignment w:val="baseline"/>
              <w:rPr>
                <w:rFonts w:hint="eastAsia" w:ascii="宋体" w:hAnsi="宋体" w:eastAsia="宋体" w:cs="宋体"/>
                <w:color w:val="auto"/>
                <w:highlight w:val="none"/>
                <w:lang w:val="en-US" w:eastAsia="zh-CN"/>
              </w:rPr>
            </w:pPr>
            <w:r>
              <w:rPr>
                <w:rFonts w:hint="eastAsia" w:ascii="宋体" w:hAnsi="宋体" w:eastAsia="宋体" w:cs="宋体"/>
                <w:b/>
                <w:bCs/>
                <w:snapToGrid w:val="0"/>
                <w:color w:val="auto"/>
                <w:kern w:val="0"/>
                <w:sz w:val="21"/>
                <w:szCs w:val="21"/>
                <w:highlight w:val="none"/>
                <w:lang w:val="en-US" w:eastAsia="zh-CN"/>
              </w:rPr>
              <w:t>须提供开标前六个月投标申请人所属社保机构养老保险缴纳清单和证明。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25" w:hRule="atLeast"/>
        </w:trPr>
        <w:tc>
          <w:tcPr>
            <w:tcW w:w="1862" w:type="dxa"/>
            <w:tcBorders>
              <w:left w:val="single" w:color="auto" w:sz="4" w:space="0"/>
              <w:right w:val="single" w:color="auto" w:sz="4" w:space="0"/>
            </w:tcBorders>
            <w:noWrap w:val="0"/>
            <w:vAlign w:val="center"/>
          </w:tcPr>
          <w:p>
            <w:pPr>
              <w:pageBreakBefore w:val="0"/>
              <w:wordWrap/>
              <w:overflowPunct/>
              <w:topLinePunct w:val="0"/>
              <w:bidi w:val="0"/>
              <w:spacing w:before="65" w:line="400" w:lineRule="exact"/>
              <w:jc w:val="center"/>
              <w:rPr>
                <w:rFonts w:hint="eastAsia" w:ascii="宋体" w:hAnsi="宋体" w:eastAsia="宋体" w:cs="宋体"/>
                <w:color w:val="auto"/>
                <w:highlight w:val="none"/>
              </w:rPr>
            </w:pPr>
            <w:r>
              <w:rPr>
                <w:rFonts w:hint="eastAsia" w:ascii="宋体" w:hAnsi="宋体" w:eastAsia="宋体" w:cs="宋体"/>
                <w:color w:val="auto"/>
                <w:spacing w:val="0"/>
                <w:position w:val="0"/>
                <w:sz w:val="21"/>
                <w:szCs w:val="21"/>
                <w:highlight w:val="none"/>
              </w:rPr>
              <w:t>项目技术负责人</w:t>
            </w:r>
          </w:p>
        </w:tc>
        <w:tc>
          <w:tcPr>
            <w:tcW w:w="857" w:type="dxa"/>
            <w:tcBorders>
              <w:left w:val="single" w:color="auto" w:sz="4" w:space="0"/>
              <w:right w:val="single" w:color="auto" w:sz="4" w:space="0"/>
            </w:tcBorders>
            <w:noWrap w:val="0"/>
            <w:vAlign w:val="center"/>
          </w:tcPr>
          <w:p>
            <w:pPr>
              <w:pageBreakBefore w:val="0"/>
              <w:wordWrap/>
              <w:overflowPunct/>
              <w:topLinePunct w:val="0"/>
              <w:bidi w:val="0"/>
              <w:spacing w:before="57" w:line="400" w:lineRule="exact"/>
              <w:jc w:val="center"/>
              <w:rPr>
                <w:rFonts w:hint="eastAsia" w:ascii="宋体" w:hAnsi="宋体" w:eastAsia="宋体" w:cs="宋体"/>
                <w:color w:val="auto"/>
                <w:highlight w:val="none"/>
              </w:rPr>
            </w:pPr>
            <w:r>
              <w:rPr>
                <w:rFonts w:hint="eastAsia" w:ascii="宋体" w:hAnsi="宋体" w:eastAsia="宋体" w:cs="宋体"/>
                <w:color w:val="auto"/>
                <w:spacing w:val="0"/>
                <w:position w:val="0"/>
                <w:sz w:val="21"/>
                <w:szCs w:val="21"/>
                <w:highlight w:val="none"/>
              </w:rPr>
              <w:t>1</w:t>
            </w:r>
          </w:p>
        </w:tc>
        <w:tc>
          <w:tcPr>
            <w:tcW w:w="6673" w:type="dxa"/>
            <w:tcBorders>
              <w:left w:val="single" w:color="auto" w:sz="4" w:space="0"/>
              <w:right w:val="single" w:color="auto" w:sz="4" w:space="0"/>
            </w:tcBorders>
            <w:noWrap w:val="0"/>
            <w:vAlign w:val="center"/>
          </w:tcPr>
          <w:p>
            <w:pPr>
              <w:keepNext w:val="0"/>
              <w:keepLines w:val="0"/>
              <w:pageBreakBefore w:val="0"/>
              <w:widowControl/>
              <w:numPr>
                <w:ilvl w:val="0"/>
                <w:numId w:val="6"/>
              </w:numPr>
              <w:kinsoku w:val="0"/>
              <w:wordWrap/>
              <w:overflowPunct/>
              <w:topLinePunct w:val="0"/>
              <w:autoSpaceDE w:val="0"/>
              <w:autoSpaceDN w:val="0"/>
              <w:bidi w:val="0"/>
              <w:adjustRightInd w:val="0"/>
              <w:snapToGrid w:val="0"/>
              <w:spacing w:before="35" w:line="360" w:lineRule="exact"/>
              <w:ind w:left="106" w:leftChars="0" w:right="99" w:rightChars="0" w:firstLine="14" w:firstLineChars="0"/>
              <w:jc w:val="left"/>
              <w:textAlignment w:val="baseline"/>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曾担任过一个新建公路大桥施工业绩的项目经理（或项目副经理或技术负责人或EPC项目的施工负责人），具</w:t>
            </w:r>
            <w:r>
              <w:rPr>
                <w:rFonts w:hint="eastAsia" w:ascii="宋体" w:hAnsi="宋体" w:eastAsia="宋体" w:cs="宋体"/>
                <w:color w:val="auto"/>
                <w:highlight w:val="none"/>
              </w:rPr>
              <w:t>有公路工程相关</w:t>
            </w:r>
            <w:r>
              <w:rPr>
                <w:rFonts w:hint="eastAsia" w:ascii="宋体" w:hAnsi="宋体" w:eastAsia="宋体" w:cs="宋体"/>
                <w:color w:val="auto"/>
                <w:highlight w:val="none"/>
                <w:lang w:val="en-US" w:eastAsia="zh-CN"/>
              </w:rPr>
              <w:t>专业高</w:t>
            </w:r>
            <w:r>
              <w:rPr>
                <w:rFonts w:hint="eastAsia" w:ascii="宋体" w:hAnsi="宋体" w:eastAsia="宋体" w:cs="宋体"/>
                <w:color w:val="auto"/>
                <w:highlight w:val="none"/>
              </w:rPr>
              <w:t>级</w:t>
            </w:r>
            <w:r>
              <w:rPr>
                <w:rFonts w:hint="eastAsia" w:ascii="宋体" w:hAnsi="宋体" w:eastAsia="宋体" w:cs="宋体"/>
                <w:color w:val="auto"/>
                <w:highlight w:val="none"/>
                <w:lang w:val="en-US" w:eastAsia="zh-CN"/>
              </w:rPr>
              <w:t>及以上</w:t>
            </w:r>
            <w:r>
              <w:rPr>
                <w:rFonts w:hint="eastAsia" w:ascii="宋体" w:hAnsi="宋体" w:eastAsia="宋体" w:cs="宋体"/>
                <w:color w:val="auto"/>
                <w:highlight w:val="none"/>
              </w:rPr>
              <w:t xml:space="preserve">技术职称；                                  </w:t>
            </w:r>
          </w:p>
          <w:p>
            <w:pPr>
              <w:keepNext w:val="0"/>
              <w:keepLines w:val="0"/>
              <w:pageBreakBefore w:val="0"/>
              <w:widowControl/>
              <w:numPr>
                <w:ilvl w:val="0"/>
                <w:numId w:val="6"/>
              </w:numPr>
              <w:kinsoku w:val="0"/>
              <w:wordWrap/>
              <w:overflowPunct/>
              <w:topLinePunct w:val="0"/>
              <w:autoSpaceDE w:val="0"/>
              <w:autoSpaceDN w:val="0"/>
              <w:bidi w:val="0"/>
              <w:adjustRightInd w:val="0"/>
              <w:snapToGrid w:val="0"/>
              <w:spacing w:before="35" w:line="360" w:lineRule="exact"/>
              <w:ind w:left="106" w:leftChars="0" w:right="99" w:rightChars="0" w:firstLine="14" w:firstLineChars="0"/>
              <w:jc w:val="left"/>
              <w:textAlignment w:val="baseline"/>
              <w:rPr>
                <w:rFonts w:hint="eastAsia" w:ascii="宋体" w:hAnsi="宋体" w:eastAsia="宋体" w:cs="宋体"/>
                <w:color w:val="auto"/>
                <w:highlight w:val="none"/>
              </w:rPr>
            </w:pPr>
            <w:r>
              <w:rPr>
                <w:rFonts w:hint="eastAsia" w:ascii="宋体" w:hAnsi="宋体" w:eastAsia="宋体" w:cs="宋体"/>
                <w:color w:val="auto"/>
                <w:highlight w:val="none"/>
              </w:rPr>
              <w:t xml:space="preserve">有效期内的公路水运施工企业项目负责人安全生产考核合格证书 (B 类)。 </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35" w:line="360" w:lineRule="exact"/>
              <w:ind w:left="120" w:leftChars="0" w:right="99" w:rightChars="0"/>
              <w:jc w:val="left"/>
              <w:textAlignment w:val="baseline"/>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b/>
                <w:bCs/>
                <w:color w:val="auto"/>
                <w:highlight w:val="none"/>
                <w:lang w:val="en-US" w:eastAsia="zh-CN"/>
              </w:rPr>
              <w:t>须提供开标前六个月投标申请人所属社保机构养老保险缴纳清单和证明。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84" w:hRule="atLeast"/>
        </w:trPr>
        <w:tc>
          <w:tcPr>
            <w:tcW w:w="1862" w:type="dxa"/>
            <w:tcBorders>
              <w:left w:val="single" w:color="auto" w:sz="4" w:space="0"/>
              <w:bottom w:val="single" w:color="auto" w:sz="4" w:space="0"/>
              <w:right w:val="single" w:color="auto" w:sz="4" w:space="0"/>
            </w:tcBorders>
            <w:noWrap w:val="0"/>
            <w:vAlign w:val="center"/>
          </w:tcPr>
          <w:p>
            <w:pPr>
              <w:pageBreakBefore w:val="0"/>
              <w:wordWrap/>
              <w:overflowPunct/>
              <w:topLinePunct w:val="0"/>
              <w:bidi w:val="0"/>
              <w:spacing w:before="239" w:line="400" w:lineRule="exact"/>
              <w:jc w:val="center"/>
              <w:rPr>
                <w:rFonts w:hint="eastAsia" w:ascii="宋体" w:hAnsi="宋体" w:eastAsia="宋体" w:cs="宋体"/>
                <w:color w:val="auto"/>
                <w:highlight w:val="none"/>
              </w:rPr>
            </w:pPr>
            <w:r>
              <w:rPr>
                <w:rFonts w:hint="eastAsia" w:ascii="宋体" w:hAnsi="宋体" w:eastAsia="宋体" w:cs="宋体"/>
                <w:color w:val="auto"/>
                <w:spacing w:val="0"/>
                <w:position w:val="0"/>
                <w:sz w:val="21"/>
                <w:szCs w:val="21"/>
                <w:highlight w:val="none"/>
              </w:rPr>
              <w:t>安全负责人</w:t>
            </w:r>
          </w:p>
        </w:tc>
        <w:tc>
          <w:tcPr>
            <w:tcW w:w="857" w:type="dxa"/>
            <w:tcBorders>
              <w:left w:val="single" w:color="auto" w:sz="4" w:space="0"/>
              <w:bottom w:val="single" w:color="auto" w:sz="4" w:space="0"/>
              <w:right w:val="single" w:color="auto" w:sz="4" w:space="0"/>
            </w:tcBorders>
            <w:noWrap w:val="0"/>
            <w:vAlign w:val="center"/>
          </w:tcPr>
          <w:p>
            <w:pPr>
              <w:pageBreakBefore w:val="0"/>
              <w:wordWrap/>
              <w:overflowPunct/>
              <w:topLinePunct w:val="0"/>
              <w:bidi w:val="0"/>
              <w:spacing w:before="288" w:line="400" w:lineRule="exact"/>
              <w:jc w:val="center"/>
              <w:rPr>
                <w:rFonts w:hint="eastAsia" w:ascii="宋体" w:hAnsi="宋体" w:eastAsia="宋体" w:cs="宋体"/>
                <w:color w:val="auto"/>
                <w:highlight w:val="none"/>
              </w:rPr>
            </w:pPr>
            <w:r>
              <w:rPr>
                <w:rFonts w:hint="eastAsia" w:ascii="宋体" w:hAnsi="宋体" w:eastAsia="宋体" w:cs="宋体"/>
                <w:color w:val="auto"/>
                <w:spacing w:val="0"/>
                <w:position w:val="0"/>
                <w:sz w:val="21"/>
                <w:szCs w:val="21"/>
                <w:highlight w:val="none"/>
              </w:rPr>
              <w:t>1</w:t>
            </w:r>
          </w:p>
        </w:tc>
        <w:tc>
          <w:tcPr>
            <w:tcW w:w="6673" w:type="dxa"/>
            <w:tcBorders>
              <w:left w:val="single" w:color="auto" w:sz="4" w:space="0"/>
              <w:bottom w:val="single" w:color="auto" w:sz="4" w:space="0"/>
              <w:right w:val="single" w:color="auto" w:sz="4" w:space="0"/>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before="4" w:line="360" w:lineRule="exact"/>
              <w:ind w:left="106" w:leftChars="0" w:right="99" w:rightChars="0" w:hanging="1" w:firstLineChars="0"/>
              <w:jc w:val="left"/>
              <w:textAlignment w:val="baseline"/>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有效期内的公路水运施工企业专职安全生产管理人员安全生产考核合格证书 (C 类)。</w:t>
            </w:r>
          </w:p>
          <w:p>
            <w:pPr>
              <w:keepNext w:val="0"/>
              <w:keepLines w:val="0"/>
              <w:pageBreakBefore w:val="0"/>
              <w:widowControl/>
              <w:kinsoku w:val="0"/>
              <w:wordWrap/>
              <w:overflowPunct/>
              <w:topLinePunct w:val="0"/>
              <w:autoSpaceDE w:val="0"/>
              <w:autoSpaceDN w:val="0"/>
              <w:bidi w:val="0"/>
              <w:adjustRightInd w:val="0"/>
              <w:snapToGrid w:val="0"/>
              <w:spacing w:before="4" w:line="360" w:lineRule="exact"/>
              <w:ind w:left="106" w:leftChars="0" w:right="99" w:rightChars="0" w:hanging="1" w:firstLineChars="0"/>
              <w:jc w:val="left"/>
              <w:textAlignment w:val="baseline"/>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b/>
                <w:bCs/>
                <w:color w:val="auto"/>
                <w:highlight w:val="none"/>
                <w:lang w:val="en-US" w:eastAsia="zh-CN"/>
              </w:rPr>
              <w:t>须提供开标前六个月投标申请人所属社保机构养老保险缴纳清单和证明。</w:t>
            </w:r>
          </w:p>
        </w:tc>
      </w:tr>
    </w:tbl>
    <w:p>
      <w:pPr>
        <w:keepNext w:val="0"/>
        <w:keepLines w:val="0"/>
        <w:pageBreakBefore w:val="0"/>
        <w:widowControl/>
        <w:kinsoku w:val="0"/>
        <w:wordWrap/>
        <w:overflowPunct/>
        <w:topLinePunct w:val="0"/>
        <w:autoSpaceDE w:val="0"/>
        <w:autoSpaceDN w:val="0"/>
        <w:bidi w:val="0"/>
        <w:adjustRightInd w:val="0"/>
        <w:snapToGrid w:val="0"/>
        <w:spacing w:before="30" w:line="360" w:lineRule="exact"/>
        <w:ind w:right="105" w:firstLine="422" w:firstLineChars="200"/>
        <w:jc w:val="left"/>
        <w:textAlignment w:val="baseline"/>
        <w:outlineLvl w:val="9"/>
        <w:rPr>
          <w:rFonts w:hint="eastAsia" w:ascii="宋体" w:hAnsi="宋体" w:eastAsia="宋体" w:cs="宋体"/>
          <w:color w:val="auto"/>
          <w:spacing w:val="0"/>
          <w:position w:val="0"/>
          <w:sz w:val="21"/>
          <w:szCs w:val="21"/>
          <w:highlight w:val="none"/>
          <w:lang w:val="en-US" w:eastAsia="zh-CN"/>
        </w:rPr>
      </w:pPr>
      <w:r>
        <w:rPr>
          <w:rFonts w:hint="eastAsia" w:ascii="宋体" w:hAnsi="宋体" w:eastAsia="宋体" w:cs="宋体"/>
          <w:b/>
          <w:bCs/>
          <w:color w:val="auto"/>
          <w:spacing w:val="0"/>
          <w:position w:val="0"/>
          <w:sz w:val="21"/>
          <w:szCs w:val="21"/>
          <w:highlight w:val="none"/>
          <w:lang w:val="en-US" w:eastAsia="zh-CN"/>
        </w:rPr>
        <w:t>注：</w:t>
      </w:r>
      <w:r>
        <w:rPr>
          <w:rFonts w:hint="eastAsia" w:ascii="宋体" w:hAnsi="宋体" w:eastAsia="宋体" w:cs="宋体"/>
          <w:color w:val="auto"/>
          <w:spacing w:val="0"/>
          <w:position w:val="0"/>
          <w:sz w:val="21"/>
          <w:szCs w:val="21"/>
          <w:highlight w:val="none"/>
          <w:lang w:val="en-US" w:eastAsia="zh-CN"/>
        </w:rPr>
        <w:t>1</w:t>
      </w:r>
      <w:r>
        <w:rPr>
          <w:rFonts w:hint="eastAsia" w:ascii="宋体" w:hAnsi="宋体" w:eastAsia="宋体" w:cs="宋体"/>
          <w:color w:val="auto"/>
          <w:spacing w:val="0"/>
          <w:position w:val="0"/>
          <w:sz w:val="21"/>
          <w:szCs w:val="21"/>
          <w:highlight w:val="none"/>
          <w:lang w:val="en-US" w:eastAsia="zh-Hans"/>
        </w:rPr>
        <w:t>.</w:t>
      </w:r>
      <w:r>
        <w:rPr>
          <w:rFonts w:hint="eastAsia" w:ascii="宋体" w:hAnsi="宋体" w:eastAsia="宋体" w:cs="宋体"/>
          <w:color w:val="auto"/>
          <w:spacing w:val="0"/>
          <w:position w:val="0"/>
          <w:sz w:val="21"/>
          <w:szCs w:val="21"/>
          <w:highlight w:val="none"/>
          <w:lang w:val="en-US" w:eastAsia="zh-CN"/>
        </w:rPr>
        <w:t>在建合同工程的开始时间为该合同工程中标通知书发出之日（不通过招标方式的，开始时间为合同签订之日)，结束时间为该合同工程通过交工验收或合同解除之日。</w:t>
      </w:r>
    </w:p>
    <w:p>
      <w:pPr>
        <w:keepNext w:val="0"/>
        <w:keepLines w:val="0"/>
        <w:pageBreakBefore w:val="0"/>
        <w:widowControl/>
        <w:kinsoku w:val="0"/>
        <w:wordWrap/>
        <w:overflowPunct/>
        <w:topLinePunct w:val="0"/>
        <w:autoSpaceDE w:val="0"/>
        <w:autoSpaceDN w:val="0"/>
        <w:bidi w:val="0"/>
        <w:adjustRightInd w:val="0"/>
        <w:snapToGrid w:val="0"/>
        <w:spacing w:before="30" w:line="360" w:lineRule="exact"/>
        <w:ind w:right="105" w:firstLine="420" w:firstLineChars="200"/>
        <w:jc w:val="left"/>
        <w:textAlignment w:val="baseline"/>
        <w:outlineLvl w:val="9"/>
        <w:rPr>
          <w:rFonts w:hint="eastAsia" w:ascii="宋体" w:hAnsi="宋体" w:eastAsia="宋体" w:cs="宋体"/>
          <w:color w:val="auto"/>
          <w:spacing w:val="0"/>
          <w:position w:val="0"/>
          <w:sz w:val="21"/>
          <w:szCs w:val="21"/>
          <w:highlight w:val="none"/>
          <w:lang w:val="en-US" w:eastAsia="zh-CN"/>
        </w:rPr>
      </w:pPr>
      <w:bookmarkStart w:id="75" w:name="_Toc12114"/>
      <w:r>
        <w:rPr>
          <w:rFonts w:hint="eastAsia" w:ascii="宋体" w:hAnsi="宋体" w:eastAsia="宋体" w:cs="宋体"/>
          <w:color w:val="auto"/>
          <w:spacing w:val="0"/>
          <w:position w:val="0"/>
          <w:sz w:val="21"/>
          <w:szCs w:val="21"/>
          <w:highlight w:val="none"/>
          <w:lang w:val="en-US" w:eastAsia="zh-CN"/>
        </w:rPr>
        <w:t>2.拟委任项目经理是否有“在建合同工程”按以下原则认定：</w:t>
      </w:r>
      <w:bookmarkEnd w:id="75"/>
    </w:p>
    <w:p>
      <w:pPr>
        <w:keepNext w:val="0"/>
        <w:keepLines w:val="0"/>
        <w:pageBreakBefore w:val="0"/>
        <w:widowControl/>
        <w:kinsoku w:val="0"/>
        <w:wordWrap/>
        <w:overflowPunct/>
        <w:topLinePunct w:val="0"/>
        <w:autoSpaceDE w:val="0"/>
        <w:autoSpaceDN w:val="0"/>
        <w:bidi w:val="0"/>
        <w:adjustRightInd w:val="0"/>
        <w:snapToGrid w:val="0"/>
        <w:spacing w:before="30" w:line="360" w:lineRule="exact"/>
        <w:ind w:right="105" w:firstLine="420" w:firstLineChars="200"/>
        <w:jc w:val="left"/>
        <w:textAlignment w:val="baseline"/>
        <w:outlineLvl w:val="9"/>
        <w:rPr>
          <w:rFonts w:hint="eastAsia" w:ascii="宋体" w:hAnsi="宋体" w:eastAsia="宋体" w:cs="宋体"/>
          <w:color w:val="auto"/>
          <w:spacing w:val="0"/>
          <w:position w:val="0"/>
          <w:sz w:val="21"/>
          <w:szCs w:val="21"/>
          <w:highlight w:val="none"/>
          <w:lang w:val="en-US" w:eastAsia="zh-CN"/>
        </w:rPr>
      </w:pPr>
      <w:r>
        <w:rPr>
          <w:rFonts w:hint="eastAsia" w:ascii="宋体" w:hAnsi="宋体" w:eastAsia="宋体" w:cs="宋体"/>
          <w:color w:val="auto"/>
          <w:spacing w:val="0"/>
          <w:position w:val="0"/>
          <w:sz w:val="21"/>
          <w:szCs w:val="21"/>
          <w:highlight w:val="none"/>
          <w:lang w:val="en-US" w:eastAsia="zh-CN"/>
        </w:rPr>
        <w:t>(1).若该合同工程协议书尚未签订，则其中标通知书中明确的项目经理和备选项目经理均视为有“在建合同工程”；</w:t>
      </w:r>
    </w:p>
    <w:p>
      <w:pPr>
        <w:keepNext w:val="0"/>
        <w:keepLines w:val="0"/>
        <w:pageBreakBefore w:val="0"/>
        <w:widowControl/>
        <w:kinsoku w:val="0"/>
        <w:wordWrap/>
        <w:overflowPunct/>
        <w:topLinePunct w:val="0"/>
        <w:autoSpaceDE w:val="0"/>
        <w:autoSpaceDN w:val="0"/>
        <w:bidi w:val="0"/>
        <w:adjustRightInd w:val="0"/>
        <w:snapToGrid w:val="0"/>
        <w:spacing w:before="30" w:line="360" w:lineRule="exact"/>
        <w:ind w:right="105" w:firstLine="420" w:firstLineChars="200"/>
        <w:jc w:val="left"/>
        <w:textAlignment w:val="baseline"/>
        <w:outlineLvl w:val="9"/>
        <w:rPr>
          <w:rFonts w:hint="eastAsia" w:ascii="宋体" w:hAnsi="宋体" w:eastAsia="宋体" w:cs="宋体"/>
          <w:color w:val="auto"/>
          <w:spacing w:val="0"/>
          <w:position w:val="0"/>
          <w:sz w:val="21"/>
          <w:szCs w:val="21"/>
          <w:highlight w:val="none"/>
          <w:lang w:val="en-US" w:eastAsia="zh-CN"/>
        </w:rPr>
      </w:pPr>
      <w:r>
        <w:rPr>
          <w:rFonts w:hint="eastAsia" w:ascii="宋体" w:hAnsi="宋体" w:eastAsia="宋体" w:cs="宋体"/>
          <w:color w:val="auto"/>
          <w:spacing w:val="0"/>
          <w:position w:val="0"/>
          <w:sz w:val="21"/>
          <w:szCs w:val="21"/>
          <w:highlight w:val="none"/>
          <w:lang w:val="en-US" w:eastAsia="zh-CN"/>
        </w:rPr>
        <w:t>(2).若该合同工程协议书已签订的，则仅合同协议书中明确的项目经理视为有“在建合同工程”。</w:t>
      </w:r>
    </w:p>
    <w:p>
      <w:pPr>
        <w:keepNext w:val="0"/>
        <w:keepLines w:val="0"/>
        <w:pageBreakBefore w:val="0"/>
        <w:widowControl/>
        <w:kinsoku w:val="0"/>
        <w:wordWrap/>
        <w:overflowPunct/>
        <w:topLinePunct w:val="0"/>
        <w:autoSpaceDE w:val="0"/>
        <w:autoSpaceDN w:val="0"/>
        <w:bidi w:val="0"/>
        <w:adjustRightInd w:val="0"/>
        <w:snapToGrid w:val="0"/>
        <w:spacing w:before="30" w:line="360" w:lineRule="exact"/>
        <w:ind w:right="105" w:firstLine="420" w:firstLineChars="200"/>
        <w:jc w:val="left"/>
        <w:textAlignment w:val="baseline"/>
        <w:outlineLvl w:val="9"/>
        <w:rPr>
          <w:rFonts w:hint="eastAsia" w:ascii="宋体" w:hAnsi="宋体" w:eastAsia="宋体" w:cs="宋体"/>
          <w:color w:val="auto"/>
          <w:spacing w:val="0"/>
          <w:position w:val="0"/>
          <w:sz w:val="21"/>
          <w:szCs w:val="21"/>
          <w:highlight w:val="none"/>
          <w:lang w:val="en-US" w:eastAsia="zh-CN"/>
        </w:rPr>
      </w:pPr>
      <w:r>
        <w:rPr>
          <w:rFonts w:hint="eastAsia" w:ascii="宋体" w:hAnsi="宋体" w:eastAsia="宋体" w:cs="宋体"/>
          <w:color w:val="auto"/>
          <w:spacing w:val="0"/>
          <w:position w:val="0"/>
          <w:sz w:val="21"/>
          <w:szCs w:val="21"/>
          <w:highlight w:val="none"/>
          <w:lang w:val="en-US" w:eastAsia="zh-CN"/>
        </w:rPr>
        <w:t>(3).该合同工程未通过验收或合同解除前，合同协议书中明确的项目经理已经更换的，则现任项目经理视为有“在建合同工程”，同时应在投标文件中附该合同工程项目发包人的同意更换证明材料， 否则更换前后的项目经理均视为有“在建合同工程”。</w:t>
      </w:r>
    </w:p>
    <w:p>
      <w:pPr>
        <w:keepNext w:val="0"/>
        <w:keepLines w:val="0"/>
        <w:pageBreakBefore w:val="0"/>
        <w:widowControl/>
        <w:kinsoku w:val="0"/>
        <w:wordWrap/>
        <w:overflowPunct/>
        <w:topLinePunct w:val="0"/>
        <w:autoSpaceDE w:val="0"/>
        <w:autoSpaceDN w:val="0"/>
        <w:bidi w:val="0"/>
        <w:adjustRightInd w:val="0"/>
        <w:snapToGrid w:val="0"/>
        <w:spacing w:before="30" w:line="360" w:lineRule="exact"/>
        <w:ind w:right="105" w:firstLine="420" w:firstLineChars="200"/>
        <w:jc w:val="left"/>
        <w:textAlignment w:val="baseline"/>
        <w:outlineLvl w:val="9"/>
        <w:rPr>
          <w:rFonts w:hint="eastAsia" w:ascii="宋体" w:hAnsi="宋体" w:eastAsia="宋体" w:cs="宋体"/>
          <w:color w:val="auto"/>
          <w:spacing w:val="0"/>
          <w:position w:val="0"/>
          <w:sz w:val="21"/>
          <w:szCs w:val="21"/>
          <w:highlight w:val="none"/>
          <w:lang w:val="en-US" w:eastAsia="zh-CN"/>
        </w:rPr>
      </w:pPr>
      <w:r>
        <w:rPr>
          <w:rFonts w:hint="eastAsia" w:ascii="宋体" w:hAnsi="宋体" w:eastAsia="宋体" w:cs="宋体"/>
          <w:color w:val="auto"/>
          <w:spacing w:val="0"/>
          <w:position w:val="0"/>
          <w:sz w:val="21"/>
          <w:szCs w:val="21"/>
          <w:highlight w:val="none"/>
          <w:lang w:val="en-US" w:eastAsia="zh-CN"/>
        </w:rPr>
        <w:t>3.“在建合同工程”范围：包括在中华人民共和国境内所有建设工程，不受地域、行业和投资性质的限制。</w:t>
      </w:r>
    </w:p>
    <w:p>
      <w:pPr>
        <w:keepNext w:val="0"/>
        <w:keepLines w:val="0"/>
        <w:pageBreakBefore w:val="0"/>
        <w:widowControl/>
        <w:kinsoku w:val="0"/>
        <w:wordWrap/>
        <w:overflowPunct/>
        <w:topLinePunct w:val="0"/>
        <w:autoSpaceDE w:val="0"/>
        <w:autoSpaceDN w:val="0"/>
        <w:bidi w:val="0"/>
        <w:adjustRightInd w:val="0"/>
        <w:snapToGrid w:val="0"/>
        <w:spacing w:before="30" w:line="360" w:lineRule="exact"/>
        <w:ind w:right="105" w:firstLine="420" w:firstLineChars="200"/>
        <w:jc w:val="left"/>
        <w:textAlignment w:val="baseline"/>
        <w:outlineLvl w:val="9"/>
        <w:rPr>
          <w:rFonts w:hint="eastAsia" w:ascii="宋体" w:hAnsi="宋体" w:eastAsia="宋体" w:cs="宋体"/>
          <w:color w:val="auto"/>
          <w:spacing w:val="0"/>
          <w:position w:val="0"/>
          <w:sz w:val="21"/>
          <w:szCs w:val="21"/>
          <w:highlight w:val="none"/>
          <w:lang w:val="en-US" w:eastAsia="zh-CN"/>
        </w:rPr>
      </w:pPr>
      <w:bookmarkStart w:id="76" w:name="_Toc23955"/>
      <w:r>
        <w:rPr>
          <w:rFonts w:hint="eastAsia" w:ascii="宋体" w:hAnsi="宋体" w:eastAsia="宋体" w:cs="宋体"/>
          <w:color w:val="auto"/>
          <w:spacing w:val="0"/>
          <w:position w:val="0"/>
          <w:sz w:val="21"/>
          <w:szCs w:val="21"/>
          <w:highlight w:val="none"/>
          <w:lang w:val="en-US" w:eastAsia="zh-CN"/>
        </w:rPr>
        <w:t>4.所附资料见投标人须知前附表 3.5.5 项规定。</w:t>
      </w:r>
      <w:bookmarkEnd w:id="76"/>
    </w:p>
    <w:p>
      <w:pPr>
        <w:keepNext w:val="0"/>
        <w:keepLines w:val="0"/>
        <w:pageBreakBefore w:val="0"/>
        <w:widowControl/>
        <w:kinsoku w:val="0"/>
        <w:wordWrap/>
        <w:overflowPunct/>
        <w:topLinePunct w:val="0"/>
        <w:autoSpaceDE w:val="0"/>
        <w:autoSpaceDN w:val="0"/>
        <w:bidi w:val="0"/>
        <w:adjustRightInd w:val="0"/>
        <w:snapToGrid w:val="0"/>
        <w:spacing w:before="30" w:line="360" w:lineRule="exact"/>
        <w:ind w:right="105" w:firstLine="420" w:firstLineChars="200"/>
        <w:jc w:val="left"/>
        <w:textAlignment w:val="baseline"/>
        <w:outlineLvl w:val="9"/>
        <w:rPr>
          <w:rFonts w:hint="default" w:ascii="宋体" w:hAnsi="宋体" w:eastAsia="宋体" w:cs="宋体"/>
          <w:color w:val="auto"/>
          <w:spacing w:val="0"/>
          <w:position w:val="0"/>
          <w:sz w:val="21"/>
          <w:szCs w:val="21"/>
          <w:highlight w:val="none"/>
          <w:lang w:val="en-US" w:eastAsia="zh-CN"/>
        </w:rPr>
      </w:pPr>
      <w:r>
        <w:rPr>
          <w:rFonts w:hint="eastAsia" w:ascii="宋体" w:hAnsi="宋体" w:eastAsia="宋体" w:cs="宋体"/>
          <w:color w:val="auto"/>
          <w:spacing w:val="0"/>
          <w:position w:val="0"/>
          <w:sz w:val="21"/>
          <w:szCs w:val="21"/>
          <w:highlight w:val="none"/>
          <w:lang w:val="en-US" w:eastAsia="zh-CN"/>
        </w:rPr>
        <w:t>5.公路工程相关专业指：公路工程、桥梁工程、公路桥梁工程、道路桥梁工程、交通土建、隧道工程、隧道（地下结构）工程、公路与城市道路建设、</w:t>
      </w:r>
      <w:r>
        <w:rPr>
          <w:rFonts w:hint="eastAsia" w:ascii="宋体" w:hAnsi="宋体" w:eastAsia="宋体" w:cs="宋体"/>
          <w:color w:val="auto"/>
          <w:spacing w:val="3"/>
          <w:sz w:val="21"/>
          <w:szCs w:val="21"/>
          <w:highlight w:val="none"/>
        </w:rPr>
        <w:t>交通工程</w:t>
      </w:r>
      <w:r>
        <w:rPr>
          <w:rFonts w:hint="eastAsia" w:ascii="宋体" w:hAnsi="宋体" w:eastAsia="宋体" w:cs="宋体"/>
          <w:color w:val="auto"/>
          <w:spacing w:val="3"/>
          <w:sz w:val="21"/>
          <w:szCs w:val="21"/>
          <w:highlight w:val="none"/>
          <w:lang w:eastAsia="zh-CN"/>
        </w:rPr>
        <w:t>（</w:t>
      </w:r>
      <w:r>
        <w:rPr>
          <w:rFonts w:hint="eastAsia" w:ascii="宋体" w:hAnsi="宋体" w:eastAsia="宋体" w:cs="宋体"/>
          <w:color w:val="auto"/>
          <w:spacing w:val="3"/>
          <w:sz w:val="21"/>
          <w:szCs w:val="21"/>
          <w:highlight w:val="none"/>
          <w:lang w:val="en-US" w:eastAsia="zh-CN"/>
        </w:rPr>
        <w:t>建设与监理（施工）</w:t>
      </w:r>
      <w:r>
        <w:rPr>
          <w:rFonts w:hint="eastAsia" w:ascii="宋体" w:hAnsi="宋体" w:eastAsia="宋体" w:cs="宋体"/>
          <w:color w:val="auto"/>
          <w:spacing w:val="3"/>
          <w:sz w:val="21"/>
          <w:szCs w:val="21"/>
          <w:highlight w:val="none"/>
          <w:lang w:eastAsia="zh-CN"/>
        </w:rPr>
        <w:t>）</w:t>
      </w:r>
      <w:r>
        <w:rPr>
          <w:rFonts w:hint="eastAsia" w:ascii="宋体" w:hAnsi="宋体" w:eastAsia="宋体" w:cs="宋体"/>
          <w:color w:val="auto"/>
          <w:spacing w:val="0"/>
          <w:position w:val="0"/>
          <w:sz w:val="21"/>
          <w:szCs w:val="21"/>
          <w:highlight w:val="none"/>
          <w:lang w:val="en-US" w:eastAsia="zh-CN"/>
        </w:rPr>
        <w:t>、土木工程（路桥方向）。相关专业在职称证书未体现，以学历证书专业为准（以学信网查询为准https://account.chsi.com.cn/passport/login）</w:t>
      </w:r>
    </w:p>
    <w:p>
      <w:pPr>
        <w:keepNext w:val="0"/>
        <w:keepLines w:val="0"/>
        <w:pageBreakBefore w:val="0"/>
        <w:kinsoku w:val="0"/>
        <w:wordWrap/>
        <w:overflowPunct/>
        <w:topLinePunct w:val="0"/>
        <w:autoSpaceDE w:val="0"/>
        <w:autoSpaceDN w:val="0"/>
        <w:bidi w:val="0"/>
        <w:adjustRightInd w:val="0"/>
        <w:snapToGrid w:val="0"/>
        <w:spacing w:before="91" w:line="360" w:lineRule="exact"/>
        <w:ind w:firstLine="0" w:firstLineChars="0"/>
        <w:jc w:val="left"/>
        <w:textAlignment w:val="baseline"/>
        <w:outlineLvl w:val="1"/>
        <w:rPr>
          <w:rFonts w:hint="eastAsia" w:ascii="黑体" w:hAnsi="黑体" w:eastAsia="黑体" w:cs="黑体"/>
          <w:b/>
          <w:bCs/>
          <w:color w:val="auto"/>
          <w:spacing w:val="0"/>
          <w:position w:val="0"/>
          <w:sz w:val="28"/>
          <w:szCs w:val="28"/>
          <w:highlight w:val="none"/>
          <w:lang w:val="en-US" w:eastAsia="zh-CN"/>
        </w:rPr>
      </w:pPr>
    </w:p>
    <w:bookmarkEnd w:id="73"/>
    <w:bookmarkEnd w:id="74"/>
    <w:p>
      <w:pPr>
        <w:keepNext w:val="0"/>
        <w:keepLines w:val="0"/>
        <w:pageBreakBefore w:val="0"/>
        <w:kinsoku w:val="0"/>
        <w:wordWrap/>
        <w:overflowPunct/>
        <w:topLinePunct w:val="0"/>
        <w:autoSpaceDE w:val="0"/>
        <w:autoSpaceDN w:val="0"/>
        <w:bidi w:val="0"/>
        <w:adjustRightInd w:val="0"/>
        <w:snapToGrid w:val="0"/>
        <w:spacing w:line="360" w:lineRule="auto"/>
        <w:ind w:firstLine="0" w:firstLineChars="0"/>
        <w:jc w:val="left"/>
        <w:textAlignment w:val="baseline"/>
        <w:outlineLvl w:val="9"/>
        <w:rPr>
          <w:rFonts w:hint="eastAsia" w:ascii="宋体" w:hAnsi="宋体" w:eastAsia="宋体" w:cs="宋体"/>
          <w:b/>
          <w:bCs/>
          <w:color w:val="auto"/>
          <w:spacing w:val="0"/>
          <w:position w:val="0"/>
          <w:sz w:val="28"/>
          <w:szCs w:val="28"/>
          <w:highlight w:val="none"/>
        </w:rPr>
      </w:pPr>
      <w:r>
        <w:rPr>
          <w:rFonts w:hint="eastAsia" w:ascii="宋体" w:hAnsi="宋体" w:eastAsia="宋体" w:cs="宋体"/>
          <w:b/>
          <w:bCs/>
          <w:color w:val="auto"/>
          <w:spacing w:val="0"/>
          <w:position w:val="0"/>
          <w:sz w:val="28"/>
          <w:szCs w:val="28"/>
          <w:highlight w:val="none"/>
          <w:lang w:val="en-US" w:eastAsia="zh-CN"/>
        </w:rPr>
        <w:t>1</w:t>
      </w:r>
      <w:r>
        <w:rPr>
          <w:rFonts w:hint="eastAsia" w:ascii="宋体" w:hAnsi="宋体" w:eastAsia="宋体" w:cs="宋体"/>
          <w:b/>
          <w:bCs/>
          <w:color w:val="auto"/>
          <w:spacing w:val="0"/>
          <w:position w:val="0"/>
          <w:sz w:val="28"/>
          <w:szCs w:val="28"/>
          <w:highlight w:val="none"/>
        </w:rPr>
        <w:t>. 总则</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0" w:firstLineChars="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  项目概况</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1.1.1 </w:t>
      </w:r>
      <w:r>
        <w:rPr>
          <w:rFonts w:hint="eastAsia" w:ascii="宋体" w:hAnsi="宋体" w:eastAsia="宋体" w:cs="宋体"/>
          <w:color w:val="auto"/>
          <w:sz w:val="21"/>
          <w:szCs w:val="21"/>
          <w:highlight w:val="none"/>
        </w:rPr>
        <w:t>根据《中华人民共和国招标投标法》、《中华人民共和国招标投标法实施条例》、《浙江省招标投标条例》、《公路工程建设项目招标投标管理办法》等有关法律、法规和规章的规定，本招标项目已具备招标条件</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现对本标段施工进行招标。</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1.1.2</w:t>
      </w:r>
      <w:r>
        <w:rPr>
          <w:rFonts w:hint="eastAsia" w:ascii="宋体" w:hAnsi="宋体" w:eastAsia="宋体" w:cs="宋体"/>
          <w:color w:val="auto"/>
          <w:sz w:val="21"/>
          <w:szCs w:val="21"/>
          <w:highlight w:val="none"/>
        </w:rPr>
        <w:t xml:space="preserve"> 本招标项目招标人：见投标人须知前附表。</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 本标段招标代理机构：见投标人须知前附表。</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 本招标项目名称：见投标人须知前附表。</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1.1.5 本标段建设地点：见投标人须知前附表。</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0" w:firstLineChars="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  招标项目的资金来源和落实情况</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 资金来源及比例：见投标人须知前附表。</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 资金落实情况：见投标人须知前附表。</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0" w:firstLineChars="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  招标范围、计划工期、质量要求和安全目标</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  招标范围：见投标人须知前附表。</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  本标段的计划工期：见投标人须知前附表。</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1.3.3  本标段的质量要求：见投标人须知前附表。</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1.3.4  本标段的安全目标：见投标人须知前附表。</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0" w:firstLineChars="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  投标人资格要求</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 投标人应具备承担本标段施工的资质条件、能力和信誉。</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(1)资质要求：见投标人须知前附表；</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(2)财务要求：见投标人须知前附表；</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(3)业绩要求：见投标人须知前附表；</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(4)信誉要求：见投标人须知前附表;</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(5)项目经理、项目技术负责人和安全负责人资格：见投标人须知前附表；</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(6)其他要求：见投标人须知前附表。</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需要提交的相关证明材料见本章第</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3.5 款的规定。</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210" w:firstLineChars="1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  投标人须知前附表规定接受联合体投标的，联合体除应符合本章第</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1.4.1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项和投标人须知前附表的要求外，还应遵守以下规定：</w:t>
      </w:r>
    </w:p>
    <w:p>
      <w:pPr>
        <w:pStyle w:val="3"/>
        <w:keepNext w:val="0"/>
        <w:keepLines w:val="0"/>
        <w:pageBreakBefore w:val="0"/>
        <w:widowControl w:val="0"/>
        <w:kinsoku/>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(1)联合体各方应按招标文件提供的格式签订联合体协议书，明确联合体牵头人和各方权利义务，并承诺就中标项目向招标人承担连带责任；</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(2)由同一专业的单位组成的联合体，按照资质等级较低的单位确定资质等级；</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(3)联合体各方不得再以自己名义单独或参加其他联合体在同一标段中投标；</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联合体各方应分别按照本招标文件的要求，填写投标文件中的相应表格，并由联合体牵头人负责对联合体各成员的资料进行统一汇总后一并提交给招标人；联合体牵头人所提交的投标文件应认为已代表了联合体各成员的真实情况；</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(5)尽管委任了联合体牵头人，但联合体各成员在投标、签订合同与履行合同过程中，仍负有连带的和各自的法律责任。</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210" w:firstLineChars="1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1.4.3 投标人(包括联合体各成员) 不得与本标段相关单位存在下列关联情形：</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(1)为招标人不具有独立法人资格的附属机构(单位)；</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(2)与招标人存在利害关系且可能影响招标公正性；</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(3)与本标段的其他投标人同为一个单位负责人；</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(4)与本标段的其他投标人存在控股(含法定代表人控股)、管理关系；</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(5)为本标段前期准备提供设计或咨询服务的法人或其他任何附属机构 (单位) ；</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(6)为本标段的监理人；</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(7)为本标段的代建人；</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(8)为本标段的招标代理机构；</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(9)与本标段的监理人或代建人或招标代理机构同为一个法定代表人；</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(10)与本标段的监理人或代建人或招标代理机构存在控股或参股关系；</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(11)法律法规或投标人须知前附表规定的其他情形。</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210" w:firstLineChars="1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1.4.4 投标人(包括联合体各成员)不得存在下列不良状况或不良信用记录：</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(1)被交通运输部、浙江省交通运输厅、浙江省发展和改革委员会取消投标资格或禁止进入浙江省建设市场且处于有效期内的；</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(2)被责令停业，暂扣或吊销执照，或吊销资质证书；</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(3)进入清算程序，或被宣告破产，或其他丧失履约能力的情形；</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right="-191" w:rightChars="-91"/>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(4)在国家企业信用信息公示系统 (</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"http://www.gsxt.gov.cn"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http://www.gsxt.gov.cn</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中被列入严重违法失信企业名单；</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(5)在“信用中国”网站 (</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"http://www.creditchina.gov.cn"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http://www.creditchina.gov.cn</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中被列入失信被执行人名单；</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(6)投标人或其法定代表人、拟委任的项目经理在投标人须知前附表规定日期后有行贿犯罪行为的(行贿犯罪行为的认定以中国裁判文书网 (</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"http://wenshu.court.gov.cn/"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http://wenshu.court.gov.cn/</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查询结果为准，投标文件中无需提供查询结果) ；</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(7)法律法规或投标人须知前附表规定的其他情形。</w:t>
      </w:r>
    </w:p>
    <w:p>
      <w:pPr>
        <w:pStyle w:val="3"/>
        <w:keepNext w:val="0"/>
        <w:keepLines w:val="0"/>
        <w:pageBreakBefore w:val="0"/>
        <w:widowControl w:val="0"/>
        <w:kinsoku/>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pacing w:val="-23"/>
          <w:sz w:val="21"/>
          <w:szCs w:val="21"/>
          <w:highlight w:val="none"/>
        </w:rPr>
      </w:pPr>
      <w:r>
        <w:rPr>
          <w:rFonts w:hint="eastAsia" w:ascii="宋体" w:hAnsi="宋体" w:eastAsia="宋体" w:cs="宋体"/>
          <w:color w:val="auto"/>
          <w:sz w:val="21"/>
          <w:szCs w:val="21"/>
          <w:highlight w:val="none"/>
        </w:rPr>
        <w:t xml:space="preserve">1.4.5 </w:t>
      </w:r>
      <w:r>
        <w:rPr>
          <w:rFonts w:hint="eastAsia" w:ascii="宋体" w:hAnsi="宋体" w:eastAsia="宋体" w:cs="宋体"/>
          <w:color w:val="auto"/>
          <w:spacing w:val="-23"/>
          <w:sz w:val="21"/>
          <w:szCs w:val="21"/>
          <w:highlight w:val="none"/>
        </w:rPr>
        <w:t>投标人应进入交通运输部“全国公路建设市场信用信息管理系统</w:t>
      </w:r>
      <w:r>
        <w:rPr>
          <w:rFonts w:hint="eastAsia" w:ascii="宋体" w:hAnsi="宋体" w:eastAsia="宋体" w:cs="宋体"/>
          <w:color w:val="auto"/>
          <w:spacing w:val="-11"/>
          <w:sz w:val="21"/>
          <w:szCs w:val="21"/>
          <w:highlight w:val="none"/>
        </w:rPr>
        <w:t xml:space="preserve">(http://glxy.mot.gov.cn) </w:t>
      </w:r>
      <w:r>
        <w:rPr>
          <w:rFonts w:hint="eastAsia" w:ascii="宋体" w:hAnsi="宋体" w:eastAsia="宋体" w:cs="宋体"/>
          <w:color w:val="auto"/>
          <w:spacing w:val="-23"/>
          <w:sz w:val="21"/>
          <w:szCs w:val="21"/>
          <w:highlight w:val="none"/>
        </w:rPr>
        <w:t>”中的公路工程施工资质企业名录，且投标人名称和资质与该名录中的相应企业名称和资质完全一致。投标人不满足本项规定条件的，将被否决投标。</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0" w:firstLineChars="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  费用承担</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bookmarkStart w:id="77" w:name="_bookmark39"/>
      <w:bookmarkEnd w:id="77"/>
      <w:bookmarkStart w:id="78" w:name="_bookmark40"/>
      <w:bookmarkEnd w:id="78"/>
      <w:r>
        <w:rPr>
          <w:rFonts w:hint="eastAsia" w:ascii="宋体" w:hAnsi="宋体" w:eastAsia="宋体" w:cs="宋体"/>
          <w:color w:val="auto"/>
          <w:sz w:val="21"/>
          <w:szCs w:val="21"/>
          <w:highlight w:val="none"/>
        </w:rPr>
        <w:t>投标人准备和参加投标活动发生的费用自理。</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0" w:firstLineChars="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  保密</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参与招标投标活动的各方应对招标文件和投标文件中的商业和技术等秘密保密，否则应承担相应 的法律责任。</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0" w:firstLineChars="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  语言文字</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招标投标文件使用的语言文字为中文。专用术语使用外文的，应附有中文注释。 </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0" w:firstLineChars="0"/>
        <w:jc w:val="left"/>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 计量单位</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所有计量均采用中华人民共和国法定计量单位。</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0" w:firstLineChars="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  踏勘现场</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1.9.1  第一章“招标公告”规定组织踏勘现场的，招标人按规定的时间、地点组织投标人踏勘项目现场。部分投标人未按时参加踏勘现场的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不影响踏勘现场的正常进行。招标人不得组织单个或者部分投标人踏勘项目现场。</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1.9.2  投标人踏勘现场发生的费用自理。</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1.9.3  除招标人的原因外，投标人自行负责在踏勘现场中所发生的人员伤亡和财产损失。</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1.9.4  招标人在踏勘现场中介绍的工程场地和相关的周边环境情况，供投标人在编制投标文件时参考，招标人不对投标人据此作出的判断和决策负责。</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1.9.5 招标人提供的本合同工程的水文、地质、气象和料场分布、取土场、弃土场位置等参考资料，并不构成合同文件的组成部分，投标人应对自已就上述资料的解释、推论和应用负责，招标人不 对投标人据此作出的判断和决策承担任何责任。</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0" w:firstLineChars="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 投标预备会</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1.10.1  第一章“招标公告”规定召开投标预备会的，招标人按规定的时间和地点召开投标预备会，澄清投标人提出的问题。</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1.10.2  投标人应在投标人须知前附表规定的时间前，将提出的问题送达招标人，以便招标人在会议期间澄清。</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1.10.3  投标预备会后，招标人将对投标人所提问题的澄清，以本章第</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2.2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款规定的形式通知所有购买招标文件的投标人。该澄清内容为招标文件的组成部分。</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0" w:firstLineChars="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  分包</w:t>
      </w:r>
    </w:p>
    <w:p>
      <w:pPr>
        <w:pStyle w:val="3"/>
        <w:keepNext w:val="0"/>
        <w:keepLines w:val="0"/>
        <w:pageBreakBefore w:val="0"/>
        <w:widowControl w:val="0"/>
        <w:kinsoku/>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1.11.1 投标人拟在中标后将中标项目的部分工作进行分包的，应符合投标人须知前附表的规定，投标人中标后的分包应满足合同条款第</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4.3</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款的相关要求。</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1.11.2  中标人不得向他人转让中标项目，接受分包的人不得再次分包。中标人应就分包项目向招标人负责，接受分包的人就分包项目承担连带责任。</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0" w:firstLineChars="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响应和偏差</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1.12.1 投标文件偏离招标文件某些要求，视为投标文件存在偏差。偏差包括重大偏差和细微偏差。</w:t>
      </w:r>
    </w:p>
    <w:p>
      <w:pPr>
        <w:pStyle w:val="3"/>
        <w:keepNext w:val="0"/>
        <w:keepLines w:val="0"/>
        <w:pageBreakBefore w:val="0"/>
        <w:widowControl w:val="0"/>
        <w:kinsoku/>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1.12.2  投标文件应对招标文件的实质性要求和条件作出满足性或更有利于招标人的响应，否则，视为投标文件存在重大偏差，投标人的投标将被否决。</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投标文件存在第三章“评标办法”中所列任一否决投标情形的，均属于存在重大偏差。</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1.12.3  投标文件中的下列偏差为细微偏差：</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(1)在按照第三章“评标办法”的规定对投标价进行算术性错误修正及其他错误修正后，最终投标报价未超过最高投标限价的情况下，出现第三章 “评标办法”规定的算术性错误和投标报价的其他错误；</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(2)施工组织设计(含关键工程技术方案)和项目管理机构不够完善；</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(3)投标文件页码不连续、个别文字有遗漏错误等不影响投标文件实质性内容的偏差。</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(4)投标人所附《主要业绩信息一览表》中涉及本次招标资格审核的相关信息与投标文件所附的 业绩证明材料不一致，但《主要业绩信息一览表》与所附的业绩证明材料均满足资格审查条件的；投标人所附《主要业绩信息一览表》中涉及本次招标加分的相关信息与投标文件所附的业绩证明材料不一致，但《主要业绩信息一览表》与所附的业绩证明材料均满足加分条件的。</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1.12.4  评标委员会对投标文件中的细微偏差按如下规定处理：</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(1)对于本章第</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1.12.3</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项(1)目所述的细微偏差，按照第三章“评标办法”的规定予以修正并要求投标人进行澄清；</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(2)对于本章第</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1.12.3</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项(2)目所述的细微偏差，如果采用技术通过制的综合评估法 (合理低价法)或经评审的最低投标价法评标，应要求投标人对细微偏差进行澄清，只有投标人的澄清文件被评标委员接受，投标人才能参加评标价的最终评比。如果采用技术打分制的综合评估法 (综合评分法) 评标，评标委员会可在相关评分因素的评分中酌情扣分；</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(3)对于本章第</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1.12.3</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项(3)、(4)目所述的细微偏差，可要求投标人对细微偏差进行澄清。</w:t>
      </w:r>
    </w:p>
    <w:p>
      <w:pPr>
        <w:pStyle w:val="3"/>
        <w:keepNext w:val="0"/>
        <w:keepLines w:val="0"/>
        <w:pageBreakBefore w:val="0"/>
        <w:widowControl w:val="0"/>
        <w:kinsoku w:val="0"/>
        <w:wordWrap/>
        <w:overflowPunct/>
        <w:topLinePunct w:val="0"/>
        <w:autoSpaceDE w:val="0"/>
        <w:autoSpaceDN w:val="0"/>
        <w:bidi w:val="0"/>
        <w:adjustRightInd w:val="0"/>
        <w:snapToGrid w:val="0"/>
        <w:spacing w:before="0" w:after="0" w:line="360" w:lineRule="auto"/>
        <w:ind w:left="0" w:leftChars="0" w:firstLine="420" w:firstLineChars="200"/>
        <w:jc w:val="left"/>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1.12.5 投标人应根据招标文件的要求提供施工组织设计等内容以对招标文件作出响应。</w:t>
      </w:r>
      <w:bookmarkStart w:id="79" w:name="_Toc14717"/>
      <w:bookmarkStart w:id="80" w:name="_Toc28754"/>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0" w:firstLineChars="0"/>
        <w:jc w:val="left"/>
        <w:textAlignment w:val="baseline"/>
        <w:outlineLvl w:val="9"/>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2. 招标文件</w:t>
      </w:r>
      <w:bookmarkEnd w:id="79"/>
      <w:bookmarkEnd w:id="80"/>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2.1 招标文件的组成</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本招标文件包括：</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(1)招标公告；</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(2)投标人须知；</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(3)评标办法；</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(4)合同条款及格式；</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(5)工程量清单；</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(6)图纸；</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(7)技术规范；</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(8)工程量清单计量规则；</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(9)投标文件格式；</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(10)投标人须知前附表规定的其他资料。</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根据本章第</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1.10</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款、第</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2.2</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款和第</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2.3</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款对招标文件所作的澄清、修改，构成招标文件的组成部分。当招标文件、招标文件的澄清或修改等在同一内容的表述上不一致时，以最后发出的书面文件为准。</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2.2 招标文件的澄清</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2.2.1 投标人应仔细阅读和检查招标文件的全部内容。如发现缺页或附件不全，应及时向招标人提出，以便补齐。如有疑问，应在投标人须知前附表规定的时间前以书面形式（包括信函、传真等可以有形地表现所载内容的形式，下同），要求招标人对招标文件予以澄清。</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2.2.2 招标文件的澄清将以电子文件形式上传至“电子交易平台”供投标人下载，但不指明澄清问题的来源。澄清发出的时间距本章第 4.2.1 项规定的投标截止时间不足 15 日，且澄清内容可能影响投标文件编制的，将相应延长投标截止时间。</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2.2.3 投标人在收到澄清后无需向招标人确认。潜在投标人应自行关注“电子交易平台”，招标人不再一一通知。因投标人自身原因未及时获知澄清内容而导致的任何后果将由投标人自行承担。</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2.2.4 除非招标人认为确有必要答复，否则，招标人有权拒绝回复投标人在本章第 2.2.1 项规定的时间后提出的任何澄清要求。</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2.3  招标文件的修改</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2.3.1 招标人可以修改招标文件，以电子文件形式上传“电子交易平台”供潜在投标人自行下载。修改招标文件的时间距本章第 4.2.1 项规定的投标截止时间不足 15 日，且修改内容可能影响投标文件编制的，将相应延长投标截止时间。</w:t>
      </w:r>
    </w:p>
    <w:p>
      <w:pPr>
        <w:pStyle w:val="3"/>
        <w:keepNext w:val="0"/>
        <w:keepLines w:val="0"/>
        <w:pageBreakBefore w:val="0"/>
        <w:widowControl w:val="0"/>
        <w:kinsoku/>
        <w:wordWrap/>
        <w:overflowPunct w:val="0"/>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2.3.2</w:t>
      </w:r>
      <w:r>
        <w:rPr>
          <w:rFonts w:hint="eastAsia" w:eastAsia="宋体" w:cs="宋体"/>
          <w:color w:val="auto"/>
          <w:highlight w:val="none"/>
          <w:lang w:val="en-US" w:eastAsia="zh-CN"/>
        </w:rPr>
        <w:t xml:space="preserve"> </w:t>
      </w:r>
      <w:r>
        <w:rPr>
          <w:rFonts w:hint="eastAsia" w:ascii="宋体" w:hAnsi="宋体" w:eastAsia="宋体" w:cs="宋体"/>
          <w:color w:val="auto"/>
          <w:highlight w:val="none"/>
        </w:rPr>
        <w:t>投标人在收到修改内容后无需向招标人确认。潜在投标人应自行关注“电子交易平台”，招标人不再一一通知。因投标人自身原因未及时获知修改内容而导致的任何后果将由投标人自行承担。</w:t>
      </w:r>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0" w:firstLineChars="0"/>
        <w:jc w:val="left"/>
        <w:textAlignment w:val="baseline"/>
        <w:outlineLvl w:val="9"/>
        <w:rPr>
          <w:rFonts w:hint="eastAsia" w:ascii="宋体" w:hAnsi="宋体" w:eastAsia="宋体" w:cs="宋体"/>
          <w:b/>
          <w:bCs/>
          <w:color w:val="auto"/>
          <w:sz w:val="28"/>
          <w:szCs w:val="28"/>
          <w:highlight w:val="none"/>
        </w:rPr>
      </w:pPr>
      <w:bookmarkStart w:id="81" w:name="_Toc20564"/>
      <w:bookmarkStart w:id="82" w:name="_Toc23734"/>
      <w:r>
        <w:rPr>
          <w:rFonts w:hint="eastAsia" w:ascii="宋体" w:hAnsi="宋体" w:eastAsia="宋体" w:cs="宋体"/>
          <w:b/>
          <w:bCs/>
          <w:color w:val="auto"/>
          <w:sz w:val="28"/>
          <w:szCs w:val="28"/>
          <w:highlight w:val="none"/>
        </w:rPr>
        <w:t>3. 投标文件</w:t>
      </w:r>
      <w:bookmarkEnd w:id="81"/>
      <w:bookmarkEnd w:id="82"/>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3.1 投标文件的组成</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3.1</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1 投标文件密封采用双信封形式。投标文件应包括下列内容：</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第一个信封 (商务及技术文件) ：</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投标函及投标函附录</w:t>
      </w:r>
      <w:r>
        <w:rPr>
          <w:rFonts w:hint="eastAsia" w:ascii="宋体" w:hAnsi="宋体" w:eastAsia="宋体" w:cs="宋体"/>
          <w:color w:val="auto"/>
          <w:highlight w:val="none"/>
          <w:lang w:eastAsia="zh-CN"/>
        </w:rPr>
        <w:t>；</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授权委托书或法定代表人身份证明</w:t>
      </w:r>
      <w:r>
        <w:rPr>
          <w:rFonts w:hint="eastAsia" w:ascii="宋体" w:hAnsi="宋体" w:eastAsia="宋体" w:cs="宋体"/>
          <w:color w:val="auto"/>
          <w:highlight w:val="none"/>
          <w:lang w:eastAsia="zh-CN"/>
        </w:rPr>
        <w:t>；</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联合体协议书 (如有)</w:t>
      </w:r>
      <w:r>
        <w:rPr>
          <w:rFonts w:hint="eastAsia" w:ascii="宋体" w:hAnsi="宋体" w:eastAsia="宋体" w:cs="宋体"/>
          <w:color w:val="auto"/>
          <w:highlight w:val="none"/>
          <w:lang w:eastAsia="zh-CN"/>
        </w:rPr>
        <w:t>；</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投标保证金</w:t>
      </w:r>
      <w:r>
        <w:rPr>
          <w:rFonts w:hint="eastAsia" w:ascii="宋体" w:hAnsi="宋体" w:eastAsia="宋体" w:cs="宋体"/>
          <w:color w:val="auto"/>
          <w:highlight w:val="none"/>
          <w:lang w:eastAsia="zh-CN"/>
        </w:rPr>
        <w:t>；</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施工组织设计</w:t>
      </w:r>
      <w:r>
        <w:rPr>
          <w:rFonts w:hint="eastAsia" w:ascii="宋体" w:hAnsi="宋体" w:eastAsia="宋体" w:cs="宋体"/>
          <w:color w:val="auto"/>
          <w:highlight w:val="none"/>
          <w:lang w:eastAsia="zh-CN"/>
        </w:rPr>
        <w:t>；</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项目管理机构</w:t>
      </w:r>
      <w:r>
        <w:rPr>
          <w:rFonts w:hint="eastAsia" w:ascii="宋体" w:hAnsi="宋体" w:eastAsia="宋体" w:cs="宋体"/>
          <w:color w:val="auto"/>
          <w:highlight w:val="none"/>
          <w:lang w:eastAsia="zh-CN"/>
        </w:rPr>
        <w:t>；</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资格审查资料</w:t>
      </w:r>
      <w:r>
        <w:rPr>
          <w:rFonts w:hint="eastAsia" w:ascii="宋体" w:hAnsi="宋体" w:eastAsia="宋体" w:cs="宋体"/>
          <w:color w:val="auto"/>
          <w:highlight w:val="none"/>
          <w:lang w:eastAsia="zh-CN"/>
        </w:rPr>
        <w:t>；</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承诺函</w:t>
      </w:r>
      <w:r>
        <w:rPr>
          <w:rFonts w:hint="eastAsia" w:ascii="宋体" w:hAnsi="宋体" w:eastAsia="宋体" w:cs="宋体"/>
          <w:color w:val="auto"/>
          <w:highlight w:val="none"/>
          <w:lang w:eastAsia="zh-CN"/>
        </w:rPr>
        <w:t>；</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网上查询凭证</w:t>
      </w:r>
      <w:r>
        <w:rPr>
          <w:rFonts w:hint="eastAsia" w:ascii="宋体" w:hAnsi="宋体" w:eastAsia="宋体" w:cs="宋体"/>
          <w:color w:val="auto"/>
          <w:highlight w:val="none"/>
          <w:lang w:eastAsia="zh-CN"/>
        </w:rPr>
        <w:t>；</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投标人须知前附表规定的其他材料。</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第二个信封 (报价文件)</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(1)投标函；</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(2)已标价工程量清单；</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jc w:val="left"/>
        <w:textAlignment w:val="baseline"/>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(3)合同用款估算表。</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投标人在评标过程中作出的符合法律法规和招标文件规定的澄清确认，构成投标文件的组成部分。</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3.1.2 投标人须知前附表规定不接受联合体投标的，或投标人没有组成联合体投标的，投标文件不包括本章第 3.1.1(3) 目所指的联合体协议书。</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3.1.3 投标人须知前附表未要求提交投标保证金的，投标文件不包括本章第 3.1.1(4) 目所指的投标保证金。</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3.1.4 投标文件工程量清单制作见投标人须知前附表。</w:t>
      </w:r>
    </w:p>
    <w:p>
      <w:pPr>
        <w:keepNext w:val="0"/>
        <w:keepLines w:val="0"/>
        <w:pageBreakBefore w:val="0"/>
        <w:kinsoku/>
        <w:wordWrap/>
        <w:overflowPunct/>
        <w:topLinePunct w:val="0"/>
        <w:autoSpaceDE w:val="0"/>
        <w:autoSpaceDN w:val="0"/>
        <w:bidi w:val="0"/>
        <w:adjustRightInd w:val="0"/>
        <w:snapToGrid w:val="0"/>
        <w:spacing w:line="360" w:lineRule="auto"/>
        <w:textAlignment w:val="baseline"/>
        <w:outlineLvl w:val="9"/>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 xml:space="preserve">3.2 投标报价 </w:t>
      </w:r>
    </w:p>
    <w:p>
      <w:pPr>
        <w:keepNext w:val="0"/>
        <w:keepLines w:val="0"/>
        <w:pageBreakBefore w:val="0"/>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 xml:space="preserve">3.2.1 投标报价应包括国家规定的增值税税金，除投标人须知前附表另有规定外，增值税税金按 </w:t>
      </w:r>
    </w:p>
    <w:p>
      <w:pPr>
        <w:keepNext w:val="0"/>
        <w:keepLines w:val="0"/>
        <w:pageBreakBefore w:val="0"/>
        <w:kinsoku/>
        <w:wordWrap/>
        <w:overflowPunct/>
        <w:topLinePunct w:val="0"/>
        <w:autoSpaceDE w:val="0"/>
        <w:autoSpaceDN w:val="0"/>
        <w:bidi w:val="0"/>
        <w:adjustRightInd w:val="0"/>
        <w:snapToGrid w:val="0"/>
        <w:spacing w:line="360" w:lineRule="auto"/>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 xml:space="preserve">一般计税方法计算。投标人应按第九章“投标文件格式”的要求在投标函中进行报价并填写工程量清单相应表格。 </w:t>
      </w:r>
    </w:p>
    <w:p>
      <w:pPr>
        <w:keepNext w:val="0"/>
        <w:keepLines w:val="0"/>
        <w:pageBreakBefore w:val="0"/>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 xml:space="preserve">工程量清单的填写分下列两种方式。投标人应按投标人须知前附表规定的方式填写工程量清单。 </w:t>
      </w:r>
    </w:p>
    <w:p>
      <w:pPr>
        <w:keepNext w:val="0"/>
        <w:keepLines w:val="0"/>
        <w:pageBreakBefore w:val="0"/>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 xml:space="preserve">(1)本项目招标采用工程量固化清单，招标人向投标人提供工程量固化清单电子文件，投标人填写工程量清单中各子目的单价及总额价，即可完成投标工程量清单的编制，确定投标报价，并打印出投标工程量清单，编入投标文件。投标人未在工程量清单中填入单价或总额价的工程子目，将被认为其已包含在工程量清单其他子目的单价和总额价中，招标人将不予支付。 </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 xml:space="preserve">投标人必须严格遵循工程量固化清单电子文件中的数据、格式及运算定义。严禁投标人修改工程 </w:t>
      </w:r>
    </w:p>
    <w:p>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 xml:space="preserve">量固化清单电子文件中的数据、格式及运算定义。 </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highlight w:val="none"/>
          <w:lang w:val="en-US" w:eastAsia="zh-CN"/>
        </w:rPr>
      </w:pPr>
      <w:r>
        <w:rPr>
          <w:rFonts w:hint="eastAsia" w:ascii="宋体" w:hAnsi="宋体" w:eastAsia="宋体" w:cs="宋体"/>
          <w:snapToGrid w:val="0"/>
          <w:color w:val="auto"/>
          <w:kern w:val="0"/>
          <w:sz w:val="21"/>
          <w:szCs w:val="21"/>
          <w:highlight w:val="none"/>
          <w:lang w:val="en-US" w:eastAsia="zh-CN"/>
        </w:rPr>
        <w:t>投标人根据招标人提供的工程量固化清单电子文件填报完成并打印的投标工程量清单中的投标报价和投标函大写金额报价应一致，如果报价金额出现差异，其投标将被否决。</w:t>
      </w:r>
      <w:r>
        <w:rPr>
          <w:rFonts w:hint="eastAsia" w:ascii="宋体" w:hAnsi="宋体" w:eastAsia="宋体" w:cs="宋体"/>
          <w:color w:val="auto"/>
          <w:highlight w:val="none"/>
          <w:lang w:val="en-US" w:eastAsia="zh-CN"/>
        </w:rPr>
        <w:t xml:space="preserve"> </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本项目招标由招标人提供书面工程量清单（电子版），由投标人按照招标人提供的工程量清单填写本合同各工程子目的单价、合价和总额价。评标委员会将按照第三章“评标办法”的规定对投标价进行算术性错误修正及其他错误修正。</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3.2.2  投标人应充分了解本项目的总体情况以及影响投标报价的其他要素。</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3.2.3  本项目的报价方式见投标人须知前附表。投标人在投标截止时间前修改投标函中的投标总报价，应同时修改投标文件“已标价工程量清单”中的相应报价。此修改须符合本章第</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4.3</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款的有关要求。</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3.2.4  投标人如果发现工程量清单中的数量与图纸中数量不一致时，应立即通知招标人核查，除非招标人以书面方式予以更正，否则，应以工程量清单中列出的数量为准。</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3.2.5  投标人应根据《公路水运工程安全生产监督管理办法》，在投标总价中计入安全生产费用，安全生产费用应符合合同条款第</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9.2.5</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项的规定。工程量清单100章内列有上述安全生产费的支付子目，由投标人按招标文件的规定填写总额价。</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3.2.6 招标人不接受调价函。</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3.2.7 在合同实施期间，投标人填写的单价、合价和总额价是否由于物价波动进行价格调整按照 合同条款第</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16.1</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款的规定处理。如果按照合同条款第 16.1.1</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项的规定采用价格调整公式进行价格调整，由招标人根据项目实际情况测算确定价格调整公式中的变值权重范围，并在投标函附录价格指数和权重表中约定范围；投标人在此范围内填写各可调因子的权重，合同实施期间将按此权重进行调价。</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3.2.8 招标人设有最高投标限价，最高投标限价的计算方法见投标人须知前附表。</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3.2.9 投标报价的其他要求见投标人须知前附表。</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3.3  投标有效期</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3.3.1 除投标人须知前附表另有规定外，投标有效期为90日。</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3.3.2 在投标有效期内，投标人撤销投标文件的，应承担招标文件和法律规定的责任。</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3.3.3 出现特殊情况需要延长投标有效期的，招标人</w:t>
      </w:r>
      <w:r>
        <w:rPr>
          <w:rFonts w:hint="eastAsia" w:eastAsia="宋体" w:cs="宋体"/>
          <w:color w:val="auto"/>
          <w:highlight w:val="none"/>
          <w:lang w:val="en-US" w:eastAsia="zh-CN"/>
        </w:rPr>
        <w:t>在电子交易系统中</w:t>
      </w:r>
      <w:r>
        <w:rPr>
          <w:rFonts w:hint="eastAsia" w:ascii="宋体" w:hAnsi="宋体" w:eastAsia="宋体" w:cs="宋体"/>
          <w:color w:val="auto"/>
          <w:highlight w:val="none"/>
        </w:rPr>
        <w:t>书面形式通知所有投标人延长投标有效期。投标人</w:t>
      </w:r>
      <w:r>
        <w:rPr>
          <w:rFonts w:hint="eastAsia" w:eastAsia="宋体" w:cs="宋体"/>
          <w:color w:val="auto"/>
          <w:highlight w:val="none"/>
          <w:lang w:val="en-US" w:eastAsia="zh-CN"/>
        </w:rPr>
        <w:t>在电子交易系统中确认</w:t>
      </w:r>
      <w:r>
        <w:rPr>
          <w:rFonts w:hint="eastAsia" w:ascii="宋体" w:hAnsi="宋体" w:eastAsia="宋体" w:cs="宋体"/>
          <w:color w:val="auto"/>
          <w:highlight w:val="none"/>
        </w:rPr>
        <w:t>，同意延长的，应相应延长其投标保证金的有效期，但不得要求或被允许修改其投标文件；投标人拒绝延长的，其投标失效，但投标人有权收回其投标保证金。</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3.4  投标保证金</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3.4.1 投标人在递交投标文件的同时，应按投标人须知前附表规定的金额、担保形式和第九章“投标文件格式”规定的投标保证金格式递交投标保证金，并作为其投标文件的组成部分。联合体投标的，其投标保证金由牵头人递交，并应符合投标人须知前附表的规定。</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3.4.2 投标人不按本章第</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3.4.1</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项要求提交投标保证金的，评标委员会将否决其投标。</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3.4.3 投标保证金的退还见投标人须知前附表。</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3.4.4 投标保证金不予退还的情形见投标人须知前附表。</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3.5  资格审查资料</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除投标人须知前附表另有规定外，投标人应按下列规定提供资格审查资料，以证明其满足本章第1.4</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款规定的资质、财务、业绩、信誉等要求。</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3.5.1 “投标人基本情况表”应附资料见投标人须知前附表。</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3.5.2 若投标人须知前附表要求提供“近年财务状况表”，则“近年财务状况表”应附经会计师事务所或审计机构审计的财务会计报表，包括资产负债表、现金流量表、利润表和财务情况说明书的扫描件，具体年份要求见投标人须知前附表。投标人的成立时间少于投标人须知前附表规定年份的，应提供成立以来的财务状况表。</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3.5.3 “近年完成的类似项目情况表”具体年份及需附资料及要求见投标人须知前附表。每张表格只填写一个项目，并标明序号。</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3.5.4 “投标人的信誉情况表”应附投标人在国家企业信用信息公示系统中未被列入严重违法失信企业名单、在“信用中国”网站中未被列入失信被执行人名单的网页截图。</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3.5.5 “拟委任的项目经理、项目技术负责人和安全负责人资历表” 应附资料及要求见投标人须知前附表。</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3.5.6 “拟委任的其他管理和技术人员汇总表”(如有)应填报满足投标人须知前附表附录</w:t>
      </w:r>
      <w:r>
        <w:rPr>
          <w:rFonts w:hint="eastAsia" w:ascii="宋体" w:hAnsi="宋体" w:eastAsia="宋体" w:cs="宋体"/>
          <w:color w:val="auto"/>
          <w:highlight w:val="none"/>
          <w:lang w:val="en-US" w:eastAsia="zh-CN"/>
        </w:rPr>
        <w:t xml:space="preserve"> 6 </w:t>
      </w:r>
      <w:r>
        <w:rPr>
          <w:rFonts w:hint="eastAsia" w:ascii="宋体" w:hAnsi="宋体" w:eastAsia="宋体" w:cs="宋体"/>
          <w:color w:val="auto"/>
          <w:highlight w:val="none"/>
        </w:rPr>
        <w:t>规定的其他人员的相关信息。“拟委任的其他管理和技术人员资历表”(如有)需附资料及要求见投标人须知前附表。</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3.5.7 “拟投入本标段的主要施工机械表”“拟配备本标段的主要材料试验、测量、质检仪器设备表”(如有)应填报满足投标人须知前附表附录 7 规定的机械设备和试验检测设备。</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3.5.8  投标人须知前附表规定接受联合体投标的，本章第</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3.5.1</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项至第</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3.5.7</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项规定的表格和资料应包括联合体各方相关情况。</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3.5.9  除合同条款约定的特殊情形外，投标人在投标文件中填报的项目经理和项目技术负责人不允许更换。</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3.5.10 投标人在投标文件中填报的资质、业绩、主要人员资历和目前在岗情况、信用等级等信息，应与其在浙江省交通运输信用综合管理服务系统上填报并发布的相关信息一致。投标人应根据本单位实际情况及时完成相关信息的申报、录入和动态更新，并对相关信息的真实性、完整性和准确性负责。</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3.5.11 招标人有权核查投标人在投标文件中提供的材料，若在评标期间发现投标人提供了虚假资料，其投标将被否决；若在签订合同前发现作为中标候选人的投标人提供了虚假资料，招标人有权取消其中标资格；若在合同实施期间发现投标人提供了虚假资料，招标人有权从工程支付款或履约保证金中扣除不超过 5</w:t>
      </w:r>
      <w:r>
        <w:rPr>
          <w:rFonts w:hint="eastAsia" w:eastAsia="宋体" w:cs="宋体"/>
          <w:color w:val="auto"/>
          <w:highlight w:val="none"/>
          <w:lang w:val="en-US" w:eastAsia="zh-CN"/>
        </w:rPr>
        <w:t xml:space="preserve"> </w:t>
      </w:r>
      <w:r>
        <w:rPr>
          <w:rFonts w:hint="eastAsia" w:ascii="宋体" w:hAnsi="宋体" w:eastAsia="宋体" w:cs="宋体"/>
          <w:color w:val="auto"/>
          <w:highlight w:val="none"/>
        </w:rPr>
        <w:t>％签约合同价的金额作为违约金。同时招标人将投标人上述弄虚作假行为上报浙江省交通运输厅，作为不良记录纳入浙江省交通运输信用综合管理服务系统。</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3.6  备选投标方案</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3.6.1  除投标人须知前附表规定允许外，投标人不得递交备选投标方案，否则其投标将被否决。</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bookmarkStart w:id="83" w:name="_bookmark41"/>
      <w:bookmarkEnd w:id="83"/>
      <w:bookmarkStart w:id="84" w:name="_bookmark42"/>
      <w:bookmarkEnd w:id="84"/>
      <w:r>
        <w:rPr>
          <w:rFonts w:hint="eastAsia" w:ascii="宋体" w:hAnsi="宋体" w:eastAsia="宋体" w:cs="宋体"/>
          <w:color w:val="auto"/>
          <w:highlight w:val="none"/>
        </w:rPr>
        <w:t>3.6.3  投标人提供两个或两个以上投标报价，或在投标文件中提供一个报价，但同时提供两个或两个以上施工组织设计的，视为提供备选方案。</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3.7  投标文件的编制</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bookmarkStart w:id="85" w:name="_Toc4360"/>
      <w:bookmarkStart w:id="86" w:name="_Toc24181"/>
      <w:r>
        <w:rPr>
          <w:rFonts w:hint="eastAsia" w:ascii="宋体" w:hAnsi="宋体" w:eastAsia="宋体" w:cs="宋体"/>
          <w:color w:val="auto"/>
          <w:highlight w:val="none"/>
          <w:lang w:val="en-US" w:eastAsia="zh-CN"/>
        </w:rPr>
        <w:t xml:space="preserve">3.7.1 投标文件应按第九章“投标文件格式”进行编写，如有必要，可以增加附页，作为投标文件的组成部分。其中，投标函附录在满足招标文件实质性要求的基础上，可以提出比招标文件要求更有利于招标人的承诺。 </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3.7.2 投标文件应当对招标文件有关工期、投标有效期、质量要求、安全目标、技术标准和要求、招标范围等实质性内容作出响应。 </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3.7.3 投标文件的制作应符合投标人须知前附表的规定。 </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3.7.4 因投标人自身原因而导致投标文件无法导入“电子交易平台”电子开标、评标系统，该投标视为无效投标，投标人自行承担由此导致的全部责任。投标人在投标截止时间上传至“电子交易平台”的电子投标文件为投标文件的正本。</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3.7.5 投标时无须提供纸质投标文件，但如招标人要求，中标人应按要求提供纸质投标文件副本，纸质投标文件应为电子投标文件的打印件，并加盖公章。</w:t>
      </w:r>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0" w:firstLineChars="0"/>
        <w:jc w:val="left"/>
        <w:textAlignment w:val="baseline"/>
        <w:outlineLvl w:val="9"/>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4. 投标</w:t>
      </w:r>
      <w:bookmarkEnd w:id="85"/>
      <w:bookmarkEnd w:id="86"/>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0" w:firstLineChars="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4.1  投标文件的密封和标识</w:t>
      </w:r>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4.1 投标文件的密封和标识</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投标文件应按照本章第 3.7.3 项要求制作并加密，未按要求加密的投标文件，招标人（“电子交易平台”）将拒绝接收并提示。</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4.2 投标文件的递交</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4.2.1 投标人应在第一章“招标公告”规定的投标截止时间前，通过互联网使用 CA 数字证书登录“电子交易平台”，将加密的投标文件上传，并保存上传成功后系统自动生成的电子签收凭证，递交时间即为电子签收凭证时间。投标人应充分考虑上传文件时的不可预见因素，未在投标截止时间前完成上传的，视为逾期送达，招标人（“电子交易平台”）将拒绝接收。</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4.2.2 递交投标文件方式和地点：见投标人须知前附表。</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4.2.3 是否退还投标文件：见投标人须知前附表。</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4.2.4 投标文件不予受理的情形：见投标人须知前附表。</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4.3 投标文件的修改与撤回</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4.3.1 在本章第 4.2.1 项规定的投标截止时间前，投标人可以修改或撤回已递交的投标文件。投标人对加密的投标文件进行撤回的，应在“电子交易平台”直接进行撤回操作；投标人对加密的投标文件进行修改的，应在投标截止时间前完成上传。</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4.3.2 投标人修改投标文件的，应使用“投标文件制作工具”制作成完整的投标文件，并按照本章第3 条、第 4 条规定进行编制、加密和递交。对采用网上递交的加密的投标文件，以投标截止时间前最后完成上传的文件为准。</w:t>
      </w:r>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0" w:firstLineChars="0"/>
        <w:jc w:val="left"/>
        <w:textAlignment w:val="baseline"/>
        <w:outlineLvl w:val="9"/>
        <w:rPr>
          <w:rFonts w:hint="eastAsia" w:ascii="宋体" w:hAnsi="宋体" w:eastAsia="宋体" w:cs="宋体"/>
          <w:b/>
          <w:bCs/>
          <w:color w:val="auto"/>
          <w:sz w:val="28"/>
          <w:szCs w:val="28"/>
          <w:highlight w:val="none"/>
        </w:rPr>
      </w:pPr>
      <w:bookmarkStart w:id="87" w:name="_Toc13413"/>
      <w:bookmarkStart w:id="88" w:name="_Toc17393"/>
      <w:r>
        <w:rPr>
          <w:rFonts w:hint="eastAsia" w:ascii="宋体" w:hAnsi="宋体" w:eastAsia="宋体" w:cs="宋体"/>
          <w:b/>
          <w:bCs/>
          <w:color w:val="auto"/>
          <w:sz w:val="28"/>
          <w:szCs w:val="28"/>
          <w:highlight w:val="none"/>
        </w:rPr>
        <w:t>5. 开标</w:t>
      </w:r>
      <w:bookmarkEnd w:id="87"/>
      <w:bookmarkEnd w:id="88"/>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5.1  开标时间和地点</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招标人在本章第</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4.2.1</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项规定的投标截止时间 (开标时间) 和投标人须知前附表规定的地点对收到的投标文件第一个信封(商务及技术文件)公开开标。</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招标人在投标人须知前附表规定的时间和地点对投标文件第二个信封 (报价文件) 进行开标。</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5.2  开标程序</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开标程序见投标人须知前附表。</w:t>
      </w:r>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0" w:firstLineChars="0"/>
        <w:jc w:val="left"/>
        <w:textAlignment w:val="baseline"/>
        <w:outlineLvl w:val="9"/>
        <w:rPr>
          <w:rFonts w:hint="eastAsia" w:ascii="宋体" w:hAnsi="宋体" w:eastAsia="宋体" w:cs="宋体"/>
          <w:b/>
          <w:bCs/>
          <w:color w:val="auto"/>
          <w:sz w:val="28"/>
          <w:szCs w:val="28"/>
          <w:highlight w:val="none"/>
        </w:rPr>
      </w:pPr>
      <w:bookmarkStart w:id="89" w:name="_Toc20795"/>
      <w:bookmarkStart w:id="90" w:name="_Toc32283"/>
      <w:r>
        <w:rPr>
          <w:rFonts w:hint="eastAsia" w:ascii="宋体" w:hAnsi="宋体" w:eastAsia="宋体" w:cs="宋体"/>
          <w:b/>
          <w:bCs/>
          <w:color w:val="auto"/>
          <w:sz w:val="28"/>
          <w:szCs w:val="28"/>
          <w:highlight w:val="none"/>
        </w:rPr>
        <w:t>6. 评标</w:t>
      </w:r>
      <w:bookmarkEnd w:id="89"/>
      <w:bookmarkEnd w:id="90"/>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0" w:firstLineChars="0"/>
        <w:jc w:val="left"/>
        <w:textAlignment w:val="baseline"/>
        <w:outlineLvl w:val="2"/>
        <w:rPr>
          <w:rFonts w:hint="eastAsia" w:ascii="宋体" w:hAnsi="宋体" w:eastAsia="宋体" w:cs="宋体"/>
          <w:color w:val="auto"/>
          <w:highlight w:val="none"/>
        </w:rPr>
      </w:pPr>
      <w:r>
        <w:rPr>
          <w:rFonts w:hint="eastAsia" w:ascii="宋体" w:hAnsi="宋体" w:eastAsia="宋体" w:cs="宋体"/>
          <w:color w:val="auto"/>
          <w:highlight w:val="none"/>
        </w:rPr>
        <w:t>6.1 评标委员会</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6.1.1 评标由招标人依法组建的评标委员会负责。评标委员会由招标人或其委托的招标代理机构熟悉相关业务的代表，以及有关技术、经济等方面的专家组成。评标委员会成员人数以及技术、经济 等方面专家的确定方式见投标人须知前附表。</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6.1.2 评标委员会成员有下列情形之一的，应主动提出回避：</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(1)为负责招标项目监督管理的交通运输主管部门的工作人员；</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(2)与投标人法定代表人或其委托代理人有近亲属关系；</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(3)为投标人的工作人员或退休人员；</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(4)与投标人有其他利害关系，可能影响评标活动公正性；</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(5)在与招标投标有关的活动中有过违法违规行为、曾受过行政处罚或刑事处罚。</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6.1.3 评标过程中，评标委员会成员有回避事由、擅离职守或因健康等原因不能继续评标的，招标人有权更换。被更换的评标委员会成员作出的评审结论无效，由更换后的评标委员会成员重新进行评审。</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6.2 评标原则</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评标活动遵循公平、公正、科学和择优的原则。</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6.3 评标</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lang w:eastAsia="zh-CN"/>
        </w:rPr>
      </w:pPr>
      <w:r>
        <w:rPr>
          <w:rFonts w:hint="eastAsia" w:ascii="宋体" w:hAnsi="宋体" w:eastAsia="宋体" w:cs="宋体"/>
          <w:color w:val="auto"/>
          <w:highlight w:val="none"/>
        </w:rPr>
        <w:t>6.3.1 评标委员会按照第三章“评标办法”规定的方法、评审因素、标准和程序对投标文件进行评审。第三章“评标办法”没有规定的方法、评审因素和标准，不作为评标依据</w:t>
      </w:r>
      <w:r>
        <w:rPr>
          <w:rFonts w:hint="eastAsia" w:ascii="宋体" w:hAnsi="宋体" w:eastAsia="宋体" w:cs="宋体"/>
          <w:color w:val="auto"/>
          <w:highlight w:val="none"/>
          <w:lang w:eastAsia="zh-CN"/>
        </w:rPr>
        <w:t>。</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6.3.2 评标完成后，评标委员会应向招标人提交书面评标报告和中标候选人名单。评标委员会推荐中标候选人的人数见投标人须知前附表。</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6.3.3 评标及补救措施</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评标委员会按照本章第</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6.3.1</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项的规定在</w:t>
      </w:r>
      <w:r>
        <w:rPr>
          <w:rFonts w:hint="eastAsia" w:eastAsia="宋体" w:cs="宋体"/>
          <w:color w:val="auto"/>
          <w:highlight w:val="none"/>
          <w:lang w:val="en-US" w:eastAsia="zh-CN"/>
        </w:rPr>
        <w:t>电子评标系统上</w:t>
      </w:r>
      <w:r>
        <w:rPr>
          <w:rFonts w:hint="eastAsia" w:ascii="宋体" w:hAnsi="宋体" w:eastAsia="宋体" w:cs="宋体"/>
          <w:color w:val="auto"/>
          <w:highlight w:val="none"/>
        </w:rPr>
        <w:t>开展评审工作。如果评标过程中出现异常情况，导致无法继续评审工作的，可暂停评标，对原有资料及信息作出妥善保密处理，待电子评标系统恢复正常之后，应重新组织评审。</w:t>
      </w:r>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0" w:firstLineChars="0"/>
        <w:jc w:val="left"/>
        <w:textAlignment w:val="baseline"/>
        <w:outlineLvl w:val="1"/>
        <w:rPr>
          <w:rFonts w:hint="eastAsia" w:ascii="宋体" w:hAnsi="宋体" w:eastAsia="宋体" w:cs="宋体"/>
          <w:b/>
          <w:bCs/>
          <w:color w:val="auto"/>
          <w:sz w:val="28"/>
          <w:szCs w:val="28"/>
          <w:highlight w:val="none"/>
        </w:rPr>
      </w:pPr>
      <w:bookmarkStart w:id="91" w:name="_Toc287"/>
      <w:bookmarkStart w:id="92" w:name="_Toc20026"/>
      <w:r>
        <w:rPr>
          <w:rFonts w:hint="eastAsia" w:ascii="宋体" w:hAnsi="宋体" w:eastAsia="宋体" w:cs="宋体"/>
          <w:b/>
          <w:bCs/>
          <w:color w:val="auto"/>
          <w:sz w:val="28"/>
          <w:szCs w:val="28"/>
          <w:highlight w:val="none"/>
        </w:rPr>
        <w:t>7.</w:t>
      </w:r>
      <w:r>
        <w:rPr>
          <w:rFonts w:hint="eastAsia" w:ascii="宋体" w:hAnsi="宋体" w:eastAsia="宋体" w:cs="宋体"/>
          <w:b/>
          <w:bCs/>
          <w:color w:val="auto"/>
          <w:sz w:val="28"/>
          <w:szCs w:val="28"/>
          <w:highlight w:val="none"/>
          <w:lang w:val="en-US" w:eastAsia="zh-CN"/>
        </w:rPr>
        <w:t xml:space="preserve"> </w:t>
      </w:r>
      <w:r>
        <w:rPr>
          <w:rFonts w:hint="eastAsia" w:ascii="宋体" w:hAnsi="宋体" w:eastAsia="宋体" w:cs="宋体"/>
          <w:b/>
          <w:bCs/>
          <w:color w:val="auto"/>
          <w:sz w:val="28"/>
          <w:szCs w:val="28"/>
          <w:highlight w:val="none"/>
        </w:rPr>
        <w:t>合同授予</w:t>
      </w:r>
      <w:bookmarkEnd w:id="91"/>
      <w:bookmarkEnd w:id="92"/>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2"/>
        <w:rPr>
          <w:rFonts w:hint="eastAsia" w:ascii="宋体" w:hAnsi="宋体" w:eastAsia="宋体" w:cs="宋体"/>
          <w:color w:val="auto"/>
          <w:highlight w:val="none"/>
        </w:rPr>
      </w:pPr>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中标候选人的公示</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招标人在收到评标报告之日起</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日内，按照投标人须知前附表规定的公示媒体和期限公示中标候选人，公示期不得少于</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日，公示内容见投标人须知前附表。</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2"/>
        <w:rPr>
          <w:rFonts w:hint="eastAsia" w:ascii="宋体" w:hAnsi="宋体" w:eastAsia="宋体" w:cs="宋体"/>
          <w:color w:val="auto"/>
          <w:highlight w:val="none"/>
        </w:rPr>
      </w:pPr>
      <w:r>
        <w:rPr>
          <w:rFonts w:hint="eastAsia" w:ascii="宋体" w:hAnsi="宋体" w:eastAsia="宋体" w:cs="宋体"/>
          <w:color w:val="auto"/>
          <w:highlight w:val="none"/>
        </w:rPr>
        <w:t>7.2 评标结果异议</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投标人或者其他利害关系人对依法必须进行招标的项目的评标结果有异议的，应在中标候选人公示期间提出。招标人将在收到异议之日起 3 日内作出答复；作出答复前，将暂停招标投标活动。</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2"/>
        <w:rPr>
          <w:rFonts w:hint="eastAsia" w:ascii="宋体" w:hAnsi="宋体" w:eastAsia="宋体" w:cs="宋体"/>
          <w:color w:val="auto"/>
          <w:highlight w:val="none"/>
        </w:rPr>
      </w:pPr>
      <w:r>
        <w:rPr>
          <w:rFonts w:hint="eastAsia" w:ascii="宋体" w:hAnsi="宋体" w:eastAsia="宋体" w:cs="宋体"/>
          <w:color w:val="auto"/>
          <w:highlight w:val="none"/>
        </w:rPr>
        <w:t>7.3  中标候选人履约能力审查</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中标候选人的经营、财务状况发生较大变化或者存在违法行为，招标人认为可能影响其履约能力的，将在发出中标通知书前报请行政监督部门，由招标人召集原评标委员会按照招标文件规定的标准和方法审查确认。</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2"/>
        <w:rPr>
          <w:rFonts w:hint="eastAsia" w:ascii="宋体" w:hAnsi="宋体" w:eastAsia="宋体" w:cs="宋体"/>
          <w:color w:val="auto"/>
          <w:highlight w:val="none"/>
        </w:rPr>
      </w:pPr>
      <w:r>
        <w:rPr>
          <w:rFonts w:hint="eastAsia" w:ascii="宋体" w:hAnsi="宋体" w:eastAsia="宋体" w:cs="宋体"/>
          <w:color w:val="auto"/>
          <w:highlight w:val="none"/>
        </w:rPr>
        <w:t>7.4  定标</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按照投标人须知前附表的规定，招标人或招标人授权的评标委员会依法确定中标人。</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2"/>
        <w:rPr>
          <w:rFonts w:hint="eastAsia" w:ascii="宋体" w:hAnsi="宋体" w:eastAsia="宋体" w:cs="宋体"/>
          <w:color w:val="auto"/>
          <w:highlight w:val="none"/>
        </w:rPr>
      </w:pPr>
      <w:r>
        <w:rPr>
          <w:rFonts w:hint="eastAsia" w:ascii="宋体" w:hAnsi="宋体" w:eastAsia="宋体" w:cs="宋体"/>
          <w:color w:val="auto"/>
          <w:highlight w:val="none"/>
        </w:rPr>
        <w:t>7.5  中标通知</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在本章第</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3.3</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款规定的投标有效期内，招标人以书面形式向中标人发出中标通知书。</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2"/>
        <w:rPr>
          <w:rFonts w:hint="eastAsia" w:ascii="宋体" w:hAnsi="宋体" w:eastAsia="宋体" w:cs="宋体"/>
          <w:color w:val="auto"/>
          <w:highlight w:val="none"/>
        </w:rPr>
      </w:pPr>
      <w:r>
        <w:rPr>
          <w:rFonts w:hint="eastAsia" w:ascii="宋体" w:hAnsi="宋体" w:eastAsia="宋体" w:cs="宋体"/>
          <w:color w:val="auto"/>
          <w:highlight w:val="none"/>
        </w:rPr>
        <w:t>7.6  中标结果公告</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招标人在确定中标人之日起</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日内，按照投标人须知前附表规定的公告媒介和期限公告中标结果，公告期不得少于</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日。公告内容包括中标人名称、中标价。</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2"/>
        <w:rPr>
          <w:rFonts w:hint="eastAsia" w:ascii="宋体" w:hAnsi="宋体" w:eastAsia="宋体" w:cs="宋体"/>
          <w:color w:val="auto"/>
          <w:highlight w:val="none"/>
        </w:rPr>
      </w:pPr>
      <w:r>
        <w:rPr>
          <w:rFonts w:hint="eastAsia" w:ascii="宋体" w:hAnsi="宋体" w:eastAsia="宋体" w:cs="宋体"/>
          <w:color w:val="auto"/>
          <w:highlight w:val="none"/>
        </w:rPr>
        <w:t>7.7  履约保证金</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7.7.1 在签订合同前，中标人应按投标人须知前附表规定的形式、金额和招标文件第四章“合同条款及格式”规定的或事先经过招标人书面认可的履约保证金格式向招标人提交履约保证金。联合体中标的，其履约保证金以联合体各方或联合体牵头人的名义提交。</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采用银行保函时，应由符合投标人须知前附表规定级别的银行开具，所需的费用由中标人承担，中标人应保证银行保函有效。</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7.7.2 中标人不能按本章第 7.7.1 项要求提交履约保证金的，视为放弃中标，其投标保证金不予退还，给招标人造成的损失超过投标保证金数额的，中标人还应当对超过部分予以赔偿。</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2"/>
        <w:rPr>
          <w:rFonts w:hint="eastAsia" w:ascii="宋体" w:hAnsi="宋体" w:eastAsia="宋体" w:cs="宋体"/>
          <w:color w:val="auto"/>
          <w:highlight w:val="none"/>
        </w:rPr>
      </w:pPr>
      <w:r>
        <w:rPr>
          <w:rFonts w:hint="eastAsia" w:ascii="宋体" w:hAnsi="宋体" w:eastAsia="宋体" w:cs="宋体"/>
          <w:color w:val="auto"/>
          <w:highlight w:val="none"/>
        </w:rPr>
        <w:t>7.8 签订合同</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7.8.1 招标人和中标人应当自中标通知书发出之日起30日内，根据招标文件和中标人的投标文件 订立书面合同。中标人无正当理由拒签合同的，在签订合同时向招标人提出附加条件，或不能按照招标文件要求提交履约保证金的，招标人取消其中标资格，其投标保证金不予退还；给招标人造成的损失超过投标保证金数额的，中标人还应当对超过部分予以赔偿。</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7.8.2 发出中标通知书后，招标人无正当理由拒签合同，或在签订合同时向中标人提出附加条件的，招标人向中标人退还投标保证金；给中标人造成损失的，还应当赔偿损失。</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7.8.3 签约合同价的确定原则如下：</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(1)按照评标办法规定对投标报价进行修正后，若修正后的最终投标报价小于开标时的投标函大写金额报价，则签订合同时以修正后的最终投标报价为准；</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(2)按照评标办法规定对投标报价进行修正后，若修正后的最终投标报价大于开标时的投标函大写金额报价，则签订合同时以开标时的投标函大写金额报价为准，同时按比例修正相应子目的单价或合价。</w:t>
      </w:r>
    </w:p>
    <w:p>
      <w:pPr>
        <w:pStyle w:val="3"/>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7.8.4 联合体中标的，联合体各方应共同与招标人签订合同，就中标项目向招标人承担连带责任。</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7.8.5 招标人和中标人在签订合同协议书的同时，须按照本招标文件规定的格式和要求签订廉政 合同、安全生产合同、工程质量责任合同和工程资金监管协议，明确双方在廉政建设、安全生产、工 程质量和工程资金监管方面的权利和义务以及应承担的违约责任。</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7.8.6 在签订合同协议书的同时，中标人应签署项目图纸资料和保密承诺书。</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jc w:val="left"/>
        <w:textAlignment w:val="baseline"/>
        <w:outlineLvl w:val="9"/>
        <w:rPr>
          <w:rFonts w:hint="eastAsia"/>
          <w:color w:val="auto"/>
          <w:highlight w:val="none"/>
        </w:rPr>
      </w:pPr>
      <w:r>
        <w:rPr>
          <w:rFonts w:hint="eastAsia" w:ascii="宋体" w:hAnsi="宋体" w:eastAsia="宋体" w:cs="宋体"/>
          <w:color w:val="auto"/>
          <w:highlight w:val="none"/>
        </w:rPr>
        <w:t>7.8.7 排名第一的中标候选人放弃中标、因不可抗力提出不能履行合同、不按照招标文件的要求</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提交履约保证金，或者被查实存在影响中标结果的违法行为等情形，不符合中标条件的，招标人可以</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按照评标委员会提出的中标候选人名单排序依次确定其他中标候选人为中标人。依次确定其他中标候</w:t>
      </w:r>
    </w:p>
    <w:p>
      <w:pPr>
        <w:pStyle w:val="3"/>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0" w:firstLineChars="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选人与招标人预期差距较大，或者对招标人明显不利的，招标人可以重新招标。</w:t>
      </w:r>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0" w:firstLineChars="0"/>
        <w:jc w:val="left"/>
        <w:textAlignment w:val="baseline"/>
        <w:outlineLvl w:val="1"/>
        <w:rPr>
          <w:rFonts w:hint="eastAsia" w:ascii="宋体" w:hAnsi="宋体" w:eastAsia="宋体" w:cs="宋体"/>
          <w:b/>
          <w:bCs/>
          <w:color w:val="auto"/>
          <w:sz w:val="28"/>
          <w:szCs w:val="28"/>
          <w:highlight w:val="none"/>
        </w:rPr>
      </w:pPr>
      <w:bookmarkStart w:id="93" w:name="_Toc11855"/>
      <w:bookmarkStart w:id="94" w:name="_Toc3689"/>
      <w:r>
        <w:rPr>
          <w:rFonts w:hint="eastAsia" w:ascii="宋体" w:hAnsi="宋体" w:eastAsia="宋体" w:cs="宋体"/>
          <w:b/>
          <w:bCs/>
          <w:color w:val="auto"/>
          <w:sz w:val="28"/>
          <w:szCs w:val="28"/>
          <w:highlight w:val="none"/>
        </w:rPr>
        <w:t>8. 纪律和监督</w:t>
      </w:r>
      <w:bookmarkEnd w:id="93"/>
      <w:bookmarkEnd w:id="94"/>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0" w:firstLineChars="0"/>
        <w:jc w:val="left"/>
        <w:textAlignment w:val="baseline"/>
        <w:outlineLvl w:val="2"/>
        <w:rPr>
          <w:rFonts w:hint="eastAsia" w:ascii="宋体" w:hAnsi="宋体" w:eastAsia="宋体" w:cs="宋体"/>
          <w:color w:val="auto"/>
          <w:highlight w:val="none"/>
        </w:rPr>
      </w:pPr>
      <w:r>
        <w:rPr>
          <w:rFonts w:hint="eastAsia" w:ascii="宋体" w:hAnsi="宋体" w:eastAsia="宋体" w:cs="宋体"/>
          <w:color w:val="auto"/>
          <w:highlight w:val="none"/>
        </w:rPr>
        <w:t>8.1 对招标人的纪律要求</w:t>
      </w:r>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招标人不得泄漏招标投标活动中应当保密的情况和资料，不得与投标人串通损害国家利益、社会公共利益或他人合法权益。</w:t>
      </w:r>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0" w:firstLineChars="0"/>
        <w:jc w:val="left"/>
        <w:textAlignment w:val="baseline"/>
        <w:outlineLvl w:val="2"/>
        <w:rPr>
          <w:rFonts w:hint="eastAsia" w:ascii="宋体" w:hAnsi="宋体" w:eastAsia="宋体" w:cs="宋体"/>
          <w:color w:val="auto"/>
          <w:highlight w:val="none"/>
        </w:rPr>
      </w:pPr>
      <w:r>
        <w:rPr>
          <w:rFonts w:hint="eastAsia" w:ascii="宋体" w:hAnsi="宋体" w:eastAsia="宋体" w:cs="宋体"/>
          <w:color w:val="auto"/>
          <w:highlight w:val="none"/>
        </w:rPr>
        <w:t>8.2 对</w:t>
      </w:r>
      <w:r>
        <w:rPr>
          <w:rFonts w:hint="eastAsia" w:ascii="宋体" w:hAnsi="宋体" w:eastAsia="宋体" w:cs="宋体"/>
          <w:color w:val="auto"/>
          <w:highlight w:val="none"/>
          <w:lang w:val="en-US" w:eastAsia="zh-CN"/>
        </w:rPr>
        <w:t>投标</w:t>
      </w:r>
      <w:r>
        <w:rPr>
          <w:rFonts w:hint="eastAsia" w:ascii="宋体" w:hAnsi="宋体" w:eastAsia="宋体" w:cs="宋体"/>
          <w:color w:val="auto"/>
          <w:highlight w:val="none"/>
        </w:rPr>
        <w:t>人的纪律要求</w:t>
      </w:r>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3"/>
        <w:keepNext w:val="0"/>
        <w:keepLines w:val="0"/>
        <w:pageBreakBefore w:val="0"/>
        <w:widowControl w:val="0"/>
        <w:tabs>
          <w:tab w:val="left" w:pos="411"/>
        </w:tabs>
        <w:kinsoku w:val="0"/>
        <w:wordWrap/>
        <w:overflowPunct/>
        <w:topLinePunct w:val="0"/>
        <w:autoSpaceDE w:val="0"/>
        <w:autoSpaceDN w:val="0"/>
        <w:bidi w:val="0"/>
        <w:adjustRightInd w:val="0"/>
        <w:snapToGrid w:val="0"/>
        <w:spacing w:line="360" w:lineRule="exact"/>
        <w:ind w:left="0" w:leftChars="0" w:firstLine="0" w:firstLineChars="0"/>
        <w:jc w:val="left"/>
        <w:textAlignment w:val="baseline"/>
        <w:outlineLvl w:val="2"/>
        <w:rPr>
          <w:rFonts w:hint="eastAsia" w:ascii="宋体" w:hAnsi="宋体" w:eastAsia="宋体" w:cs="宋体"/>
          <w:color w:val="auto"/>
          <w:highlight w:val="none"/>
        </w:rPr>
      </w:pPr>
      <w:r>
        <w:rPr>
          <w:rFonts w:hint="eastAsia" w:ascii="宋体" w:hAnsi="宋体" w:eastAsia="宋体" w:cs="宋体"/>
          <w:color w:val="auto"/>
          <w:highlight w:val="none"/>
        </w:rPr>
        <w:t>8.3 对评标委员会成员的纪律要求</w:t>
      </w:r>
    </w:p>
    <w:p>
      <w:pPr>
        <w:pStyle w:val="3"/>
        <w:keepNext w:val="0"/>
        <w:keepLines w:val="0"/>
        <w:pageBreakBefore w:val="0"/>
        <w:widowControl w:val="0"/>
        <w:tabs>
          <w:tab w:val="left" w:pos="411"/>
        </w:tabs>
        <w:kinsoku w:val="0"/>
        <w:wordWrap/>
        <w:overflowPunct/>
        <w:topLinePunct w:val="0"/>
        <w:autoSpaceDE w:val="0"/>
        <w:autoSpaceDN w:val="0"/>
        <w:bidi w:val="0"/>
        <w:adjustRightInd w:val="0"/>
        <w:snapToGrid w:val="0"/>
        <w:spacing w:line="360" w:lineRule="exact"/>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评标委员会成员不得收受他人的财物或者其他好处，不得向他人透漏对投标文件的评审和比较、中标候选人的推荐情况以及评标有关的其他情况。在评标活动中，评标委员会成员应客观、公正地履 行职责，遵守职业道德，不得擅离职守，影响评标程序正常进行，不得使用第三章“评标办法”没有规定的评审因素和标准进行评标。</w:t>
      </w:r>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0" w:firstLineChars="0"/>
        <w:jc w:val="left"/>
        <w:textAlignment w:val="baseline"/>
        <w:outlineLvl w:val="2"/>
        <w:rPr>
          <w:rFonts w:hint="eastAsia" w:ascii="宋体" w:hAnsi="宋体" w:eastAsia="宋体" w:cs="宋体"/>
          <w:color w:val="auto"/>
          <w:highlight w:val="none"/>
        </w:rPr>
      </w:pPr>
      <w:r>
        <w:rPr>
          <w:rFonts w:hint="eastAsia" w:ascii="宋体" w:hAnsi="宋体" w:eastAsia="宋体" w:cs="宋体"/>
          <w:color w:val="auto"/>
          <w:highlight w:val="none"/>
        </w:rPr>
        <w:t>8.4 对与评标活动有关的工作人员的纪律要求</w:t>
      </w:r>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与评标活动有关的工作人员不得收受他人的财物或者其他好处，不得向他人透漏对投标文件的评 审和比较、中标候选人的推荐情况以及评标有关的其他情况。在评标活动中，与评标活动有关的工作 人员不得擅离职守，影响评标程序正常进行。</w:t>
      </w:r>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0" w:firstLineChars="0"/>
        <w:jc w:val="left"/>
        <w:textAlignment w:val="baseline"/>
        <w:outlineLvl w:val="2"/>
        <w:rPr>
          <w:rFonts w:hint="eastAsia" w:ascii="宋体" w:hAnsi="宋体" w:eastAsia="宋体" w:cs="宋体"/>
          <w:color w:val="auto"/>
          <w:highlight w:val="none"/>
        </w:rPr>
      </w:pPr>
      <w:r>
        <w:rPr>
          <w:rFonts w:hint="eastAsia" w:ascii="宋体" w:hAnsi="宋体" w:eastAsia="宋体" w:cs="宋体"/>
          <w:color w:val="auto"/>
          <w:highlight w:val="none"/>
        </w:rPr>
        <w:t>8.5  投诉</w:t>
      </w:r>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8.5.1 招标人逾期未答复异议事项，或者潜在投标人或其他利害关系人对招标人的答复不满意，或者潜在投标人或其他利害关系人认为本次招标活动违反法律、法规和规章规定的，投标人或其他利 害关系人可以自知道或应当知道之日起</w:t>
      </w:r>
      <w:r>
        <w:rPr>
          <w:rFonts w:hint="eastAsia" w:eastAsia="宋体" w:cs="宋体"/>
          <w:color w:val="auto"/>
          <w:highlight w:val="none"/>
          <w:lang w:val="en-US" w:eastAsia="zh-CN"/>
        </w:rPr>
        <w:t xml:space="preserve"> </w:t>
      </w:r>
      <w:r>
        <w:rPr>
          <w:rFonts w:hint="eastAsia" w:ascii="宋体" w:hAnsi="宋体" w:eastAsia="宋体" w:cs="宋体"/>
          <w:color w:val="auto"/>
          <w:highlight w:val="none"/>
        </w:rPr>
        <w:t>10</w:t>
      </w:r>
      <w:r>
        <w:rPr>
          <w:rFonts w:hint="eastAsia" w:eastAsia="宋体" w:cs="宋体"/>
          <w:color w:val="auto"/>
          <w:highlight w:val="none"/>
          <w:lang w:val="en-US" w:eastAsia="zh-CN"/>
        </w:rPr>
        <w:t xml:space="preserve"> </w:t>
      </w:r>
      <w:r>
        <w:rPr>
          <w:rFonts w:hint="eastAsia" w:ascii="宋体" w:hAnsi="宋体" w:eastAsia="宋体" w:cs="宋体"/>
          <w:color w:val="auto"/>
          <w:highlight w:val="none"/>
        </w:rPr>
        <w:t>日内向有关行政监督部门投诉。投诉应按《中华人民共和国招标投标法实施条例》、《工程建设项目招标投标活动投诉处理办法》(国家七部委令2004 年第11号) 及《关于废止和修改部分招标投标规章和规范性文件的决定》(国家发改委等九部委令2013年第23号)办理。</w:t>
      </w:r>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上述时限最后一日如遇国家法定休假日的，顺延至法定休假日后的第一个工作日。</w:t>
      </w:r>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监督部门的联系方式见投标人须知前附表。</w:t>
      </w:r>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420" w:firstLineChars="200"/>
        <w:jc w:val="left"/>
        <w:textAlignment w:val="baseline"/>
        <w:outlineLvl w:val="9"/>
        <w:rPr>
          <w:rFonts w:hint="eastAsia" w:ascii="宋体" w:hAnsi="宋体" w:eastAsia="宋体" w:cs="宋体"/>
          <w:color w:val="auto"/>
          <w:highlight w:val="none"/>
        </w:rPr>
      </w:pPr>
      <w:r>
        <w:rPr>
          <w:rFonts w:hint="eastAsia" w:ascii="宋体" w:hAnsi="宋体" w:eastAsia="宋体" w:cs="宋体"/>
          <w:color w:val="auto"/>
          <w:highlight w:val="none"/>
        </w:rPr>
        <w:t>8.5.2 投标人或其他利害关系人对招标文件、开标和评标结果提出投诉的，应按照本章第</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2.4</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款、第</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5.3</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款和第</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7.2</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款的规定先向招标人提出异议。异议答复期间不计算在第</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8.5.1</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项规定的期限内。</w:t>
      </w:r>
    </w:p>
    <w:p>
      <w:pPr>
        <w:pStyle w:val="3"/>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firstLine="0" w:firstLineChars="0"/>
        <w:jc w:val="left"/>
        <w:textAlignment w:val="baseline"/>
        <w:outlineLvl w:val="1"/>
        <w:rPr>
          <w:rFonts w:hint="eastAsia"/>
          <w:color w:val="auto"/>
          <w:highlight w:val="none"/>
        </w:rPr>
      </w:pPr>
      <w:bookmarkStart w:id="95" w:name="_Toc21314"/>
      <w:bookmarkStart w:id="96" w:name="_Toc128"/>
      <w:r>
        <w:rPr>
          <w:rFonts w:hint="eastAsia" w:ascii="宋体" w:hAnsi="宋体" w:eastAsia="宋体" w:cs="宋体"/>
          <w:b/>
          <w:bCs/>
          <w:color w:val="auto"/>
          <w:sz w:val="28"/>
          <w:szCs w:val="28"/>
          <w:highlight w:val="none"/>
        </w:rPr>
        <w:t>9. 需要补充的其他内容</w:t>
      </w:r>
      <w:bookmarkEnd w:id="95"/>
      <w:bookmarkEnd w:id="96"/>
    </w:p>
    <w:p>
      <w:pPr>
        <w:pageBreakBefore w:val="0"/>
        <w:wordWrap/>
        <w:overflowPunct/>
        <w:topLinePunct w:val="0"/>
        <w:bidi w:val="0"/>
        <w:adjustRightInd w:val="0"/>
        <w:snapToGrid w:val="0"/>
        <w:spacing w:line="400" w:lineRule="exact"/>
        <w:ind w:right="0" w:firstLine="440" w:firstLineChars="200"/>
        <w:jc w:val="both"/>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lang w:val="en-US" w:eastAsia="zh-CN"/>
        </w:rPr>
        <w:t>9.1 自获取招标文件之日起，投标人应自行关注“电子交易平台”，以便及时收到招标人发出的函件（招标文件的澄清、修改等），投标文件递交后应保证其提供的联系方式（电话、传真、电子邮件）一直有效并应及时向招标人反馈信息，否则招标人不承担由此引起的一切后果。</w:t>
      </w:r>
    </w:p>
    <w:p>
      <w:pPr>
        <w:pageBreakBefore w:val="0"/>
        <w:wordWrap/>
        <w:overflowPunct/>
        <w:topLinePunct w:val="0"/>
        <w:bidi w:val="0"/>
        <w:adjustRightInd w:val="0"/>
        <w:snapToGrid w:val="0"/>
        <w:spacing w:line="400" w:lineRule="exact"/>
        <w:ind w:right="0" w:firstLine="440" w:firstLineChars="200"/>
        <w:jc w:val="both"/>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lang w:val="en-US" w:eastAsia="zh-CN"/>
        </w:rPr>
        <w:t>9.2 其他约定</w:t>
      </w:r>
    </w:p>
    <w:p>
      <w:pPr>
        <w:pageBreakBefore w:val="0"/>
        <w:wordWrap/>
        <w:overflowPunct/>
        <w:topLinePunct w:val="0"/>
        <w:bidi w:val="0"/>
        <w:adjustRightInd w:val="0"/>
        <w:snapToGrid w:val="0"/>
        <w:spacing w:line="400" w:lineRule="exact"/>
        <w:ind w:right="0" w:firstLine="440" w:firstLineChars="200"/>
        <w:jc w:val="both"/>
        <w:rPr>
          <w:rFonts w:hint="eastAsia" w:ascii="宋体" w:hAnsi="宋体" w:eastAsia="宋体" w:cs="宋体"/>
          <w:color w:val="auto"/>
          <w:spacing w:val="5"/>
          <w:sz w:val="20"/>
          <w:szCs w:val="20"/>
          <w:highlight w:val="none"/>
          <w:lang w:val="en-US" w:eastAsia="zh-CN"/>
        </w:rPr>
      </w:pPr>
      <w:r>
        <w:rPr>
          <w:rFonts w:hint="eastAsia" w:ascii="宋体" w:hAnsi="宋体" w:eastAsia="宋体" w:cs="宋体"/>
          <w:color w:val="auto"/>
          <w:spacing w:val="5"/>
          <w:sz w:val="21"/>
          <w:szCs w:val="21"/>
          <w:highlight w:val="none"/>
          <w:lang w:val="en-US" w:eastAsia="zh-CN"/>
        </w:rPr>
        <w:t>需要补充的其他内容：见投标人须知前附表。</w:t>
      </w:r>
    </w:p>
    <w:p>
      <w:pPr>
        <w:keepNext w:val="0"/>
        <w:keepLines w:val="0"/>
        <w:pageBreakBefore w:val="0"/>
        <w:kinsoku w:val="0"/>
        <w:wordWrap/>
        <w:overflowPunct/>
        <w:topLinePunct w:val="0"/>
        <w:autoSpaceDE w:val="0"/>
        <w:autoSpaceDN w:val="0"/>
        <w:bidi w:val="0"/>
        <w:adjustRightInd w:val="0"/>
        <w:snapToGrid w:val="0"/>
        <w:spacing w:before="78" w:line="360" w:lineRule="exact"/>
        <w:ind w:left="148"/>
        <w:textAlignment w:val="baseline"/>
        <w:rPr>
          <w:rFonts w:ascii="宋体" w:hAnsi="宋体" w:eastAsia="宋体" w:cs="宋体"/>
          <w:color w:val="auto"/>
          <w:spacing w:val="-3"/>
          <w:sz w:val="24"/>
          <w:szCs w:val="24"/>
          <w:highlight w:val="none"/>
          <w14:textOutline w14:w="4354" w14:cap="flat" w14:cmpd="sng">
            <w14:solidFill>
              <w14:srgbClr w14:val="000000"/>
            </w14:solidFill>
            <w14:prstDash w14:val="solid"/>
            <w14:miter w14:val="0"/>
          </w14:textOutline>
        </w:rPr>
      </w:pPr>
    </w:p>
    <w:p>
      <w:pPr>
        <w:keepNext w:val="0"/>
        <w:keepLines w:val="0"/>
        <w:pageBreakBefore w:val="0"/>
        <w:kinsoku w:val="0"/>
        <w:wordWrap/>
        <w:overflowPunct/>
        <w:topLinePunct w:val="0"/>
        <w:autoSpaceDE w:val="0"/>
        <w:autoSpaceDN w:val="0"/>
        <w:bidi w:val="0"/>
        <w:adjustRightInd w:val="0"/>
        <w:snapToGrid w:val="0"/>
        <w:spacing w:before="78" w:line="360" w:lineRule="exact"/>
        <w:ind w:left="148"/>
        <w:textAlignment w:val="baseline"/>
        <w:rPr>
          <w:rFonts w:ascii="宋体" w:hAnsi="宋体" w:eastAsia="宋体" w:cs="宋体"/>
          <w:color w:val="auto"/>
          <w:spacing w:val="-3"/>
          <w:sz w:val="24"/>
          <w:szCs w:val="24"/>
          <w:highlight w:val="none"/>
          <w14:textOutline w14:w="4354" w14:cap="flat" w14:cmpd="sng">
            <w14:solidFill>
              <w14:srgbClr w14:val="000000"/>
            </w14:solidFill>
            <w14:prstDash w14:val="solid"/>
            <w14:miter w14:val="0"/>
          </w14:textOutline>
        </w:rPr>
      </w:pPr>
    </w:p>
    <w:p>
      <w:pPr>
        <w:pStyle w:val="2"/>
        <w:rPr>
          <w:rFonts w:ascii="宋体" w:hAnsi="宋体" w:eastAsia="宋体" w:cs="宋体"/>
          <w:color w:val="auto"/>
          <w:spacing w:val="-3"/>
          <w:sz w:val="24"/>
          <w:szCs w:val="24"/>
          <w:highlight w:val="none"/>
          <w14:textOutline w14:w="4354" w14:cap="flat" w14:cmpd="sng">
            <w14:solidFill>
              <w14:srgbClr w14:val="000000"/>
            </w14:solidFill>
            <w14:prstDash w14:val="solid"/>
            <w14:miter w14:val="0"/>
          </w14:textOutline>
        </w:rPr>
      </w:pPr>
    </w:p>
    <w:p>
      <w:pPr>
        <w:pStyle w:val="2"/>
        <w:rPr>
          <w:rFonts w:ascii="宋体" w:hAnsi="宋体" w:eastAsia="宋体" w:cs="宋体"/>
          <w:color w:val="auto"/>
          <w:spacing w:val="-3"/>
          <w:sz w:val="24"/>
          <w:szCs w:val="24"/>
          <w:highlight w:val="none"/>
          <w14:textOutline w14:w="4354" w14:cap="flat" w14:cmpd="sng">
            <w14:solidFill>
              <w14:srgbClr w14:val="000000"/>
            </w14:solidFill>
            <w14:prstDash w14:val="solid"/>
            <w14:miter w14:val="0"/>
          </w14:textOutline>
        </w:rPr>
      </w:pPr>
    </w:p>
    <w:p>
      <w:pPr>
        <w:pStyle w:val="2"/>
        <w:rPr>
          <w:rFonts w:ascii="宋体" w:hAnsi="宋体" w:eastAsia="宋体" w:cs="宋体"/>
          <w:color w:val="auto"/>
          <w:spacing w:val="-3"/>
          <w:sz w:val="24"/>
          <w:szCs w:val="24"/>
          <w:highlight w:val="none"/>
          <w14:textOutline w14:w="4354" w14:cap="flat" w14:cmpd="sng">
            <w14:solidFill>
              <w14:srgbClr w14:val="000000"/>
            </w14:solidFill>
            <w14:prstDash w14:val="solid"/>
            <w14:miter w14:val="0"/>
          </w14:textOutline>
        </w:rPr>
      </w:pPr>
    </w:p>
    <w:p>
      <w:pPr>
        <w:pStyle w:val="2"/>
        <w:rPr>
          <w:rFonts w:ascii="宋体" w:hAnsi="宋体" w:eastAsia="宋体" w:cs="宋体"/>
          <w:color w:val="auto"/>
          <w:spacing w:val="-3"/>
          <w:sz w:val="24"/>
          <w:szCs w:val="24"/>
          <w:highlight w:val="none"/>
          <w14:textOutline w14:w="4354" w14:cap="flat" w14:cmpd="sng">
            <w14:solidFill>
              <w14:srgbClr w14:val="000000"/>
            </w14:solidFill>
            <w14:prstDash w14:val="solid"/>
            <w14:miter w14:val="0"/>
          </w14:textOutline>
        </w:rPr>
      </w:pPr>
    </w:p>
    <w:p>
      <w:pPr>
        <w:spacing w:before="78" w:line="233" w:lineRule="auto"/>
        <w:rPr>
          <w:rFonts w:hint="eastAsia" w:ascii="宋体" w:hAnsi="宋体" w:eastAsia="宋体" w:cs="宋体"/>
          <w:b w:val="0"/>
          <w:bCs w:val="0"/>
          <w:color w:val="auto"/>
          <w:spacing w:val="-3"/>
          <w:sz w:val="28"/>
          <w:szCs w:val="28"/>
          <w:highlight w:val="none"/>
          <w14:textOutline w14:w="4354" w14:cap="flat" w14:cmpd="sng">
            <w14:solidFill>
              <w14:srgbClr w14:val="000000"/>
            </w14:solidFill>
            <w14:prstDash w14:val="solid"/>
            <w14:miter w14:val="0"/>
          </w14:textOutline>
        </w:rPr>
      </w:pPr>
    </w:p>
    <w:p>
      <w:pPr>
        <w:rPr>
          <w:rFonts w:hint="eastAsia" w:ascii="宋体" w:hAnsi="宋体" w:eastAsia="宋体" w:cs="宋体"/>
          <w:b w:val="0"/>
          <w:bCs w:val="0"/>
          <w:color w:val="auto"/>
          <w:spacing w:val="-3"/>
          <w:sz w:val="28"/>
          <w:szCs w:val="28"/>
          <w:highlight w:val="none"/>
          <w14:textOutline w14:w="4354" w14:cap="flat" w14:cmpd="sng">
            <w14:solidFill>
              <w14:srgbClr w14:val="000000"/>
            </w14:solidFill>
            <w14:prstDash w14:val="solid"/>
            <w14:miter w14:val="0"/>
          </w14:textOutline>
        </w:rPr>
      </w:pPr>
      <w:r>
        <w:rPr>
          <w:rFonts w:hint="eastAsia" w:ascii="宋体" w:hAnsi="宋体" w:eastAsia="宋体" w:cs="宋体"/>
          <w:b w:val="0"/>
          <w:bCs w:val="0"/>
          <w:color w:val="auto"/>
          <w:spacing w:val="-3"/>
          <w:sz w:val="28"/>
          <w:szCs w:val="28"/>
          <w:highlight w:val="none"/>
          <w14:textOutline w14:w="4354" w14:cap="flat" w14:cmpd="sng">
            <w14:solidFill>
              <w14:srgbClr w14:val="000000"/>
            </w14:solidFill>
            <w14:prstDash w14:val="solid"/>
            <w14:miter w14:val="0"/>
          </w14:textOutline>
        </w:rPr>
        <w:br w:type="page"/>
      </w:r>
    </w:p>
    <w:p>
      <w:pPr>
        <w:spacing w:before="78" w:line="233" w:lineRule="auto"/>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pacing w:val="-3"/>
          <w:sz w:val="28"/>
          <w:szCs w:val="28"/>
          <w:highlight w:val="none"/>
          <w14:textOutline w14:w="4354" w14:cap="flat" w14:cmpd="sng">
            <w14:solidFill>
              <w14:srgbClr w14:val="000000"/>
            </w14:solidFill>
            <w14:prstDash w14:val="solid"/>
            <w14:miter w14:val="0"/>
          </w14:textOutline>
        </w:rPr>
        <w:t>附</w:t>
      </w:r>
      <w:r>
        <w:rPr>
          <w:rFonts w:hint="eastAsia" w:ascii="宋体" w:hAnsi="宋体" w:eastAsia="宋体" w:cs="宋体"/>
          <w:b w:val="0"/>
          <w:bCs w:val="0"/>
          <w:color w:val="auto"/>
          <w:spacing w:val="-2"/>
          <w:sz w:val="28"/>
          <w:szCs w:val="28"/>
          <w:highlight w:val="none"/>
          <w14:textOutline w14:w="4354" w14:cap="flat" w14:cmpd="sng">
            <w14:solidFill>
              <w14:srgbClr w14:val="000000"/>
            </w14:solidFill>
            <w14:prstDash w14:val="solid"/>
            <w14:miter w14:val="0"/>
          </w14:textOutline>
        </w:rPr>
        <w:t>表一：开标记录表</w:t>
      </w:r>
    </w:p>
    <w:p>
      <w:pPr>
        <w:spacing w:line="288" w:lineRule="auto"/>
        <w:rPr>
          <w:rFonts w:hint="eastAsia" w:ascii="宋体" w:hAnsi="宋体" w:eastAsia="宋体" w:cs="宋体"/>
          <w:color w:val="auto"/>
          <w:sz w:val="21"/>
          <w:highlight w:val="none"/>
        </w:rPr>
      </w:pPr>
    </w:p>
    <w:p>
      <w:pPr>
        <w:spacing w:line="288" w:lineRule="auto"/>
        <w:rPr>
          <w:rFonts w:hint="eastAsia" w:ascii="宋体" w:hAnsi="宋体" w:eastAsia="宋体" w:cs="宋体"/>
          <w:b w:val="0"/>
          <w:bCs w:val="0"/>
          <w:color w:val="auto"/>
          <w:sz w:val="28"/>
          <w:szCs w:val="28"/>
          <w:highlight w:val="none"/>
        </w:rPr>
      </w:pPr>
    </w:p>
    <w:p>
      <w:pPr>
        <w:spacing w:before="91" w:line="221" w:lineRule="auto"/>
        <w:ind w:left="682"/>
        <w:rPr>
          <w:rFonts w:hint="eastAsia" w:ascii="宋体" w:hAnsi="宋体" w:eastAsia="宋体" w:cs="宋体"/>
          <w:b/>
          <w:bCs/>
          <w:color w:val="auto"/>
          <w:sz w:val="28"/>
          <w:szCs w:val="28"/>
          <w:highlight w:val="none"/>
        </w:rPr>
      </w:pPr>
      <w:r>
        <w:rPr>
          <w:rFonts w:hint="eastAsia" w:ascii="宋体" w:hAnsi="宋体" w:eastAsia="宋体" w:cs="宋体"/>
          <w:b/>
          <w:bCs/>
          <w:color w:val="auto"/>
          <w:spacing w:val="9"/>
          <w:sz w:val="28"/>
          <w:szCs w:val="28"/>
          <w:highlight w:val="none"/>
        </w:rPr>
        <w:t>(</w:t>
      </w:r>
      <w:r>
        <w:rPr>
          <w:rFonts w:hint="eastAsia" w:ascii="宋体" w:hAnsi="宋体" w:eastAsia="宋体" w:cs="宋体"/>
          <w:b/>
          <w:bCs/>
          <w:color w:val="auto"/>
          <w:spacing w:val="8"/>
          <w:sz w:val="28"/>
          <w:szCs w:val="28"/>
          <w:highlight w:val="none"/>
        </w:rPr>
        <w:t>项目名称)标段施工第一个信封 (商务及技术文件) 开标记录表</w:t>
      </w:r>
    </w:p>
    <w:p>
      <w:pPr>
        <w:spacing w:line="246" w:lineRule="auto"/>
        <w:rPr>
          <w:rFonts w:hint="eastAsia" w:ascii="宋体" w:hAnsi="宋体" w:eastAsia="宋体" w:cs="宋体"/>
          <w:color w:val="auto"/>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40" w:lineRule="exact"/>
        <w:ind w:right="46"/>
        <w:jc w:val="right"/>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 xml:space="preserve">开标时间：  </w:t>
      </w:r>
      <w:r>
        <w:rPr>
          <w:rFonts w:hint="eastAsia" w:ascii="宋体" w:hAnsi="宋体" w:eastAsia="宋体" w:cs="宋体"/>
          <w:color w:val="auto"/>
          <w:spacing w:val="3"/>
          <w:sz w:val="21"/>
          <w:szCs w:val="21"/>
          <w:highlight w:val="none"/>
        </w:rPr>
        <w:t xml:space="preserve"> </w:t>
      </w:r>
      <w:r>
        <w:rPr>
          <w:rFonts w:hint="eastAsia" w:ascii="宋体" w:hAnsi="宋体" w:eastAsia="宋体" w:cs="宋体"/>
          <w:color w:val="auto"/>
          <w:spacing w:val="2"/>
          <w:sz w:val="21"/>
          <w:szCs w:val="21"/>
          <w:highlight w:val="none"/>
        </w:rPr>
        <w:t xml:space="preserve"> 年   月   日   时   分</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bl>
      <w:tblPr>
        <w:tblStyle w:val="26"/>
        <w:tblW w:w="932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93"/>
        <w:gridCol w:w="1915"/>
        <w:gridCol w:w="1412"/>
        <w:gridCol w:w="1415"/>
        <w:gridCol w:w="1132"/>
        <w:gridCol w:w="988"/>
        <w:gridCol w:w="157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893"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55" w:line="440" w:lineRule="exact"/>
              <w:ind w:left="102"/>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序号</w:t>
            </w:r>
          </w:p>
        </w:tc>
        <w:tc>
          <w:tcPr>
            <w:tcW w:w="19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55" w:line="440" w:lineRule="exact"/>
              <w:ind w:left="10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投标人</w:t>
            </w:r>
          </w:p>
        </w:tc>
        <w:tc>
          <w:tcPr>
            <w:tcW w:w="141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55" w:line="440" w:lineRule="exact"/>
              <w:ind w:left="106"/>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质量目标</w:t>
            </w:r>
          </w:p>
        </w:tc>
        <w:tc>
          <w:tcPr>
            <w:tcW w:w="14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56" w:line="440" w:lineRule="exact"/>
              <w:ind w:left="114"/>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安</w:t>
            </w:r>
            <w:r>
              <w:rPr>
                <w:rFonts w:hint="eastAsia" w:ascii="宋体" w:hAnsi="宋体" w:eastAsia="宋体" w:cs="宋体"/>
                <w:color w:val="auto"/>
                <w:spacing w:val="6"/>
                <w:sz w:val="21"/>
                <w:szCs w:val="21"/>
                <w:highlight w:val="none"/>
              </w:rPr>
              <w:t>全目标</w:t>
            </w:r>
          </w:p>
        </w:tc>
        <w:tc>
          <w:tcPr>
            <w:tcW w:w="113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55" w:line="440" w:lineRule="exact"/>
              <w:ind w:left="11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工期</w:t>
            </w:r>
          </w:p>
        </w:tc>
        <w:tc>
          <w:tcPr>
            <w:tcW w:w="988"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55" w:line="440" w:lineRule="exact"/>
              <w:ind w:left="118"/>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备注</w:t>
            </w:r>
          </w:p>
        </w:tc>
        <w:tc>
          <w:tcPr>
            <w:tcW w:w="1570"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55" w:line="440" w:lineRule="exact"/>
              <w:ind w:left="117"/>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签</w:t>
            </w:r>
            <w:r>
              <w:rPr>
                <w:rFonts w:hint="eastAsia" w:ascii="宋体" w:hAnsi="宋体" w:eastAsia="宋体" w:cs="宋体"/>
                <w:color w:val="auto"/>
                <w:spacing w:val="4"/>
                <w:sz w:val="21"/>
                <w:szCs w:val="21"/>
                <w:highlight w:val="none"/>
              </w:rPr>
              <w:t>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893"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9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41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4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13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988"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570"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893"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9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41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4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13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988"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570"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893"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9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41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4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13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988"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570"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893"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9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41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4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13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988"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570"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893"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9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41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4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13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988"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570"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893"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9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41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4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13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988"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570"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893"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9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41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4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13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988"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570"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893"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9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41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4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13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988"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570"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893"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9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41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4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13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988"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570"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893"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9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41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415"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13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988"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c>
          <w:tcPr>
            <w:tcW w:w="1570"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tc>
      </w:tr>
    </w:tbl>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40" w:lineRule="exact"/>
        <w:ind w:left="128"/>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招标人代表：</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 xml:space="preserve">     记录人：</w:t>
      </w:r>
    </w:p>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eastAsia" w:ascii="宋体" w:hAnsi="宋体" w:eastAsia="宋体" w:cs="宋体"/>
          <w:color w:val="auto"/>
          <w:spacing w:val="11"/>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eastAsia" w:ascii="宋体" w:hAnsi="宋体" w:eastAsia="宋体" w:cs="宋体"/>
          <w:color w:val="auto"/>
          <w:spacing w:val="11"/>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40" w:lineRule="exact"/>
        <w:jc w:val="right"/>
        <w:textAlignment w:val="baseline"/>
        <w:rPr>
          <w:rFonts w:hint="eastAsia" w:ascii="宋体" w:hAnsi="宋体" w:eastAsia="宋体" w:cs="宋体"/>
          <w:color w:val="auto"/>
          <w:spacing w:val="9"/>
          <w:sz w:val="21"/>
          <w:szCs w:val="21"/>
          <w:highlight w:val="none"/>
        </w:rPr>
      </w:pPr>
      <w:r>
        <w:rPr>
          <w:rFonts w:hint="eastAsia" w:ascii="宋体" w:hAnsi="宋体" w:eastAsia="宋体" w:cs="宋体"/>
          <w:color w:val="auto"/>
          <w:spacing w:val="11"/>
          <w:sz w:val="21"/>
          <w:szCs w:val="21"/>
          <w:highlight w:val="none"/>
        </w:rPr>
        <w:t>年</w:t>
      </w:r>
      <w:r>
        <w:rPr>
          <w:rFonts w:hint="eastAsia" w:ascii="宋体" w:hAnsi="宋体" w:eastAsia="宋体" w:cs="宋体"/>
          <w:color w:val="auto"/>
          <w:spacing w:val="9"/>
          <w:sz w:val="21"/>
          <w:szCs w:val="21"/>
          <w:highlight w:val="none"/>
        </w:rPr>
        <w:t xml:space="preserve">   月   日</w:t>
      </w:r>
    </w:p>
    <w:p>
      <w:pPr>
        <w:pStyle w:val="2"/>
        <w:rPr>
          <w:rFonts w:hint="eastAsia" w:ascii="宋体" w:hAnsi="宋体" w:eastAsia="宋体" w:cs="宋体"/>
          <w:color w:val="auto"/>
          <w:spacing w:val="9"/>
          <w:sz w:val="21"/>
          <w:szCs w:val="21"/>
          <w:highlight w:val="none"/>
        </w:rPr>
      </w:pPr>
    </w:p>
    <w:p>
      <w:pPr>
        <w:spacing w:before="292" w:line="222" w:lineRule="auto"/>
        <w:ind w:left="142"/>
        <w:rPr>
          <w:rFonts w:ascii="黑体" w:hAnsi="黑体" w:eastAsia="黑体" w:cs="黑体"/>
          <w:color w:val="auto"/>
          <w:spacing w:val="-4"/>
          <w:sz w:val="24"/>
          <w:szCs w:val="24"/>
          <w:highlight w:val="none"/>
        </w:rPr>
      </w:pPr>
    </w:p>
    <w:p>
      <w:pPr>
        <w:spacing w:before="292" w:line="222" w:lineRule="auto"/>
        <w:ind w:left="142"/>
        <w:rPr>
          <w:rFonts w:ascii="黑体" w:hAnsi="黑体" w:eastAsia="黑体" w:cs="黑体"/>
          <w:color w:val="auto"/>
          <w:spacing w:val="-4"/>
          <w:sz w:val="24"/>
          <w:szCs w:val="24"/>
          <w:highlight w:val="none"/>
        </w:rPr>
      </w:pPr>
    </w:p>
    <w:p>
      <w:pPr>
        <w:spacing w:before="292" w:line="222" w:lineRule="auto"/>
        <w:ind w:left="142"/>
        <w:rPr>
          <w:rFonts w:ascii="黑体" w:hAnsi="黑体" w:eastAsia="黑体" w:cs="黑体"/>
          <w:color w:val="auto"/>
          <w:spacing w:val="-4"/>
          <w:sz w:val="24"/>
          <w:szCs w:val="24"/>
          <w:highlight w:val="none"/>
        </w:rPr>
      </w:pPr>
    </w:p>
    <w:p>
      <w:pPr>
        <w:spacing w:before="292" w:line="222" w:lineRule="auto"/>
        <w:ind w:left="142"/>
        <w:rPr>
          <w:rFonts w:ascii="黑体" w:hAnsi="黑体" w:eastAsia="黑体" w:cs="黑体"/>
          <w:color w:val="auto"/>
          <w:spacing w:val="-4"/>
          <w:sz w:val="24"/>
          <w:szCs w:val="24"/>
          <w:highlight w:val="none"/>
        </w:rPr>
      </w:pPr>
    </w:p>
    <w:p>
      <w:pPr>
        <w:rPr>
          <w:rFonts w:hint="eastAsia" w:ascii="宋体" w:hAnsi="宋体" w:eastAsia="宋体" w:cs="宋体"/>
          <w:b/>
          <w:bCs/>
          <w:color w:val="auto"/>
          <w:spacing w:val="-4"/>
          <w:sz w:val="28"/>
          <w:szCs w:val="28"/>
          <w:highlight w:val="none"/>
        </w:rPr>
      </w:pPr>
      <w:r>
        <w:rPr>
          <w:rFonts w:hint="eastAsia" w:ascii="宋体" w:hAnsi="宋体" w:eastAsia="宋体" w:cs="宋体"/>
          <w:b/>
          <w:bCs/>
          <w:color w:val="auto"/>
          <w:spacing w:val="-4"/>
          <w:sz w:val="28"/>
          <w:szCs w:val="28"/>
          <w:highlight w:val="none"/>
        </w:rPr>
        <w:br w:type="page"/>
      </w:r>
    </w:p>
    <w:p>
      <w:pPr>
        <w:spacing w:before="292" w:line="222" w:lineRule="auto"/>
        <w:rPr>
          <w:rFonts w:hint="eastAsia" w:ascii="宋体" w:hAnsi="宋体" w:eastAsia="宋体" w:cs="宋体"/>
          <w:b/>
          <w:bCs/>
          <w:color w:val="auto"/>
          <w:sz w:val="28"/>
          <w:szCs w:val="28"/>
          <w:highlight w:val="none"/>
        </w:rPr>
      </w:pPr>
      <w:r>
        <w:rPr>
          <w:rFonts w:hint="eastAsia" w:ascii="宋体" w:hAnsi="宋体" w:eastAsia="宋体" w:cs="宋体"/>
          <w:b/>
          <w:bCs/>
          <w:color w:val="auto"/>
          <w:spacing w:val="-4"/>
          <w:sz w:val="28"/>
          <w:szCs w:val="28"/>
          <w:highlight w:val="none"/>
        </w:rPr>
        <w:t>附表</w:t>
      </w:r>
      <w:r>
        <w:rPr>
          <w:rFonts w:hint="eastAsia" w:ascii="宋体" w:hAnsi="宋体" w:eastAsia="宋体" w:cs="宋体"/>
          <w:b/>
          <w:bCs/>
          <w:color w:val="auto"/>
          <w:spacing w:val="-3"/>
          <w:sz w:val="28"/>
          <w:szCs w:val="28"/>
          <w:highlight w:val="none"/>
        </w:rPr>
        <w:t>一</w:t>
      </w:r>
      <w:r>
        <w:rPr>
          <w:rFonts w:hint="eastAsia" w:ascii="宋体" w:hAnsi="宋体" w:eastAsia="宋体" w:cs="宋体"/>
          <w:b/>
          <w:bCs/>
          <w:color w:val="auto"/>
          <w:spacing w:val="-2"/>
          <w:sz w:val="28"/>
          <w:szCs w:val="28"/>
          <w:highlight w:val="none"/>
        </w:rPr>
        <w:t>：开标记录表</w:t>
      </w:r>
    </w:p>
    <w:p>
      <w:pPr>
        <w:spacing w:line="287" w:lineRule="auto"/>
        <w:rPr>
          <w:rFonts w:hint="eastAsia" w:ascii="宋体" w:hAnsi="宋体" w:eastAsia="宋体" w:cs="宋体"/>
          <w:color w:val="auto"/>
          <w:sz w:val="21"/>
          <w:highlight w:val="none"/>
        </w:rPr>
      </w:pPr>
    </w:p>
    <w:p>
      <w:pPr>
        <w:spacing w:line="287" w:lineRule="auto"/>
        <w:rPr>
          <w:rFonts w:hint="eastAsia" w:ascii="宋体" w:hAnsi="宋体" w:eastAsia="宋体" w:cs="宋体"/>
          <w:b/>
          <w:bCs/>
          <w:color w:val="auto"/>
          <w:sz w:val="28"/>
          <w:szCs w:val="28"/>
          <w:highlight w:val="none"/>
        </w:rPr>
      </w:pPr>
    </w:p>
    <w:p>
      <w:pPr>
        <w:spacing w:before="91" w:line="221" w:lineRule="auto"/>
        <w:ind w:left="1102"/>
        <w:rPr>
          <w:rFonts w:hint="eastAsia" w:ascii="宋体" w:hAnsi="宋体" w:eastAsia="宋体" w:cs="宋体"/>
          <w:b/>
          <w:bCs/>
          <w:color w:val="auto"/>
          <w:sz w:val="28"/>
          <w:szCs w:val="28"/>
          <w:highlight w:val="none"/>
        </w:rPr>
      </w:pPr>
      <w:r>
        <w:rPr>
          <w:rFonts w:hint="eastAsia" w:ascii="宋体" w:hAnsi="宋体" w:eastAsia="宋体" w:cs="宋体"/>
          <w:b/>
          <w:bCs/>
          <w:color w:val="auto"/>
          <w:spacing w:val="9"/>
          <w:sz w:val="28"/>
          <w:szCs w:val="28"/>
          <w:highlight w:val="none"/>
        </w:rPr>
        <w:t>(项目名称)标段施工第二个信封 (报价文件) 开标记录</w:t>
      </w:r>
      <w:r>
        <w:rPr>
          <w:rFonts w:hint="eastAsia" w:ascii="宋体" w:hAnsi="宋体" w:eastAsia="宋体" w:cs="宋体"/>
          <w:b/>
          <w:bCs/>
          <w:color w:val="auto"/>
          <w:spacing w:val="6"/>
          <w:sz w:val="28"/>
          <w:szCs w:val="28"/>
          <w:highlight w:val="none"/>
        </w:rPr>
        <w:t>表</w:t>
      </w:r>
    </w:p>
    <w:p>
      <w:pPr>
        <w:spacing w:line="246" w:lineRule="auto"/>
        <w:rPr>
          <w:rFonts w:hint="eastAsia" w:ascii="宋体" w:hAnsi="宋体" w:eastAsia="宋体" w:cs="宋体"/>
          <w:color w:val="auto"/>
          <w:sz w:val="21"/>
          <w:szCs w:val="21"/>
          <w:highlight w:val="none"/>
        </w:rPr>
      </w:pPr>
    </w:p>
    <w:p>
      <w:pPr>
        <w:spacing w:line="247" w:lineRule="auto"/>
        <w:rPr>
          <w:rFonts w:hint="eastAsia" w:ascii="宋体" w:hAnsi="宋体" w:eastAsia="宋体" w:cs="宋体"/>
          <w:color w:val="auto"/>
          <w:sz w:val="21"/>
          <w:szCs w:val="21"/>
          <w:highlight w:val="none"/>
        </w:rPr>
      </w:pPr>
    </w:p>
    <w:p>
      <w:pPr>
        <w:spacing w:before="65" w:line="228" w:lineRule="auto"/>
        <w:jc w:val="right"/>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 xml:space="preserve">开标时间：  </w:t>
      </w:r>
      <w:r>
        <w:rPr>
          <w:rFonts w:hint="eastAsia" w:ascii="宋体" w:hAnsi="宋体" w:eastAsia="宋体" w:cs="宋体"/>
          <w:color w:val="auto"/>
          <w:spacing w:val="3"/>
          <w:sz w:val="21"/>
          <w:szCs w:val="21"/>
          <w:highlight w:val="none"/>
        </w:rPr>
        <w:t xml:space="preserve"> </w:t>
      </w:r>
      <w:r>
        <w:rPr>
          <w:rFonts w:hint="eastAsia" w:ascii="宋体" w:hAnsi="宋体" w:eastAsia="宋体" w:cs="宋体"/>
          <w:color w:val="auto"/>
          <w:spacing w:val="2"/>
          <w:sz w:val="21"/>
          <w:szCs w:val="21"/>
          <w:highlight w:val="none"/>
        </w:rPr>
        <w:t xml:space="preserve"> 年   月   日   时   分</w:t>
      </w:r>
    </w:p>
    <w:p>
      <w:pPr>
        <w:spacing w:line="131" w:lineRule="exact"/>
        <w:rPr>
          <w:rFonts w:hint="eastAsia" w:ascii="宋体" w:hAnsi="宋体" w:eastAsia="宋体" w:cs="宋体"/>
          <w:color w:val="auto"/>
          <w:sz w:val="21"/>
          <w:szCs w:val="21"/>
          <w:highlight w:val="none"/>
        </w:rPr>
      </w:pPr>
    </w:p>
    <w:tbl>
      <w:tblPr>
        <w:tblStyle w:val="26"/>
        <w:tblW w:w="918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0"/>
        <w:gridCol w:w="3458"/>
        <w:gridCol w:w="1695"/>
        <w:gridCol w:w="1132"/>
        <w:gridCol w:w="199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900" w:type="dxa"/>
            <w:tcBorders>
              <w:left w:val="single" w:color="000000" w:sz="10" w:space="0"/>
              <w:right w:val="single" w:color="000000" w:sz="4" w:space="0"/>
            </w:tcBorders>
            <w:vAlign w:val="top"/>
          </w:tcPr>
          <w:p>
            <w:pPr>
              <w:spacing w:before="55" w:line="230" w:lineRule="auto"/>
              <w:ind w:left="102"/>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序号</w:t>
            </w:r>
          </w:p>
        </w:tc>
        <w:tc>
          <w:tcPr>
            <w:tcW w:w="3458" w:type="dxa"/>
            <w:tcBorders>
              <w:left w:val="single" w:color="000000" w:sz="4" w:space="0"/>
              <w:right w:val="single" w:color="000000" w:sz="4" w:space="0"/>
            </w:tcBorders>
            <w:vAlign w:val="top"/>
          </w:tcPr>
          <w:p>
            <w:pPr>
              <w:spacing w:before="55" w:line="229" w:lineRule="auto"/>
              <w:ind w:left="103"/>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投标人</w:t>
            </w:r>
          </w:p>
        </w:tc>
        <w:tc>
          <w:tcPr>
            <w:tcW w:w="1695" w:type="dxa"/>
            <w:tcBorders>
              <w:left w:val="single" w:color="000000" w:sz="4" w:space="0"/>
              <w:right w:val="single" w:color="000000" w:sz="4" w:space="0"/>
            </w:tcBorders>
            <w:vAlign w:val="top"/>
          </w:tcPr>
          <w:p>
            <w:pPr>
              <w:spacing w:before="55" w:line="227" w:lineRule="auto"/>
              <w:ind w:left="111"/>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投标报价 (元</w:t>
            </w:r>
            <w:r>
              <w:rPr>
                <w:rFonts w:hint="eastAsia" w:ascii="宋体" w:hAnsi="宋体" w:eastAsia="宋体" w:cs="宋体"/>
                <w:color w:val="auto"/>
                <w:spacing w:val="4"/>
                <w:sz w:val="21"/>
                <w:szCs w:val="21"/>
                <w:highlight w:val="none"/>
              </w:rPr>
              <w:t>)</w:t>
            </w:r>
          </w:p>
        </w:tc>
        <w:tc>
          <w:tcPr>
            <w:tcW w:w="1132" w:type="dxa"/>
            <w:tcBorders>
              <w:left w:val="single" w:color="000000" w:sz="4" w:space="0"/>
              <w:right w:val="single" w:color="000000" w:sz="4" w:space="0"/>
            </w:tcBorders>
            <w:vAlign w:val="top"/>
          </w:tcPr>
          <w:p>
            <w:pPr>
              <w:spacing w:before="55" w:line="230" w:lineRule="auto"/>
              <w:ind w:left="115"/>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备注</w:t>
            </w:r>
          </w:p>
        </w:tc>
        <w:tc>
          <w:tcPr>
            <w:tcW w:w="1998" w:type="dxa"/>
            <w:tcBorders>
              <w:left w:val="single" w:color="000000" w:sz="4" w:space="0"/>
              <w:right w:val="single" w:color="000000" w:sz="10" w:space="0"/>
            </w:tcBorders>
            <w:vAlign w:val="top"/>
          </w:tcPr>
          <w:p>
            <w:pPr>
              <w:spacing w:before="55" w:line="232" w:lineRule="auto"/>
              <w:ind w:left="116"/>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签</w:t>
            </w:r>
            <w:r>
              <w:rPr>
                <w:rFonts w:hint="eastAsia" w:ascii="宋体" w:hAnsi="宋体" w:eastAsia="宋体" w:cs="宋体"/>
                <w:color w:val="auto"/>
                <w:spacing w:val="4"/>
                <w:sz w:val="21"/>
                <w:szCs w:val="21"/>
                <w:highlight w:val="none"/>
              </w:rPr>
              <w:t>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900" w:type="dxa"/>
            <w:tcBorders>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34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695"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13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998"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900" w:type="dxa"/>
            <w:tcBorders>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34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695"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13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998"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900" w:type="dxa"/>
            <w:tcBorders>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34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695"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13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998"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900" w:type="dxa"/>
            <w:tcBorders>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34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695"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13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998"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900" w:type="dxa"/>
            <w:tcBorders>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34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695"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13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998"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900" w:type="dxa"/>
            <w:tcBorders>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34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695"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13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998"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900" w:type="dxa"/>
            <w:tcBorders>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34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695"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13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998"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900" w:type="dxa"/>
            <w:tcBorders>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34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695"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13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998"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900" w:type="dxa"/>
            <w:tcBorders>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34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695"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13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998"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900" w:type="dxa"/>
            <w:tcBorders>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34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695"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13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998"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900" w:type="dxa"/>
            <w:tcBorders>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34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695"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13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998"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7" w:hRule="atLeast"/>
        </w:trPr>
        <w:tc>
          <w:tcPr>
            <w:tcW w:w="4358" w:type="dxa"/>
            <w:gridSpan w:val="2"/>
            <w:tcBorders>
              <w:left w:val="single" w:color="000000" w:sz="10" w:space="0"/>
              <w:right w:val="single" w:color="000000" w:sz="4" w:space="0"/>
            </w:tcBorders>
            <w:vAlign w:val="top"/>
          </w:tcPr>
          <w:p>
            <w:pPr>
              <w:spacing w:before="215" w:line="227" w:lineRule="auto"/>
              <w:ind w:left="103"/>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招标人编制的工程量清单预算价 (元) ：</w:t>
            </w:r>
          </w:p>
        </w:tc>
        <w:tc>
          <w:tcPr>
            <w:tcW w:w="4825" w:type="dxa"/>
            <w:gridSpan w:val="3"/>
            <w:tcBorders>
              <w:left w:val="single" w:color="000000" w:sz="4" w:space="0"/>
              <w:right w:val="single" w:color="000000" w:sz="10" w:space="0"/>
            </w:tcBorders>
            <w:vAlign w:val="top"/>
          </w:tcPr>
          <w:p>
            <w:pPr>
              <w:spacing w:before="216" w:line="228" w:lineRule="auto"/>
              <w:ind w:left="110"/>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调</w:t>
            </w:r>
            <w:r>
              <w:rPr>
                <w:rFonts w:hint="eastAsia" w:ascii="宋体" w:hAnsi="宋体" w:eastAsia="宋体" w:cs="宋体"/>
                <w:color w:val="auto"/>
                <w:spacing w:val="5"/>
                <w:sz w:val="21"/>
                <w:szCs w:val="21"/>
                <w:highlight w:val="none"/>
              </w:rPr>
              <w:t>整系数：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7" w:hRule="atLeast"/>
        </w:trPr>
        <w:tc>
          <w:tcPr>
            <w:tcW w:w="4358" w:type="dxa"/>
            <w:gridSpan w:val="2"/>
            <w:tcBorders>
              <w:left w:val="single" w:color="000000" w:sz="10" w:space="0"/>
              <w:right w:val="single" w:color="000000" w:sz="4" w:space="0"/>
            </w:tcBorders>
            <w:vAlign w:val="top"/>
          </w:tcPr>
          <w:p>
            <w:pPr>
              <w:spacing w:before="185" w:line="274" w:lineRule="exact"/>
              <w:ind w:left="108"/>
              <w:rPr>
                <w:rFonts w:hint="eastAsia" w:ascii="宋体" w:hAnsi="宋体" w:eastAsia="宋体" w:cs="宋体"/>
                <w:color w:val="auto"/>
                <w:sz w:val="21"/>
                <w:szCs w:val="21"/>
                <w:highlight w:val="none"/>
              </w:rPr>
            </w:pPr>
            <w:r>
              <w:rPr>
                <w:rFonts w:hint="eastAsia" w:ascii="宋体" w:hAnsi="宋体" w:eastAsia="宋体" w:cs="宋体"/>
                <w:color w:val="auto"/>
                <w:spacing w:val="10"/>
                <w:position w:val="1"/>
                <w:sz w:val="21"/>
                <w:szCs w:val="21"/>
                <w:highlight w:val="none"/>
              </w:rPr>
              <w:t>复</w:t>
            </w:r>
            <w:r>
              <w:rPr>
                <w:rFonts w:hint="eastAsia" w:ascii="宋体" w:hAnsi="宋体" w:eastAsia="宋体" w:cs="宋体"/>
                <w:color w:val="auto"/>
                <w:spacing w:val="5"/>
                <w:position w:val="1"/>
                <w:sz w:val="21"/>
                <w:szCs w:val="21"/>
                <w:highlight w:val="none"/>
              </w:rPr>
              <w:t>合系数 (</w:t>
            </w:r>
            <w:r>
              <w:rPr>
                <w:rFonts w:hint="eastAsia" w:ascii="宋体" w:hAnsi="宋体" w:eastAsia="宋体" w:cs="宋体"/>
                <w:color w:val="auto"/>
                <w:position w:val="1"/>
                <w:sz w:val="21"/>
                <w:szCs w:val="21"/>
                <w:highlight w:val="none"/>
              </w:rPr>
              <w:t>k</w:t>
            </w:r>
            <w:r>
              <w:rPr>
                <w:rFonts w:hint="eastAsia" w:ascii="宋体" w:hAnsi="宋体" w:eastAsia="宋体" w:cs="宋体"/>
                <w:color w:val="auto"/>
                <w:spacing w:val="5"/>
                <w:position w:val="1"/>
                <w:sz w:val="21"/>
                <w:szCs w:val="21"/>
                <w:highlight w:val="none"/>
              </w:rPr>
              <w:t>) ：</w:t>
            </w:r>
          </w:p>
        </w:tc>
        <w:tc>
          <w:tcPr>
            <w:tcW w:w="4825" w:type="dxa"/>
            <w:gridSpan w:val="3"/>
            <w:tcBorders>
              <w:left w:val="single" w:color="000000" w:sz="4" w:space="0"/>
              <w:right w:val="single" w:color="000000" w:sz="10" w:space="0"/>
            </w:tcBorders>
            <w:vAlign w:val="top"/>
          </w:tcPr>
          <w:p>
            <w:pPr>
              <w:spacing w:before="185" w:line="274" w:lineRule="exact"/>
              <w:ind w:left="115"/>
              <w:rPr>
                <w:rFonts w:hint="eastAsia" w:ascii="宋体" w:hAnsi="宋体" w:eastAsia="宋体" w:cs="宋体"/>
                <w:color w:val="auto"/>
                <w:sz w:val="21"/>
                <w:szCs w:val="21"/>
                <w:highlight w:val="none"/>
              </w:rPr>
            </w:pPr>
            <w:r>
              <w:rPr>
                <w:rFonts w:hint="eastAsia" w:ascii="宋体" w:hAnsi="宋体" w:eastAsia="宋体" w:cs="宋体"/>
                <w:color w:val="auto"/>
                <w:spacing w:val="8"/>
                <w:position w:val="2"/>
                <w:sz w:val="21"/>
                <w:szCs w:val="21"/>
                <w:highlight w:val="none"/>
              </w:rPr>
              <w:t>下</w:t>
            </w:r>
            <w:r>
              <w:rPr>
                <w:rFonts w:hint="eastAsia" w:ascii="宋体" w:hAnsi="宋体" w:eastAsia="宋体" w:cs="宋体"/>
                <w:color w:val="auto"/>
                <w:spacing w:val="5"/>
                <w:position w:val="2"/>
                <w:sz w:val="21"/>
                <w:szCs w:val="21"/>
                <w:highlight w:val="none"/>
              </w:rPr>
              <w:t>浮</w:t>
            </w:r>
            <w:r>
              <w:rPr>
                <w:rFonts w:hint="eastAsia" w:ascii="宋体" w:hAnsi="宋体" w:eastAsia="宋体" w:cs="宋体"/>
                <w:color w:val="auto"/>
                <w:spacing w:val="4"/>
                <w:position w:val="2"/>
                <w:sz w:val="21"/>
                <w:szCs w:val="21"/>
                <w:highlight w:val="none"/>
              </w:rPr>
              <w:t>系数(</w:t>
            </w:r>
            <w:r>
              <w:rPr>
                <w:rFonts w:hint="eastAsia" w:ascii="宋体" w:hAnsi="宋体" w:eastAsia="宋体" w:cs="宋体"/>
                <w:color w:val="auto"/>
                <w:position w:val="2"/>
                <w:sz w:val="21"/>
                <w:szCs w:val="21"/>
                <w:highlight w:val="none"/>
              </w:rPr>
              <w:t>i</w:t>
            </w:r>
            <w:r>
              <w:rPr>
                <w:rFonts w:hint="eastAsia" w:ascii="宋体" w:hAnsi="宋体" w:eastAsia="宋体" w:cs="宋体"/>
                <w:color w:val="auto"/>
                <w:spacing w:val="4"/>
                <w:position w:val="2"/>
                <w:sz w:val="21"/>
                <w:szCs w:val="21"/>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4358" w:type="dxa"/>
            <w:gridSpan w:val="2"/>
            <w:tcBorders>
              <w:left w:val="single" w:color="000000" w:sz="10" w:space="0"/>
              <w:right w:val="single" w:color="000000" w:sz="4" w:space="0"/>
            </w:tcBorders>
            <w:vAlign w:val="top"/>
          </w:tcPr>
          <w:p>
            <w:pPr>
              <w:spacing w:before="240" w:line="227" w:lineRule="auto"/>
              <w:ind w:left="102"/>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评</w:t>
            </w:r>
            <w:r>
              <w:rPr>
                <w:rFonts w:hint="eastAsia" w:ascii="宋体" w:hAnsi="宋体" w:eastAsia="宋体" w:cs="宋体"/>
                <w:color w:val="auto"/>
                <w:spacing w:val="5"/>
                <w:sz w:val="21"/>
                <w:szCs w:val="21"/>
                <w:highlight w:val="none"/>
              </w:rPr>
              <w:t>标基准价计算方法：</w:t>
            </w:r>
          </w:p>
        </w:tc>
        <w:tc>
          <w:tcPr>
            <w:tcW w:w="4825" w:type="dxa"/>
            <w:gridSpan w:val="3"/>
            <w:tcBorders>
              <w:left w:val="single" w:color="000000" w:sz="4" w:space="0"/>
              <w:right w:val="single" w:color="000000" w:sz="10" w:space="0"/>
            </w:tcBorders>
            <w:vAlign w:val="top"/>
          </w:tcPr>
          <w:p>
            <w:pPr>
              <w:spacing w:before="36" w:line="229" w:lineRule="auto"/>
              <w:ind w:left="129"/>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w:t>
            </w:r>
            <w:r>
              <w:rPr>
                <w:rFonts w:hint="eastAsia" w:ascii="宋体" w:hAnsi="宋体" w:eastAsia="宋体" w:cs="宋体"/>
                <w:color w:val="auto"/>
                <w:spacing w:val="2"/>
                <w:sz w:val="21"/>
                <w:szCs w:val="21"/>
                <w:highlight w:val="none"/>
              </w:rPr>
              <w:t>方案一</w:t>
            </w:r>
          </w:p>
          <w:p>
            <w:pPr>
              <w:spacing w:before="159" w:line="229" w:lineRule="auto"/>
              <w:ind w:left="129"/>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w:t>
            </w:r>
            <w:r>
              <w:rPr>
                <w:rFonts w:hint="eastAsia" w:ascii="宋体" w:hAnsi="宋体" w:eastAsia="宋体" w:cs="宋体"/>
                <w:color w:val="auto"/>
                <w:spacing w:val="2"/>
                <w:sz w:val="21"/>
                <w:szCs w:val="21"/>
                <w:highlight w:val="none"/>
              </w:rPr>
              <w:t>方案二</w:t>
            </w:r>
          </w:p>
        </w:tc>
      </w:tr>
    </w:tbl>
    <w:p>
      <w:pPr>
        <w:spacing w:line="324" w:lineRule="auto"/>
        <w:rPr>
          <w:rFonts w:hint="eastAsia" w:ascii="宋体" w:hAnsi="宋体" w:eastAsia="宋体" w:cs="宋体"/>
          <w:color w:val="auto"/>
          <w:sz w:val="21"/>
          <w:szCs w:val="21"/>
          <w:highlight w:val="none"/>
        </w:rPr>
      </w:pPr>
    </w:p>
    <w:p>
      <w:pPr>
        <w:spacing w:before="65" w:line="227" w:lineRule="auto"/>
        <w:ind w:left="128"/>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招标人代表：</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 xml:space="preserve"> 记录人：</w:t>
      </w:r>
    </w:p>
    <w:p>
      <w:pPr>
        <w:spacing w:before="162" w:line="228" w:lineRule="auto"/>
        <w:jc w:val="right"/>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年</w:t>
      </w:r>
      <w:r>
        <w:rPr>
          <w:rFonts w:hint="eastAsia" w:ascii="宋体" w:hAnsi="宋体" w:eastAsia="宋体" w:cs="宋体"/>
          <w:color w:val="auto"/>
          <w:spacing w:val="5"/>
          <w:sz w:val="21"/>
          <w:szCs w:val="21"/>
          <w:highlight w:val="none"/>
        </w:rPr>
        <w:t xml:space="preserve">   月   日</w:t>
      </w:r>
    </w:p>
    <w:p>
      <w:pPr>
        <w:pStyle w:val="2"/>
        <w:rPr>
          <w:rFonts w:hint="eastAsia" w:ascii="宋体" w:hAnsi="宋体" w:eastAsia="宋体" w:cs="宋体"/>
          <w:color w:val="auto"/>
          <w:sz w:val="21"/>
          <w:szCs w:val="21"/>
          <w:highlight w:val="none"/>
        </w:rPr>
      </w:pPr>
    </w:p>
    <w:p>
      <w:pPr>
        <w:spacing w:before="306" w:line="220" w:lineRule="auto"/>
        <w:ind w:left="25"/>
        <w:rPr>
          <w:rFonts w:ascii="宋体" w:hAnsi="宋体" w:eastAsia="宋体" w:cs="宋体"/>
          <w:color w:val="auto"/>
          <w:spacing w:val="-3"/>
          <w:sz w:val="24"/>
          <w:szCs w:val="24"/>
          <w:highlight w:val="none"/>
          <w14:textOutline w14:w="4354" w14:cap="flat" w14:cmpd="sng">
            <w14:solidFill>
              <w14:srgbClr w14:val="000000"/>
            </w14:solidFill>
            <w14:prstDash w14:val="solid"/>
            <w14:miter w14:val="0"/>
          </w14:textOutline>
        </w:rPr>
      </w:pPr>
    </w:p>
    <w:p>
      <w:pPr>
        <w:spacing w:before="306" w:line="220" w:lineRule="auto"/>
        <w:ind w:left="25"/>
        <w:rPr>
          <w:rFonts w:ascii="宋体" w:hAnsi="宋体" w:eastAsia="宋体" w:cs="宋体"/>
          <w:color w:val="auto"/>
          <w:spacing w:val="-3"/>
          <w:sz w:val="24"/>
          <w:szCs w:val="24"/>
          <w:highlight w:val="none"/>
          <w14:textOutline w14:w="4354" w14:cap="flat" w14:cmpd="sng">
            <w14:solidFill>
              <w14:srgbClr w14:val="000000"/>
            </w14:solidFill>
            <w14:prstDash w14:val="solid"/>
            <w14:miter w14:val="0"/>
          </w14:textOutline>
        </w:rPr>
      </w:pPr>
    </w:p>
    <w:p>
      <w:pPr>
        <w:spacing w:before="306" w:line="220" w:lineRule="auto"/>
        <w:ind w:left="25"/>
        <w:rPr>
          <w:rFonts w:ascii="宋体" w:hAnsi="宋体" w:eastAsia="宋体" w:cs="宋体"/>
          <w:color w:val="auto"/>
          <w:spacing w:val="-3"/>
          <w:sz w:val="24"/>
          <w:szCs w:val="24"/>
          <w:highlight w:val="none"/>
          <w14:textOutline w14:w="4354" w14:cap="flat" w14:cmpd="sng">
            <w14:solidFill>
              <w14:srgbClr w14:val="000000"/>
            </w14:solidFill>
            <w14:prstDash w14:val="solid"/>
            <w14:miter w14:val="0"/>
          </w14:textOutline>
        </w:rPr>
      </w:pPr>
    </w:p>
    <w:p>
      <w:pPr>
        <w:spacing w:before="292" w:line="222" w:lineRule="auto"/>
        <w:ind w:left="142"/>
        <w:rPr>
          <w:rFonts w:hint="eastAsia" w:ascii="黑体" w:hAnsi="黑体" w:eastAsia="黑体" w:cs="黑体"/>
          <w:b/>
          <w:bCs/>
          <w:color w:val="auto"/>
          <w:spacing w:val="-2"/>
          <w:sz w:val="28"/>
          <w:szCs w:val="28"/>
          <w:highlight w:val="none"/>
        </w:rPr>
      </w:pPr>
    </w:p>
    <w:p>
      <w:pPr>
        <w:spacing w:before="292" w:line="222" w:lineRule="auto"/>
        <w:ind w:left="142"/>
        <w:rPr>
          <w:rFonts w:hint="eastAsia" w:ascii="黑体" w:hAnsi="黑体" w:eastAsia="黑体" w:cs="黑体"/>
          <w:b/>
          <w:bCs/>
          <w:color w:val="auto"/>
          <w:spacing w:val="-2"/>
          <w:sz w:val="28"/>
          <w:szCs w:val="28"/>
          <w:highlight w:val="none"/>
        </w:rPr>
      </w:pPr>
    </w:p>
    <w:p>
      <w:pPr>
        <w:spacing w:before="292" w:line="222" w:lineRule="auto"/>
        <w:ind w:left="142"/>
        <w:rPr>
          <w:rFonts w:hint="eastAsia" w:ascii="宋体" w:hAnsi="宋体" w:eastAsia="宋体" w:cs="宋体"/>
          <w:b/>
          <w:bCs/>
          <w:color w:val="auto"/>
          <w:spacing w:val="-2"/>
          <w:sz w:val="28"/>
          <w:szCs w:val="28"/>
          <w:highlight w:val="none"/>
        </w:rPr>
      </w:pPr>
      <w:r>
        <w:rPr>
          <w:rFonts w:hint="eastAsia" w:ascii="宋体" w:hAnsi="宋体" w:eastAsia="宋体" w:cs="宋体"/>
          <w:b/>
          <w:bCs/>
          <w:color w:val="auto"/>
          <w:spacing w:val="-2"/>
          <w:sz w:val="28"/>
          <w:szCs w:val="28"/>
          <w:highlight w:val="none"/>
        </w:rPr>
        <w:t>附表二：问题澄清通知</w:t>
      </w:r>
    </w:p>
    <w:p>
      <w:pPr>
        <w:spacing w:line="454" w:lineRule="auto"/>
        <w:rPr>
          <w:rFonts w:hint="eastAsia" w:ascii="宋体" w:hAnsi="宋体" w:eastAsia="宋体" w:cs="宋体"/>
          <w:color w:val="auto"/>
          <w:sz w:val="21"/>
          <w:highlight w:val="none"/>
        </w:rPr>
      </w:pPr>
    </w:p>
    <w:p>
      <w:pPr>
        <w:spacing w:before="91" w:line="221" w:lineRule="auto"/>
        <w:ind w:left="1102"/>
        <w:jc w:val="center"/>
        <w:outlineLvl w:val="0"/>
        <w:rPr>
          <w:rFonts w:hint="eastAsia" w:ascii="宋体" w:hAnsi="宋体" w:eastAsia="宋体" w:cs="宋体"/>
          <w:b/>
          <w:bCs/>
          <w:color w:val="auto"/>
          <w:spacing w:val="9"/>
          <w:sz w:val="28"/>
          <w:szCs w:val="28"/>
          <w:highlight w:val="none"/>
        </w:rPr>
      </w:pPr>
      <w:bookmarkStart w:id="97" w:name="_Toc32262"/>
      <w:bookmarkStart w:id="98" w:name="_Toc11069"/>
      <w:r>
        <w:rPr>
          <w:rFonts w:hint="eastAsia" w:ascii="宋体" w:hAnsi="宋体" w:eastAsia="宋体" w:cs="宋体"/>
          <w:b/>
          <w:bCs/>
          <w:color w:val="auto"/>
          <w:spacing w:val="9"/>
          <w:sz w:val="28"/>
          <w:szCs w:val="28"/>
          <w:highlight w:val="none"/>
        </w:rPr>
        <w:t>问题澄清通知</w:t>
      </w:r>
      <w:bookmarkEnd w:id="97"/>
      <w:bookmarkEnd w:id="98"/>
    </w:p>
    <w:p>
      <w:pPr>
        <w:spacing w:before="197" w:line="228" w:lineRule="auto"/>
        <w:ind w:left="7"/>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编</w:t>
      </w:r>
      <w:r>
        <w:rPr>
          <w:rFonts w:hint="eastAsia" w:ascii="宋体" w:hAnsi="宋体" w:eastAsia="宋体" w:cs="宋体"/>
          <w:color w:val="auto"/>
          <w:spacing w:val="2"/>
          <w:sz w:val="21"/>
          <w:szCs w:val="21"/>
          <w:highlight w:val="none"/>
        </w:rPr>
        <w:t>号：</w:t>
      </w:r>
    </w:p>
    <w:p>
      <w:pPr>
        <w:spacing w:line="455" w:lineRule="auto"/>
        <w:rPr>
          <w:rFonts w:hint="eastAsia" w:ascii="宋体" w:hAnsi="宋体" w:eastAsia="宋体" w:cs="宋体"/>
          <w:color w:val="auto"/>
          <w:sz w:val="21"/>
          <w:szCs w:val="21"/>
          <w:highlight w:val="none"/>
        </w:rPr>
      </w:pPr>
    </w:p>
    <w:p>
      <w:pPr>
        <w:spacing w:before="65" w:line="229" w:lineRule="auto"/>
        <w:ind w:left="15"/>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 xml:space="preserve">(投标人名称) </w:t>
      </w:r>
      <w:r>
        <w:rPr>
          <w:rFonts w:hint="eastAsia" w:ascii="宋体" w:hAnsi="宋体" w:eastAsia="宋体" w:cs="宋体"/>
          <w:color w:val="auto"/>
          <w:spacing w:val="15"/>
          <w:sz w:val="21"/>
          <w:szCs w:val="21"/>
          <w:highlight w:val="none"/>
        </w:rPr>
        <w:t>：</w:t>
      </w:r>
    </w:p>
    <w:p>
      <w:pPr>
        <w:spacing w:line="454" w:lineRule="auto"/>
        <w:rPr>
          <w:rFonts w:hint="eastAsia" w:ascii="宋体" w:hAnsi="宋体" w:eastAsia="宋体" w:cs="宋体"/>
          <w:color w:val="auto"/>
          <w:sz w:val="21"/>
          <w:szCs w:val="21"/>
          <w:highlight w:val="none"/>
        </w:rPr>
      </w:pPr>
    </w:p>
    <w:p>
      <w:pPr>
        <w:tabs>
          <w:tab w:val="left" w:pos="2617"/>
        </w:tabs>
        <w:spacing w:before="65" w:line="385" w:lineRule="auto"/>
        <w:ind w:left="22" w:right="2" w:firstLine="39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color="auto"/>
        </w:rPr>
        <w:tab/>
      </w:r>
      <w:r>
        <w:rPr>
          <w:rFonts w:hint="eastAsia" w:ascii="宋体" w:hAnsi="宋体" w:eastAsia="宋体" w:cs="宋体"/>
          <w:color w:val="auto"/>
          <w:spacing w:val="8"/>
          <w:sz w:val="21"/>
          <w:szCs w:val="21"/>
          <w:highlight w:val="none"/>
        </w:rPr>
        <w:t>(项目名称) 标段施工招标的评标委员会，对你方的投标文件进行了仔</w:t>
      </w:r>
      <w:r>
        <w:rPr>
          <w:rFonts w:hint="eastAsia" w:ascii="宋体" w:hAnsi="宋体" w:eastAsia="宋体" w:cs="宋体"/>
          <w:color w:val="auto"/>
          <w:spacing w:val="5"/>
          <w:sz w:val="21"/>
          <w:szCs w:val="21"/>
          <w:highlight w:val="none"/>
        </w:rPr>
        <w:t>细</w:t>
      </w:r>
      <w:r>
        <w:rPr>
          <w:rFonts w:hint="eastAsia" w:ascii="宋体" w:hAnsi="宋体" w:eastAsia="宋体" w:cs="宋体"/>
          <w:color w:val="auto"/>
          <w:spacing w:val="14"/>
          <w:sz w:val="21"/>
          <w:szCs w:val="21"/>
          <w:highlight w:val="none"/>
        </w:rPr>
        <w:t>的</w:t>
      </w:r>
      <w:r>
        <w:rPr>
          <w:rFonts w:hint="eastAsia" w:ascii="宋体" w:hAnsi="宋体" w:eastAsia="宋体" w:cs="宋体"/>
          <w:color w:val="auto"/>
          <w:spacing w:val="8"/>
          <w:sz w:val="21"/>
          <w:szCs w:val="21"/>
          <w:highlight w:val="none"/>
        </w:rPr>
        <w:t>审查，现需你方对下列问题通过</w:t>
      </w:r>
      <w:r>
        <w:rPr>
          <w:rFonts w:hint="eastAsia" w:ascii="宋体" w:hAnsi="宋体" w:eastAsia="宋体" w:cs="宋体"/>
          <w:color w:val="auto"/>
          <w:spacing w:val="8"/>
          <w:sz w:val="21"/>
          <w:szCs w:val="21"/>
          <w:highlight w:val="none"/>
          <w:lang w:eastAsia="zh-CN"/>
        </w:rPr>
        <w:t>“</w:t>
      </w:r>
      <w:r>
        <w:rPr>
          <w:rFonts w:hint="eastAsia" w:ascii="宋体" w:hAnsi="宋体" w:eastAsia="宋体" w:cs="宋体"/>
          <w:color w:val="auto"/>
          <w:spacing w:val="8"/>
          <w:sz w:val="21"/>
          <w:szCs w:val="21"/>
          <w:highlight w:val="none"/>
          <w:lang w:val="en-US" w:eastAsia="zh-CN"/>
        </w:rPr>
        <w:t>电子交易平台</w:t>
      </w:r>
      <w:r>
        <w:rPr>
          <w:rFonts w:hint="eastAsia" w:ascii="宋体" w:hAnsi="宋体" w:eastAsia="宋体" w:cs="宋体"/>
          <w:color w:val="auto"/>
          <w:spacing w:val="8"/>
          <w:sz w:val="21"/>
          <w:szCs w:val="21"/>
          <w:highlight w:val="none"/>
          <w:lang w:eastAsia="zh-CN"/>
        </w:rPr>
        <w:t>”</w:t>
      </w:r>
      <w:r>
        <w:rPr>
          <w:rFonts w:hint="eastAsia" w:ascii="宋体" w:hAnsi="宋体" w:eastAsia="宋体" w:cs="宋体"/>
          <w:color w:val="auto"/>
          <w:spacing w:val="8"/>
          <w:sz w:val="21"/>
          <w:szCs w:val="21"/>
          <w:highlight w:val="none"/>
        </w:rPr>
        <w:t>予以澄清：</w:t>
      </w:r>
    </w:p>
    <w:p>
      <w:pPr>
        <w:spacing w:line="308" w:lineRule="auto"/>
        <w:rPr>
          <w:rFonts w:hint="eastAsia" w:ascii="宋体" w:hAnsi="宋体" w:eastAsia="宋体" w:cs="宋体"/>
          <w:color w:val="auto"/>
          <w:sz w:val="21"/>
          <w:szCs w:val="21"/>
          <w:highlight w:val="none"/>
        </w:rPr>
      </w:pPr>
    </w:p>
    <w:p>
      <w:pPr>
        <w:spacing w:before="58" w:line="362" w:lineRule="exact"/>
        <w:ind w:left="442"/>
        <w:rPr>
          <w:rFonts w:hint="eastAsia" w:ascii="宋体" w:hAnsi="宋体" w:eastAsia="宋体" w:cs="宋体"/>
          <w:color w:val="auto"/>
          <w:sz w:val="21"/>
          <w:szCs w:val="21"/>
          <w:highlight w:val="none"/>
        </w:rPr>
      </w:pPr>
      <w:r>
        <w:rPr>
          <w:rFonts w:hint="eastAsia" w:ascii="宋体" w:hAnsi="宋体" w:eastAsia="宋体" w:cs="宋体"/>
          <w:color w:val="auto"/>
          <w:spacing w:val="-7"/>
          <w:position w:val="15"/>
          <w:sz w:val="21"/>
          <w:szCs w:val="21"/>
          <w:highlight w:val="none"/>
        </w:rPr>
        <w:t>1</w:t>
      </w:r>
      <w:r>
        <w:rPr>
          <w:rFonts w:hint="eastAsia" w:ascii="宋体" w:hAnsi="宋体" w:eastAsia="宋体" w:cs="宋体"/>
          <w:color w:val="auto"/>
          <w:spacing w:val="-5"/>
          <w:position w:val="15"/>
          <w:sz w:val="21"/>
          <w:szCs w:val="21"/>
          <w:highlight w:val="none"/>
        </w:rPr>
        <w:t>.</w:t>
      </w:r>
    </w:p>
    <w:p>
      <w:pPr>
        <w:spacing w:line="192" w:lineRule="auto"/>
        <w:ind w:left="421"/>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1"/>
          <w:sz w:val="21"/>
          <w:szCs w:val="21"/>
          <w:highlight w:val="none"/>
        </w:rPr>
        <w:t>.</w:t>
      </w:r>
    </w:p>
    <w:p>
      <w:pPr>
        <w:rPr>
          <w:rFonts w:hint="eastAsia" w:ascii="宋体" w:hAnsi="宋体" w:eastAsia="宋体" w:cs="宋体"/>
          <w:color w:val="auto"/>
          <w:sz w:val="21"/>
          <w:szCs w:val="21"/>
          <w:highlight w:val="none"/>
        </w:rPr>
      </w:pPr>
    </w:p>
    <w:p>
      <w:pPr>
        <w:spacing w:before="58" w:line="63" w:lineRule="exact"/>
        <w:ind w:left="538"/>
        <w:rPr>
          <w:rFonts w:hint="eastAsia" w:ascii="宋体" w:hAnsi="宋体" w:eastAsia="宋体" w:cs="宋体"/>
          <w:color w:val="auto"/>
          <w:sz w:val="21"/>
          <w:szCs w:val="21"/>
          <w:highlight w:val="none"/>
        </w:rPr>
      </w:pPr>
      <w:r>
        <w:rPr>
          <w:rFonts w:hint="eastAsia" w:ascii="宋体" w:hAnsi="宋体" w:eastAsia="宋体" w:cs="宋体"/>
          <w:color w:val="auto"/>
          <w:spacing w:val="1"/>
          <w:position w:val="1"/>
          <w:sz w:val="21"/>
          <w:szCs w:val="21"/>
          <w:highlight w:val="none"/>
        </w:rPr>
        <w:t>.</w:t>
      </w:r>
      <w:r>
        <w:rPr>
          <w:rFonts w:hint="eastAsia" w:ascii="宋体" w:hAnsi="宋体" w:eastAsia="宋体" w:cs="宋体"/>
          <w:color w:val="auto"/>
          <w:position w:val="1"/>
          <w:sz w:val="21"/>
          <w:szCs w:val="21"/>
          <w:highlight w:val="none"/>
        </w:rPr>
        <w:t>.....</w:t>
      </w:r>
    </w:p>
    <w:p>
      <w:pPr>
        <w:spacing w:line="448" w:lineRule="auto"/>
        <w:rPr>
          <w:rFonts w:hint="eastAsia" w:ascii="宋体" w:hAnsi="宋体" w:eastAsia="宋体" w:cs="宋体"/>
          <w:color w:val="auto"/>
          <w:sz w:val="21"/>
          <w:szCs w:val="21"/>
          <w:highlight w:val="none"/>
        </w:rPr>
      </w:pPr>
    </w:p>
    <w:p>
      <w:pPr>
        <w:spacing w:before="66" w:line="221" w:lineRule="auto"/>
        <w:ind w:left="424"/>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请将上述问题的澄清于____年____月____ 日时前通过“电子交易平台”递交</w:t>
      </w:r>
      <w:r>
        <w:rPr>
          <w:rFonts w:hint="eastAsia" w:ascii="宋体" w:hAnsi="宋体" w:eastAsia="宋体" w:cs="宋体"/>
          <w:color w:val="auto"/>
          <w:spacing w:val="3"/>
          <w:sz w:val="21"/>
          <w:szCs w:val="21"/>
          <w:highlight w:val="none"/>
        </w:rPr>
        <w:t>。</w:t>
      </w:r>
    </w:p>
    <w:p>
      <w:pPr>
        <w:spacing w:line="274" w:lineRule="auto"/>
        <w:rPr>
          <w:rFonts w:hint="eastAsia" w:ascii="宋体" w:hAnsi="宋体" w:eastAsia="宋体" w:cs="宋体"/>
          <w:color w:val="auto"/>
          <w:sz w:val="21"/>
          <w:szCs w:val="21"/>
          <w:highlight w:val="none"/>
        </w:rPr>
      </w:pPr>
    </w:p>
    <w:p>
      <w:pPr>
        <w:spacing w:line="274" w:lineRule="auto"/>
        <w:rPr>
          <w:rFonts w:hint="eastAsia" w:ascii="宋体" w:hAnsi="宋体" w:eastAsia="宋体" w:cs="宋体"/>
          <w:color w:val="auto"/>
          <w:sz w:val="21"/>
          <w:szCs w:val="21"/>
          <w:highlight w:val="none"/>
        </w:rPr>
      </w:pPr>
    </w:p>
    <w:p>
      <w:pPr>
        <w:spacing w:line="275" w:lineRule="auto"/>
        <w:rPr>
          <w:rFonts w:hint="eastAsia" w:ascii="宋体" w:hAnsi="宋体" w:eastAsia="宋体" w:cs="宋体"/>
          <w:color w:val="auto"/>
          <w:sz w:val="21"/>
          <w:szCs w:val="21"/>
          <w:highlight w:val="none"/>
        </w:rPr>
      </w:pPr>
    </w:p>
    <w:p>
      <w:pPr>
        <w:tabs>
          <w:tab w:val="left" w:pos="5729"/>
        </w:tabs>
        <w:spacing w:before="65" w:line="225" w:lineRule="auto"/>
        <w:jc w:val="right"/>
        <w:rPr>
          <w:rFonts w:hint="eastAsia" w:ascii="宋体" w:hAnsi="宋体" w:eastAsia="宋体" w:cs="宋体"/>
          <w:color w:val="auto"/>
          <w:sz w:val="21"/>
          <w:szCs w:val="21"/>
          <w:highlight w:val="none"/>
        </w:rPr>
      </w:pPr>
      <w:r>
        <w:rPr>
          <w:rFonts w:hint="eastAsia" w:ascii="宋体" w:hAnsi="宋体" w:eastAsia="宋体" w:cs="宋体"/>
          <w:color w:val="auto"/>
          <w:spacing w:val="14"/>
          <w:sz w:val="21"/>
          <w:szCs w:val="21"/>
          <w:highlight w:val="none"/>
          <w:u w:val="single" w:color="auto"/>
        </w:rPr>
        <w:t>(</w:t>
      </w:r>
      <w:r>
        <w:rPr>
          <w:rFonts w:hint="eastAsia" w:ascii="宋体" w:hAnsi="宋体" w:eastAsia="宋体" w:cs="宋体"/>
          <w:color w:val="auto"/>
          <w:spacing w:val="8"/>
          <w:sz w:val="21"/>
          <w:szCs w:val="21"/>
          <w:highlight w:val="none"/>
          <w:u w:val="single" w:color="auto"/>
        </w:rPr>
        <w:t>项目名称) 标段施工招标评标委员会</w:t>
      </w:r>
    </w:p>
    <w:p>
      <w:pPr>
        <w:spacing w:line="461" w:lineRule="auto"/>
        <w:rPr>
          <w:rFonts w:hint="eastAsia" w:ascii="宋体" w:hAnsi="宋体" w:eastAsia="宋体" w:cs="宋体"/>
          <w:color w:val="auto"/>
          <w:sz w:val="21"/>
          <w:szCs w:val="21"/>
          <w:highlight w:val="none"/>
        </w:rPr>
      </w:pPr>
    </w:p>
    <w:p>
      <w:pPr>
        <w:pStyle w:val="2"/>
        <w:jc w:val="right"/>
        <w:rPr>
          <w:rFonts w:hint="eastAsia" w:ascii="宋体" w:hAnsi="宋体" w:eastAsia="宋体" w:cs="宋体"/>
          <w:color w:val="auto"/>
          <w:spacing w:val="2"/>
          <w:sz w:val="21"/>
          <w:szCs w:val="21"/>
          <w:highlight w:val="none"/>
        </w:rPr>
      </w:pPr>
      <w:r>
        <w:rPr>
          <w:rFonts w:hint="eastAsia" w:ascii="宋体" w:hAnsi="宋体" w:eastAsia="宋体" w:cs="宋体"/>
          <w:color w:val="auto"/>
          <w:spacing w:val="4"/>
          <w:sz w:val="21"/>
          <w:szCs w:val="21"/>
          <w:highlight w:val="none"/>
        </w:rPr>
        <w:t>______</w:t>
      </w:r>
      <w:r>
        <w:rPr>
          <w:rFonts w:hint="eastAsia" w:ascii="宋体" w:hAnsi="宋体" w:eastAsia="宋体" w:cs="宋体"/>
          <w:color w:val="auto"/>
          <w:spacing w:val="3"/>
          <w:sz w:val="21"/>
          <w:szCs w:val="21"/>
          <w:highlight w:val="none"/>
        </w:rPr>
        <w:t>年</w:t>
      </w:r>
      <w:r>
        <w:rPr>
          <w:rFonts w:hint="eastAsia" w:ascii="宋体" w:hAnsi="宋体" w:eastAsia="宋体" w:cs="宋体"/>
          <w:color w:val="auto"/>
          <w:spacing w:val="2"/>
          <w:sz w:val="21"/>
          <w:szCs w:val="21"/>
          <w:highlight w:val="none"/>
        </w:rPr>
        <w:t>____月____ 日</w:t>
      </w:r>
    </w:p>
    <w:p>
      <w:pPr>
        <w:pStyle w:val="2"/>
        <w:jc w:val="right"/>
        <w:rPr>
          <w:rFonts w:hint="eastAsia" w:ascii="宋体" w:hAnsi="宋体" w:eastAsia="宋体" w:cs="宋体"/>
          <w:color w:val="auto"/>
          <w:spacing w:val="2"/>
          <w:sz w:val="21"/>
          <w:szCs w:val="21"/>
          <w:highlight w:val="none"/>
        </w:rPr>
      </w:pPr>
    </w:p>
    <w:p>
      <w:pPr>
        <w:pStyle w:val="2"/>
        <w:jc w:val="right"/>
        <w:rPr>
          <w:rFonts w:hint="eastAsia" w:ascii="宋体" w:hAnsi="宋体" w:eastAsia="宋体" w:cs="宋体"/>
          <w:color w:val="auto"/>
          <w:spacing w:val="2"/>
          <w:sz w:val="21"/>
          <w:szCs w:val="21"/>
          <w:highlight w:val="none"/>
        </w:rPr>
      </w:pPr>
    </w:p>
    <w:p>
      <w:pPr>
        <w:pStyle w:val="2"/>
        <w:jc w:val="right"/>
        <w:rPr>
          <w:rFonts w:hint="eastAsia" w:ascii="宋体" w:hAnsi="宋体" w:eastAsia="宋体" w:cs="宋体"/>
          <w:color w:val="auto"/>
          <w:spacing w:val="2"/>
          <w:sz w:val="21"/>
          <w:szCs w:val="21"/>
          <w:highlight w:val="none"/>
        </w:rPr>
      </w:pPr>
    </w:p>
    <w:p>
      <w:pPr>
        <w:spacing w:before="292" w:line="220" w:lineRule="auto"/>
        <w:ind w:left="28"/>
        <w:rPr>
          <w:rFonts w:ascii="宋体" w:hAnsi="宋体" w:eastAsia="宋体" w:cs="宋体"/>
          <w:color w:val="auto"/>
          <w:spacing w:val="-4"/>
          <w:sz w:val="24"/>
          <w:szCs w:val="24"/>
          <w:highlight w:val="none"/>
          <w14:textOutline w14:w="4354" w14:cap="flat" w14:cmpd="sng">
            <w14:solidFill>
              <w14:srgbClr w14:val="000000"/>
            </w14:solidFill>
            <w14:prstDash w14:val="solid"/>
            <w14:miter w14:val="0"/>
          </w14:textOutline>
        </w:rPr>
      </w:pPr>
    </w:p>
    <w:p>
      <w:pPr>
        <w:spacing w:before="292" w:line="220" w:lineRule="auto"/>
        <w:ind w:left="28"/>
        <w:rPr>
          <w:rFonts w:ascii="宋体" w:hAnsi="宋体" w:eastAsia="宋体" w:cs="宋体"/>
          <w:color w:val="auto"/>
          <w:spacing w:val="-4"/>
          <w:sz w:val="24"/>
          <w:szCs w:val="24"/>
          <w:highlight w:val="none"/>
          <w14:textOutline w14:w="4354" w14:cap="flat" w14:cmpd="sng">
            <w14:solidFill>
              <w14:srgbClr w14:val="000000"/>
            </w14:solidFill>
            <w14:prstDash w14:val="solid"/>
            <w14:miter w14:val="0"/>
          </w14:textOutline>
        </w:rPr>
      </w:pPr>
    </w:p>
    <w:p>
      <w:pPr>
        <w:spacing w:before="292" w:line="220" w:lineRule="auto"/>
        <w:ind w:left="28"/>
        <w:rPr>
          <w:rFonts w:ascii="宋体" w:hAnsi="宋体" w:eastAsia="宋体" w:cs="宋体"/>
          <w:color w:val="auto"/>
          <w:spacing w:val="-4"/>
          <w:sz w:val="24"/>
          <w:szCs w:val="24"/>
          <w:highlight w:val="none"/>
          <w14:textOutline w14:w="4354" w14:cap="flat" w14:cmpd="sng">
            <w14:solidFill>
              <w14:srgbClr w14:val="000000"/>
            </w14:solidFill>
            <w14:prstDash w14:val="solid"/>
            <w14:miter w14:val="0"/>
          </w14:textOutline>
        </w:rPr>
      </w:pPr>
    </w:p>
    <w:p>
      <w:pPr>
        <w:spacing w:before="292" w:line="220" w:lineRule="auto"/>
        <w:ind w:left="28"/>
        <w:rPr>
          <w:rFonts w:ascii="宋体" w:hAnsi="宋体" w:eastAsia="宋体" w:cs="宋体"/>
          <w:color w:val="auto"/>
          <w:spacing w:val="-4"/>
          <w:sz w:val="24"/>
          <w:szCs w:val="24"/>
          <w:highlight w:val="none"/>
          <w14:textOutline w14:w="4354" w14:cap="flat" w14:cmpd="sng">
            <w14:solidFill>
              <w14:srgbClr w14:val="000000"/>
            </w14:solidFill>
            <w14:prstDash w14:val="solid"/>
            <w14:miter w14:val="0"/>
          </w14:textOutline>
        </w:rPr>
      </w:pPr>
    </w:p>
    <w:p>
      <w:pPr>
        <w:spacing w:before="292" w:line="220" w:lineRule="auto"/>
        <w:ind w:left="28"/>
        <w:rPr>
          <w:rFonts w:ascii="宋体" w:hAnsi="宋体" w:eastAsia="宋体" w:cs="宋体"/>
          <w:color w:val="auto"/>
          <w:spacing w:val="-4"/>
          <w:sz w:val="24"/>
          <w:szCs w:val="24"/>
          <w:highlight w:val="none"/>
          <w14:textOutline w14:w="4354" w14:cap="flat" w14:cmpd="sng">
            <w14:solidFill>
              <w14:srgbClr w14:val="000000"/>
            </w14:solidFill>
            <w14:prstDash w14:val="solid"/>
            <w14:miter w14:val="0"/>
          </w14:textOutline>
        </w:rPr>
      </w:pPr>
    </w:p>
    <w:p>
      <w:pPr>
        <w:spacing w:before="292" w:line="220" w:lineRule="auto"/>
        <w:ind w:left="28"/>
        <w:rPr>
          <w:rFonts w:ascii="宋体" w:hAnsi="宋体" w:eastAsia="宋体" w:cs="宋体"/>
          <w:color w:val="auto"/>
          <w:spacing w:val="-4"/>
          <w:sz w:val="24"/>
          <w:szCs w:val="24"/>
          <w:highlight w:val="none"/>
          <w14:textOutline w14:w="4354" w14:cap="flat" w14:cmpd="sng">
            <w14:solidFill>
              <w14:srgbClr w14:val="000000"/>
            </w14:solidFill>
            <w14:prstDash w14:val="solid"/>
            <w14:miter w14:val="0"/>
          </w14:textOutline>
        </w:rPr>
      </w:pPr>
    </w:p>
    <w:p>
      <w:pPr>
        <w:spacing w:before="292" w:line="220" w:lineRule="auto"/>
        <w:ind w:left="28"/>
        <w:rPr>
          <w:rFonts w:ascii="宋体" w:hAnsi="宋体" w:eastAsia="宋体" w:cs="宋体"/>
          <w:color w:val="auto"/>
          <w:spacing w:val="-4"/>
          <w:sz w:val="24"/>
          <w:szCs w:val="24"/>
          <w:highlight w:val="none"/>
          <w14:textOutline w14:w="4354" w14:cap="flat" w14:cmpd="sng">
            <w14:solidFill>
              <w14:srgbClr w14:val="000000"/>
            </w14:solidFill>
            <w14:prstDash w14:val="solid"/>
            <w14:miter w14:val="0"/>
          </w14:textOutline>
        </w:rPr>
      </w:pPr>
    </w:p>
    <w:p>
      <w:pPr>
        <w:spacing w:before="292" w:line="222" w:lineRule="auto"/>
        <w:rPr>
          <w:rFonts w:hint="eastAsia" w:ascii="黑体" w:hAnsi="黑体" w:eastAsia="黑体" w:cs="黑体"/>
          <w:b/>
          <w:bCs/>
          <w:color w:val="auto"/>
          <w:spacing w:val="-2"/>
          <w:sz w:val="28"/>
          <w:szCs w:val="28"/>
          <w:highlight w:val="none"/>
        </w:rPr>
      </w:pPr>
    </w:p>
    <w:p>
      <w:pPr>
        <w:spacing w:before="292" w:line="222" w:lineRule="auto"/>
        <w:ind w:left="142"/>
        <w:rPr>
          <w:rFonts w:hint="eastAsia" w:ascii="宋体" w:hAnsi="宋体" w:eastAsia="宋体" w:cs="宋体"/>
          <w:b/>
          <w:bCs/>
          <w:color w:val="auto"/>
          <w:spacing w:val="-2"/>
          <w:sz w:val="28"/>
          <w:szCs w:val="28"/>
          <w:highlight w:val="none"/>
        </w:rPr>
      </w:pPr>
      <w:r>
        <w:rPr>
          <w:rFonts w:hint="eastAsia" w:ascii="宋体" w:hAnsi="宋体" w:eastAsia="宋体" w:cs="宋体"/>
          <w:b/>
          <w:bCs/>
          <w:color w:val="auto"/>
          <w:spacing w:val="-2"/>
          <w:sz w:val="28"/>
          <w:szCs w:val="28"/>
          <w:highlight w:val="none"/>
        </w:rPr>
        <w:t>附表三：问题的澄清</w:t>
      </w:r>
    </w:p>
    <w:p>
      <w:pPr>
        <w:spacing w:line="288" w:lineRule="auto"/>
        <w:rPr>
          <w:rFonts w:hint="eastAsia" w:ascii="宋体" w:hAnsi="宋体" w:eastAsia="宋体" w:cs="宋体"/>
          <w:color w:val="auto"/>
          <w:sz w:val="21"/>
          <w:highlight w:val="none"/>
        </w:rPr>
      </w:pPr>
    </w:p>
    <w:p>
      <w:pPr>
        <w:spacing w:line="288" w:lineRule="auto"/>
        <w:rPr>
          <w:rFonts w:hint="eastAsia" w:ascii="宋体" w:hAnsi="宋体" w:eastAsia="宋体" w:cs="宋体"/>
          <w:color w:val="auto"/>
          <w:sz w:val="21"/>
          <w:highlight w:val="none"/>
        </w:rPr>
      </w:pPr>
    </w:p>
    <w:p>
      <w:pPr>
        <w:spacing w:before="91" w:line="221" w:lineRule="auto"/>
        <w:jc w:val="center"/>
        <w:rPr>
          <w:rFonts w:hint="eastAsia" w:ascii="宋体" w:hAnsi="宋体" w:eastAsia="宋体" w:cs="宋体"/>
          <w:b/>
          <w:bCs/>
          <w:color w:val="auto"/>
          <w:spacing w:val="9"/>
          <w:sz w:val="28"/>
          <w:szCs w:val="28"/>
          <w:highlight w:val="none"/>
        </w:rPr>
      </w:pPr>
      <w:r>
        <w:rPr>
          <w:rFonts w:hint="eastAsia" w:ascii="宋体" w:hAnsi="宋体" w:eastAsia="宋体" w:cs="宋体"/>
          <w:b/>
          <w:bCs/>
          <w:color w:val="auto"/>
          <w:spacing w:val="9"/>
          <w:sz w:val="28"/>
          <w:szCs w:val="28"/>
          <w:highlight w:val="none"/>
        </w:rPr>
        <w:t>问题的澄清</w:t>
      </w:r>
    </w:p>
    <w:p>
      <w:pPr>
        <w:pStyle w:val="2"/>
        <w:rPr>
          <w:rFonts w:hint="eastAsia" w:ascii="宋体" w:hAnsi="宋体" w:eastAsia="宋体" w:cs="宋体"/>
          <w:color w:val="auto"/>
          <w:highlight w:val="none"/>
        </w:rPr>
      </w:pPr>
    </w:p>
    <w:p>
      <w:pPr>
        <w:spacing w:line="228" w:lineRule="auto"/>
        <w:ind w:left="3475" w:firstLine="2592" w:firstLineChars="1200"/>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编</w:t>
      </w:r>
      <w:r>
        <w:rPr>
          <w:rFonts w:hint="eastAsia" w:ascii="宋体" w:hAnsi="宋体" w:eastAsia="宋体" w:cs="宋体"/>
          <w:color w:val="auto"/>
          <w:spacing w:val="2"/>
          <w:sz w:val="21"/>
          <w:szCs w:val="21"/>
          <w:highlight w:val="none"/>
        </w:rPr>
        <w:t>号：</w:t>
      </w:r>
    </w:p>
    <w:p>
      <w:pPr>
        <w:spacing w:line="454" w:lineRule="auto"/>
        <w:rPr>
          <w:rFonts w:hint="eastAsia" w:ascii="宋体" w:hAnsi="宋体" w:eastAsia="宋体" w:cs="宋体"/>
          <w:color w:val="auto"/>
          <w:sz w:val="21"/>
          <w:szCs w:val="21"/>
          <w:highlight w:val="none"/>
        </w:rPr>
      </w:pPr>
    </w:p>
    <w:p>
      <w:pPr>
        <w:tabs>
          <w:tab w:val="left" w:pos="118"/>
        </w:tabs>
        <w:spacing w:before="65" w:line="225"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color="auto"/>
        </w:rPr>
        <w:tab/>
      </w:r>
      <w:r>
        <w:rPr>
          <w:rFonts w:hint="eastAsia" w:ascii="宋体" w:hAnsi="宋体" w:eastAsia="宋体" w:cs="宋体"/>
          <w:color w:val="auto"/>
          <w:spacing w:val="4"/>
          <w:sz w:val="21"/>
          <w:szCs w:val="21"/>
          <w:highlight w:val="none"/>
          <w:u w:val="single" w:color="auto"/>
        </w:rPr>
        <w:t xml:space="preserve">( </w:t>
      </w:r>
      <w:r>
        <w:rPr>
          <w:rFonts w:hint="eastAsia" w:ascii="宋体" w:hAnsi="宋体" w:eastAsia="宋体" w:cs="宋体"/>
          <w:color w:val="auto"/>
          <w:spacing w:val="4"/>
          <w:sz w:val="21"/>
          <w:szCs w:val="21"/>
          <w:highlight w:val="none"/>
        </w:rPr>
        <w:t>项目名</w:t>
      </w:r>
      <w:r>
        <w:rPr>
          <w:rFonts w:hint="eastAsia" w:ascii="宋体" w:hAnsi="宋体" w:eastAsia="宋体" w:cs="宋体"/>
          <w:color w:val="auto"/>
          <w:spacing w:val="2"/>
          <w:sz w:val="21"/>
          <w:szCs w:val="21"/>
          <w:highlight w:val="none"/>
        </w:rPr>
        <w:t>称) 标段施工招标评标委员会：</w:t>
      </w:r>
    </w:p>
    <w:p>
      <w:pPr>
        <w:spacing w:line="459" w:lineRule="auto"/>
        <w:rPr>
          <w:rFonts w:hint="eastAsia" w:ascii="宋体" w:hAnsi="宋体" w:eastAsia="宋体" w:cs="宋体"/>
          <w:color w:val="auto"/>
          <w:sz w:val="21"/>
          <w:szCs w:val="21"/>
          <w:highlight w:val="none"/>
        </w:rPr>
      </w:pPr>
    </w:p>
    <w:p>
      <w:pPr>
        <w:spacing w:before="66" w:line="228" w:lineRule="auto"/>
        <w:ind w:left="451"/>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问题澄清通知 (</w:t>
      </w:r>
      <w:r>
        <w:rPr>
          <w:rFonts w:hint="eastAsia" w:ascii="宋体" w:hAnsi="宋体" w:eastAsia="宋体" w:cs="宋体"/>
          <w:color w:val="auto"/>
          <w:spacing w:val="3"/>
          <w:sz w:val="21"/>
          <w:szCs w:val="21"/>
          <w:highlight w:val="none"/>
        </w:rPr>
        <w:t>编</w:t>
      </w:r>
      <w:r>
        <w:rPr>
          <w:rFonts w:hint="eastAsia" w:ascii="宋体" w:hAnsi="宋体" w:eastAsia="宋体" w:cs="宋体"/>
          <w:color w:val="auto"/>
          <w:spacing w:val="2"/>
          <w:sz w:val="21"/>
          <w:szCs w:val="21"/>
          <w:highlight w:val="none"/>
        </w:rPr>
        <w:t>号： ) 已收悉，现澄清如下：</w:t>
      </w:r>
    </w:p>
    <w:p>
      <w:pPr>
        <w:spacing w:before="184" w:line="362" w:lineRule="exact"/>
        <w:ind w:left="758"/>
        <w:rPr>
          <w:rFonts w:hint="eastAsia" w:ascii="宋体" w:hAnsi="宋体" w:eastAsia="宋体" w:cs="宋体"/>
          <w:color w:val="auto"/>
          <w:sz w:val="21"/>
          <w:szCs w:val="21"/>
          <w:highlight w:val="none"/>
        </w:rPr>
      </w:pPr>
      <w:r>
        <w:rPr>
          <w:rFonts w:hint="eastAsia" w:ascii="宋体" w:hAnsi="宋体" w:eastAsia="宋体" w:cs="宋体"/>
          <w:color w:val="auto"/>
          <w:spacing w:val="-7"/>
          <w:position w:val="15"/>
          <w:sz w:val="21"/>
          <w:szCs w:val="21"/>
          <w:highlight w:val="none"/>
        </w:rPr>
        <w:t>1</w:t>
      </w:r>
      <w:r>
        <w:rPr>
          <w:rFonts w:hint="eastAsia" w:ascii="宋体" w:hAnsi="宋体" w:eastAsia="宋体" w:cs="宋体"/>
          <w:color w:val="auto"/>
          <w:spacing w:val="-5"/>
          <w:position w:val="15"/>
          <w:sz w:val="21"/>
          <w:szCs w:val="21"/>
          <w:highlight w:val="none"/>
        </w:rPr>
        <w:t>.</w:t>
      </w:r>
    </w:p>
    <w:p>
      <w:pPr>
        <w:spacing w:before="1" w:line="192" w:lineRule="auto"/>
        <w:ind w:left="738"/>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1"/>
          <w:sz w:val="21"/>
          <w:szCs w:val="21"/>
          <w:highlight w:val="none"/>
        </w:rPr>
        <w:t>.</w:t>
      </w:r>
    </w:p>
    <w:p>
      <w:pPr>
        <w:spacing w:line="300" w:lineRule="auto"/>
        <w:rPr>
          <w:rFonts w:hint="eastAsia" w:ascii="宋体" w:hAnsi="宋体" w:eastAsia="宋体" w:cs="宋体"/>
          <w:color w:val="auto"/>
          <w:sz w:val="21"/>
          <w:szCs w:val="21"/>
          <w:highlight w:val="none"/>
        </w:rPr>
      </w:pPr>
    </w:p>
    <w:p>
      <w:pPr>
        <w:spacing w:line="300" w:lineRule="auto"/>
        <w:rPr>
          <w:rFonts w:hint="eastAsia" w:ascii="宋体" w:hAnsi="宋体" w:eastAsia="宋体" w:cs="宋体"/>
          <w:color w:val="auto"/>
          <w:sz w:val="21"/>
          <w:szCs w:val="21"/>
          <w:highlight w:val="none"/>
        </w:rPr>
      </w:pPr>
    </w:p>
    <w:p>
      <w:pPr>
        <w:spacing w:before="58" w:line="63" w:lineRule="exact"/>
        <w:ind w:left="646"/>
        <w:rPr>
          <w:rFonts w:hint="eastAsia" w:ascii="宋体" w:hAnsi="宋体" w:eastAsia="宋体" w:cs="宋体"/>
          <w:color w:val="auto"/>
          <w:sz w:val="21"/>
          <w:szCs w:val="21"/>
          <w:highlight w:val="none"/>
        </w:rPr>
      </w:pPr>
      <w:r>
        <w:rPr>
          <w:rFonts w:hint="eastAsia" w:ascii="宋体" w:hAnsi="宋体" w:eastAsia="宋体" w:cs="宋体"/>
          <w:color w:val="auto"/>
          <w:spacing w:val="-1"/>
          <w:position w:val="1"/>
          <w:sz w:val="21"/>
          <w:szCs w:val="21"/>
          <w:highlight w:val="none"/>
        </w:rPr>
        <w:t>..</w:t>
      </w:r>
      <w:r>
        <w:rPr>
          <w:rFonts w:hint="eastAsia" w:ascii="宋体" w:hAnsi="宋体" w:eastAsia="宋体" w:cs="宋体"/>
          <w:color w:val="auto"/>
          <w:position w:val="1"/>
          <w:sz w:val="21"/>
          <w:szCs w:val="21"/>
          <w:highlight w:val="none"/>
        </w:rPr>
        <w:t>...</w:t>
      </w:r>
    </w:p>
    <w:p>
      <w:pPr>
        <w:spacing w:line="449" w:lineRule="auto"/>
        <w:rPr>
          <w:rFonts w:hint="eastAsia" w:ascii="宋体" w:hAnsi="宋体" w:eastAsia="宋体" w:cs="宋体"/>
          <w:color w:val="auto"/>
          <w:sz w:val="21"/>
          <w:szCs w:val="21"/>
          <w:highlight w:val="none"/>
        </w:rPr>
      </w:pPr>
    </w:p>
    <w:p>
      <w:pPr>
        <w:spacing w:before="65" w:line="228" w:lineRule="auto"/>
        <w:ind w:left="429"/>
        <w:rPr>
          <w:rFonts w:hint="eastAsia" w:ascii="宋体" w:hAnsi="宋体" w:eastAsia="宋体" w:cs="宋体"/>
          <w:color w:val="auto"/>
          <w:sz w:val="21"/>
          <w:szCs w:val="21"/>
          <w:highlight w:val="none"/>
        </w:rPr>
      </w:pPr>
      <w:r>
        <w:rPr>
          <w:rFonts w:hint="eastAsia" w:ascii="宋体" w:hAnsi="宋体" w:eastAsia="宋体" w:cs="宋体"/>
          <w:color w:val="auto"/>
          <w:spacing w:val="18"/>
          <w:sz w:val="21"/>
          <w:szCs w:val="21"/>
          <w:highlight w:val="none"/>
        </w:rPr>
        <w:t>上述</w:t>
      </w:r>
      <w:r>
        <w:rPr>
          <w:rFonts w:hint="eastAsia" w:ascii="宋体" w:hAnsi="宋体" w:eastAsia="宋体" w:cs="宋体"/>
          <w:color w:val="auto"/>
          <w:spacing w:val="9"/>
          <w:sz w:val="21"/>
          <w:szCs w:val="21"/>
          <w:highlight w:val="none"/>
        </w:rPr>
        <w:t>问题澄清或说明，不改变我方投标文件的实质性内容，构成我方投标文件的组成部分。</w:t>
      </w:r>
    </w:p>
    <w:p>
      <w:pPr>
        <w:spacing w:line="270" w:lineRule="auto"/>
        <w:rPr>
          <w:rFonts w:hint="eastAsia" w:ascii="宋体" w:hAnsi="宋体" w:eastAsia="宋体" w:cs="宋体"/>
          <w:color w:val="auto"/>
          <w:sz w:val="21"/>
          <w:szCs w:val="21"/>
          <w:highlight w:val="none"/>
        </w:rPr>
      </w:pPr>
    </w:p>
    <w:p>
      <w:pPr>
        <w:spacing w:line="270" w:lineRule="auto"/>
        <w:rPr>
          <w:rFonts w:hint="eastAsia" w:ascii="宋体" w:hAnsi="宋体" w:eastAsia="宋体" w:cs="宋体"/>
          <w:color w:val="auto"/>
          <w:sz w:val="21"/>
          <w:szCs w:val="21"/>
          <w:highlight w:val="none"/>
        </w:rPr>
      </w:pPr>
    </w:p>
    <w:p>
      <w:pPr>
        <w:spacing w:line="271" w:lineRule="auto"/>
        <w:rPr>
          <w:rFonts w:hint="eastAsia" w:ascii="宋体" w:hAnsi="宋体" w:eastAsia="宋体" w:cs="宋体"/>
          <w:color w:val="auto"/>
          <w:sz w:val="21"/>
          <w:szCs w:val="21"/>
          <w:highlight w:val="none"/>
        </w:rPr>
      </w:pPr>
    </w:p>
    <w:p>
      <w:pPr>
        <w:spacing w:line="271" w:lineRule="auto"/>
        <w:rPr>
          <w:rFonts w:hint="eastAsia" w:ascii="宋体" w:hAnsi="宋体" w:eastAsia="宋体" w:cs="宋体"/>
          <w:color w:val="auto"/>
          <w:sz w:val="21"/>
          <w:szCs w:val="21"/>
          <w:highlight w:val="none"/>
        </w:rPr>
      </w:pPr>
    </w:p>
    <w:p>
      <w:pPr>
        <w:spacing w:line="271" w:lineRule="auto"/>
        <w:rPr>
          <w:rFonts w:hint="eastAsia" w:ascii="宋体" w:hAnsi="宋体" w:eastAsia="宋体" w:cs="宋体"/>
          <w:color w:val="auto"/>
          <w:sz w:val="21"/>
          <w:szCs w:val="21"/>
          <w:highlight w:val="none"/>
        </w:rPr>
      </w:pPr>
    </w:p>
    <w:p>
      <w:pPr>
        <w:spacing w:line="271" w:lineRule="auto"/>
        <w:rPr>
          <w:rFonts w:hint="eastAsia" w:ascii="宋体" w:hAnsi="宋体" w:eastAsia="宋体" w:cs="宋体"/>
          <w:color w:val="auto"/>
          <w:sz w:val="21"/>
          <w:szCs w:val="21"/>
          <w:highlight w:val="none"/>
        </w:rPr>
      </w:pPr>
    </w:p>
    <w:p>
      <w:pPr>
        <w:spacing w:line="271" w:lineRule="auto"/>
        <w:rPr>
          <w:rFonts w:hint="eastAsia" w:ascii="宋体" w:hAnsi="宋体" w:eastAsia="宋体" w:cs="宋体"/>
          <w:color w:val="auto"/>
          <w:sz w:val="21"/>
          <w:szCs w:val="21"/>
          <w:highlight w:val="none"/>
        </w:rPr>
      </w:pPr>
    </w:p>
    <w:p>
      <w:pPr>
        <w:spacing w:before="66" w:line="228" w:lineRule="auto"/>
        <w:ind w:left="3161"/>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投</w:t>
      </w:r>
      <w:r>
        <w:rPr>
          <w:rFonts w:hint="eastAsia" w:ascii="宋体" w:hAnsi="宋体" w:eastAsia="宋体" w:cs="宋体"/>
          <w:color w:val="auto"/>
          <w:sz w:val="21"/>
          <w:szCs w:val="21"/>
          <w:highlight w:val="none"/>
        </w:rPr>
        <w:t>标人：  (盖</w:t>
      </w:r>
      <w:r>
        <w:rPr>
          <w:rFonts w:hint="eastAsia" w:ascii="宋体" w:hAnsi="宋体" w:eastAsia="宋体" w:cs="宋体"/>
          <w:color w:val="auto"/>
          <w:sz w:val="21"/>
          <w:szCs w:val="21"/>
          <w:highlight w:val="none"/>
          <w:lang w:val="en-US" w:eastAsia="zh-CN"/>
        </w:rPr>
        <w:t>单位</w:t>
      </w:r>
      <w:r>
        <w:rPr>
          <w:rFonts w:hint="eastAsia" w:ascii="宋体" w:hAnsi="宋体" w:eastAsia="宋体" w:cs="宋体"/>
          <w:color w:val="auto"/>
          <w:sz w:val="21"/>
          <w:szCs w:val="21"/>
          <w:highlight w:val="none"/>
        </w:rPr>
        <w:t>公章)</w:t>
      </w:r>
    </w:p>
    <w:p>
      <w:pPr>
        <w:spacing w:line="455" w:lineRule="auto"/>
        <w:rPr>
          <w:rFonts w:hint="eastAsia" w:ascii="宋体" w:hAnsi="宋体" w:eastAsia="宋体" w:cs="宋体"/>
          <w:color w:val="auto"/>
          <w:sz w:val="21"/>
          <w:szCs w:val="21"/>
          <w:highlight w:val="none"/>
        </w:rPr>
      </w:pPr>
    </w:p>
    <w:p>
      <w:pPr>
        <w:spacing w:before="66" w:line="227" w:lineRule="auto"/>
        <w:ind w:left="3160"/>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法</w:t>
      </w:r>
      <w:r>
        <w:rPr>
          <w:rFonts w:hint="eastAsia" w:ascii="宋体" w:hAnsi="宋体" w:eastAsia="宋体" w:cs="宋体"/>
          <w:color w:val="auto"/>
          <w:spacing w:val="3"/>
          <w:sz w:val="21"/>
          <w:szCs w:val="21"/>
          <w:highlight w:val="none"/>
        </w:rPr>
        <w:t>定</w:t>
      </w:r>
      <w:r>
        <w:rPr>
          <w:rFonts w:hint="eastAsia" w:ascii="宋体" w:hAnsi="宋体" w:eastAsia="宋体" w:cs="宋体"/>
          <w:color w:val="auto"/>
          <w:spacing w:val="2"/>
          <w:sz w:val="21"/>
          <w:szCs w:val="21"/>
          <w:highlight w:val="none"/>
        </w:rPr>
        <w:t>代表人：  (</w:t>
      </w:r>
      <w:r>
        <w:rPr>
          <w:rFonts w:hint="eastAsia" w:ascii="宋体" w:hAnsi="宋体" w:eastAsia="宋体" w:cs="宋体"/>
          <w:color w:val="auto"/>
          <w:spacing w:val="2"/>
          <w:sz w:val="21"/>
          <w:szCs w:val="21"/>
          <w:highlight w:val="none"/>
          <w:lang w:val="en-US" w:eastAsia="zh-CN"/>
        </w:rPr>
        <w:t>签字或盖章</w:t>
      </w:r>
      <w:r>
        <w:rPr>
          <w:rFonts w:hint="eastAsia" w:ascii="宋体" w:hAnsi="宋体" w:eastAsia="宋体" w:cs="宋体"/>
          <w:color w:val="auto"/>
          <w:spacing w:val="2"/>
          <w:sz w:val="21"/>
          <w:szCs w:val="21"/>
          <w:highlight w:val="none"/>
        </w:rPr>
        <w:t>)</w:t>
      </w:r>
    </w:p>
    <w:p>
      <w:pPr>
        <w:spacing w:line="456" w:lineRule="auto"/>
        <w:rPr>
          <w:rFonts w:hint="eastAsia" w:ascii="宋体" w:hAnsi="宋体" w:eastAsia="宋体" w:cs="宋体"/>
          <w:color w:val="auto"/>
          <w:sz w:val="21"/>
          <w:szCs w:val="21"/>
          <w:highlight w:val="none"/>
        </w:rPr>
      </w:pPr>
    </w:p>
    <w:p>
      <w:pPr>
        <w:spacing w:before="65" w:line="221" w:lineRule="auto"/>
        <w:ind w:left="3432"/>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___</w:t>
      </w:r>
      <w:r>
        <w:rPr>
          <w:rFonts w:hint="eastAsia" w:ascii="宋体" w:hAnsi="宋体" w:eastAsia="宋体" w:cs="宋体"/>
          <w:color w:val="auto"/>
          <w:spacing w:val="4"/>
          <w:sz w:val="21"/>
          <w:szCs w:val="21"/>
          <w:highlight w:val="none"/>
        </w:rPr>
        <w:t>___年____月____ 日</w:t>
      </w:r>
    </w:p>
    <w:p>
      <w:pPr>
        <w:rPr>
          <w:rFonts w:hint="eastAsia" w:ascii="宋体" w:hAnsi="宋体" w:eastAsia="宋体" w:cs="宋体"/>
          <w:color w:val="auto"/>
          <w:highlight w:val="none"/>
        </w:rPr>
      </w:pPr>
    </w:p>
    <w:p>
      <w:pPr>
        <w:pStyle w:val="2"/>
        <w:rPr>
          <w:color w:val="auto"/>
          <w:highlight w:val="none"/>
        </w:rPr>
      </w:pPr>
    </w:p>
    <w:p>
      <w:pPr>
        <w:spacing w:before="306" w:line="220" w:lineRule="auto"/>
        <w:ind w:left="29"/>
        <w:rPr>
          <w:rFonts w:ascii="宋体" w:hAnsi="宋体" w:eastAsia="宋体" w:cs="宋体"/>
          <w:color w:val="auto"/>
          <w:spacing w:val="-4"/>
          <w:sz w:val="24"/>
          <w:szCs w:val="24"/>
          <w:highlight w:val="none"/>
          <w14:textOutline w14:w="4354" w14:cap="flat" w14:cmpd="sng">
            <w14:solidFill>
              <w14:srgbClr w14:val="000000"/>
            </w14:solidFill>
            <w14:prstDash w14:val="solid"/>
            <w14:miter w14:val="0"/>
          </w14:textOutline>
        </w:rPr>
      </w:pPr>
    </w:p>
    <w:p>
      <w:pPr>
        <w:spacing w:before="306" w:line="220" w:lineRule="auto"/>
        <w:ind w:left="29"/>
        <w:rPr>
          <w:rFonts w:ascii="宋体" w:hAnsi="宋体" w:eastAsia="宋体" w:cs="宋体"/>
          <w:color w:val="auto"/>
          <w:spacing w:val="-4"/>
          <w:sz w:val="24"/>
          <w:szCs w:val="24"/>
          <w:highlight w:val="none"/>
          <w14:textOutline w14:w="4354" w14:cap="flat" w14:cmpd="sng">
            <w14:solidFill>
              <w14:srgbClr w14:val="000000"/>
            </w14:solidFill>
            <w14:prstDash w14:val="solid"/>
            <w14:miter w14:val="0"/>
          </w14:textOutline>
        </w:rPr>
      </w:pPr>
    </w:p>
    <w:p>
      <w:pPr>
        <w:spacing w:before="292" w:line="222" w:lineRule="auto"/>
        <w:ind w:left="142"/>
        <w:rPr>
          <w:rFonts w:ascii="宋体" w:hAnsi="宋体" w:eastAsia="宋体" w:cs="宋体"/>
          <w:color w:val="auto"/>
          <w:spacing w:val="-4"/>
          <w:sz w:val="24"/>
          <w:szCs w:val="24"/>
          <w:highlight w:val="none"/>
          <w14:textOutline w14:w="4354" w14:cap="flat" w14:cmpd="sng">
            <w14:solidFill>
              <w14:srgbClr w14:val="000000"/>
            </w14:solidFill>
            <w14:prstDash w14:val="solid"/>
            <w14:miter w14:val="0"/>
          </w14:textOutline>
        </w:rPr>
      </w:pPr>
    </w:p>
    <w:p>
      <w:pPr>
        <w:spacing w:before="306" w:line="220" w:lineRule="auto"/>
        <w:ind w:left="29"/>
        <w:rPr>
          <w:rFonts w:ascii="宋体" w:hAnsi="宋体" w:eastAsia="宋体" w:cs="宋体"/>
          <w:color w:val="auto"/>
          <w:spacing w:val="-4"/>
          <w:sz w:val="24"/>
          <w:szCs w:val="24"/>
          <w:highlight w:val="none"/>
          <w14:textOutline w14:w="4354" w14:cap="flat" w14:cmpd="sng">
            <w14:solidFill>
              <w14:srgbClr w14:val="000000"/>
            </w14:solidFill>
            <w14:prstDash w14:val="solid"/>
            <w14:miter w14:val="0"/>
          </w14:textOutline>
        </w:rPr>
      </w:pPr>
    </w:p>
    <w:p>
      <w:pPr>
        <w:spacing w:before="292" w:line="222" w:lineRule="auto"/>
        <w:ind w:left="142"/>
        <w:rPr>
          <w:rFonts w:hint="eastAsia" w:ascii="黑体" w:hAnsi="黑体" w:eastAsia="黑体" w:cs="黑体"/>
          <w:b/>
          <w:bCs/>
          <w:color w:val="auto"/>
          <w:spacing w:val="-2"/>
          <w:sz w:val="28"/>
          <w:szCs w:val="28"/>
          <w:highlight w:val="none"/>
        </w:rPr>
      </w:pPr>
    </w:p>
    <w:p>
      <w:pPr>
        <w:spacing w:before="292" w:line="222" w:lineRule="auto"/>
        <w:ind w:left="142"/>
        <w:rPr>
          <w:rFonts w:hint="eastAsia" w:ascii="宋体" w:hAnsi="宋体" w:eastAsia="宋体" w:cs="宋体"/>
          <w:color w:val="auto"/>
          <w:sz w:val="21"/>
          <w:highlight w:val="none"/>
        </w:rPr>
      </w:pPr>
      <w:r>
        <w:rPr>
          <w:rFonts w:hint="eastAsia" w:ascii="宋体" w:hAnsi="宋体" w:eastAsia="宋体" w:cs="宋体"/>
          <w:b/>
          <w:bCs/>
          <w:color w:val="auto"/>
          <w:spacing w:val="-2"/>
          <w:sz w:val="28"/>
          <w:szCs w:val="28"/>
          <w:highlight w:val="none"/>
        </w:rPr>
        <w:t>附表四：中标通知书</w:t>
      </w:r>
    </w:p>
    <w:p>
      <w:pPr>
        <w:spacing w:before="91" w:line="221" w:lineRule="auto"/>
        <w:jc w:val="center"/>
        <w:rPr>
          <w:rFonts w:hint="eastAsia" w:ascii="宋体" w:hAnsi="宋体" w:eastAsia="宋体" w:cs="宋体"/>
          <w:b/>
          <w:bCs/>
          <w:color w:val="auto"/>
          <w:spacing w:val="9"/>
          <w:sz w:val="28"/>
          <w:szCs w:val="28"/>
          <w:highlight w:val="none"/>
        </w:rPr>
      </w:pPr>
      <w:r>
        <w:rPr>
          <w:rFonts w:hint="eastAsia" w:ascii="宋体" w:hAnsi="宋体" w:eastAsia="宋体" w:cs="宋体"/>
          <w:b/>
          <w:bCs/>
          <w:color w:val="auto"/>
          <w:spacing w:val="9"/>
          <w:sz w:val="28"/>
          <w:szCs w:val="28"/>
          <w:highlight w:val="none"/>
        </w:rPr>
        <w:t>中标通知书</w:t>
      </w:r>
    </w:p>
    <w:p>
      <w:pPr>
        <w:spacing w:line="245" w:lineRule="auto"/>
        <w:rPr>
          <w:rFonts w:hint="eastAsia" w:ascii="宋体" w:hAnsi="宋体" w:eastAsia="宋体" w:cs="宋体"/>
          <w:color w:val="auto"/>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lang w:val="en-US" w:eastAsia="zh-CN"/>
        </w:rPr>
        <w:t xml:space="preserve">  </w:t>
      </w:r>
      <w:r>
        <w:rPr>
          <w:rFonts w:hint="eastAsia" w:ascii="宋体" w:hAnsi="宋体" w:eastAsia="宋体" w:cs="宋体"/>
          <w:color w:val="auto"/>
          <w:spacing w:val="10"/>
          <w:sz w:val="21"/>
          <w:szCs w:val="21"/>
          <w:highlight w:val="none"/>
          <w:u w:val="single"/>
          <w:lang w:val="en-US" w:eastAsia="zh-CN"/>
        </w:rPr>
        <w:t xml:space="preserve">         </w:t>
      </w:r>
      <w:r>
        <w:rPr>
          <w:rFonts w:hint="eastAsia" w:ascii="宋体" w:hAnsi="宋体" w:eastAsia="宋体" w:cs="宋体"/>
          <w:color w:val="auto"/>
          <w:spacing w:val="5"/>
          <w:sz w:val="21"/>
          <w:szCs w:val="21"/>
          <w:highlight w:val="none"/>
        </w:rPr>
        <w:t xml:space="preserve"> (中标人名称) ：</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firstLine="47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4"/>
          <w:sz w:val="21"/>
          <w:szCs w:val="21"/>
          <w:highlight w:val="none"/>
        </w:rPr>
        <w:t>你方于</w:t>
      </w:r>
      <w:r>
        <w:rPr>
          <w:rFonts w:hint="eastAsia" w:ascii="宋体" w:hAnsi="宋体" w:eastAsia="宋体" w:cs="宋体"/>
          <w:color w:val="auto"/>
          <w:spacing w:val="10"/>
          <w:sz w:val="21"/>
          <w:szCs w:val="21"/>
          <w:highlight w:val="none"/>
          <w:lang w:val="en-US" w:eastAsia="zh-CN"/>
        </w:rPr>
        <w:t xml:space="preserve"> </w:t>
      </w:r>
      <w:r>
        <w:rPr>
          <w:rFonts w:hint="eastAsia" w:ascii="宋体" w:hAnsi="宋体" w:eastAsia="宋体" w:cs="宋体"/>
          <w:color w:val="auto"/>
          <w:spacing w:val="10"/>
          <w:sz w:val="21"/>
          <w:szCs w:val="21"/>
          <w:highlight w:val="none"/>
          <w:u w:val="single"/>
          <w:lang w:val="en-US" w:eastAsia="zh-CN"/>
        </w:rPr>
        <w:t xml:space="preserve">         </w:t>
      </w:r>
      <w:r>
        <w:rPr>
          <w:rFonts w:hint="eastAsia" w:ascii="宋体" w:hAnsi="宋体" w:eastAsia="宋体" w:cs="宋体"/>
          <w:color w:val="auto"/>
          <w:spacing w:val="7"/>
          <w:sz w:val="21"/>
          <w:szCs w:val="21"/>
          <w:highlight w:val="none"/>
        </w:rPr>
        <w:t xml:space="preserve"> (投标日期) 所递交的</w:t>
      </w:r>
      <w:r>
        <w:rPr>
          <w:rFonts w:hint="eastAsia" w:ascii="宋体" w:hAnsi="宋体" w:eastAsia="宋体" w:cs="宋体"/>
          <w:color w:val="auto"/>
          <w:spacing w:val="10"/>
          <w:sz w:val="21"/>
          <w:szCs w:val="21"/>
          <w:highlight w:val="none"/>
          <w:lang w:val="en-US" w:eastAsia="zh-CN"/>
        </w:rPr>
        <w:t xml:space="preserve"> </w:t>
      </w:r>
      <w:r>
        <w:rPr>
          <w:rFonts w:hint="eastAsia" w:ascii="宋体" w:hAnsi="宋体" w:eastAsia="宋体" w:cs="宋体"/>
          <w:color w:val="auto"/>
          <w:spacing w:val="10"/>
          <w:sz w:val="21"/>
          <w:szCs w:val="21"/>
          <w:highlight w:val="none"/>
          <w:u w:val="single"/>
          <w:lang w:val="en-US" w:eastAsia="zh-CN"/>
        </w:rPr>
        <w:t xml:space="preserve">         </w:t>
      </w:r>
      <w:r>
        <w:rPr>
          <w:rFonts w:hint="eastAsia" w:ascii="宋体" w:hAnsi="宋体" w:eastAsia="宋体" w:cs="宋体"/>
          <w:color w:val="auto"/>
          <w:spacing w:val="7"/>
          <w:sz w:val="21"/>
          <w:szCs w:val="21"/>
          <w:highlight w:val="none"/>
        </w:rPr>
        <w:t xml:space="preserve"> (项目名称) ___标段施工投标文件已被</w:t>
      </w:r>
      <w:r>
        <w:rPr>
          <w:rFonts w:hint="eastAsia" w:ascii="宋体" w:hAnsi="宋体" w:eastAsia="宋体" w:cs="宋体"/>
          <w:color w:val="auto"/>
          <w:spacing w:val="11"/>
          <w:sz w:val="21"/>
          <w:szCs w:val="21"/>
          <w:highlight w:val="none"/>
        </w:rPr>
        <w:t>我</w:t>
      </w:r>
      <w:r>
        <w:rPr>
          <w:rFonts w:hint="eastAsia" w:ascii="宋体" w:hAnsi="宋体" w:eastAsia="宋体" w:cs="宋体"/>
          <w:color w:val="auto"/>
          <w:spacing w:val="8"/>
          <w:sz w:val="21"/>
          <w:szCs w:val="21"/>
          <w:highlight w:val="none"/>
        </w:rPr>
        <w:t>方接受，被确定为中标人。</w:t>
      </w:r>
    </w:p>
    <w:p>
      <w:pPr>
        <w:keepNext w:val="0"/>
        <w:keepLines w:val="0"/>
        <w:pageBreakBefore w:val="0"/>
        <w:widowControl/>
        <w:kinsoku w:val="0"/>
        <w:wordWrap/>
        <w:overflowPunct/>
        <w:topLinePunct w:val="0"/>
        <w:autoSpaceDE w:val="0"/>
        <w:autoSpaceDN w:val="0"/>
        <w:bidi w:val="0"/>
        <w:adjustRightInd w:val="0"/>
        <w:snapToGrid w:val="0"/>
        <w:spacing w:before="163" w:line="400" w:lineRule="exact"/>
        <w:ind w:left="449"/>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position w:val="16"/>
          <w:sz w:val="21"/>
          <w:szCs w:val="21"/>
          <w:highlight w:val="none"/>
        </w:rPr>
        <w:t>中标价：</w:t>
      </w:r>
      <w:r>
        <w:rPr>
          <w:rFonts w:hint="eastAsia" w:ascii="宋体" w:hAnsi="宋体" w:eastAsia="宋体" w:cs="宋体"/>
          <w:color w:val="auto"/>
          <w:spacing w:val="8"/>
          <w:position w:val="16"/>
          <w:sz w:val="21"/>
          <w:szCs w:val="21"/>
          <w:highlight w:val="none"/>
          <w:u w:val="single"/>
          <w:lang w:val="en-US" w:eastAsia="zh-CN"/>
        </w:rPr>
        <w:t xml:space="preserve">          </w:t>
      </w:r>
      <w:r>
        <w:rPr>
          <w:rFonts w:hint="eastAsia" w:ascii="宋体" w:hAnsi="宋体" w:eastAsia="宋体" w:cs="宋体"/>
          <w:color w:val="auto"/>
          <w:spacing w:val="4"/>
          <w:position w:val="16"/>
          <w:sz w:val="21"/>
          <w:szCs w:val="21"/>
          <w:highlight w:val="none"/>
        </w:rPr>
        <w:t>元。</w:t>
      </w:r>
    </w:p>
    <w:p>
      <w:pPr>
        <w:keepNext w:val="0"/>
        <w:keepLines w:val="0"/>
        <w:pageBreakBefore w:val="0"/>
        <w:widowControl/>
        <w:kinsoku w:val="0"/>
        <w:wordWrap/>
        <w:overflowPunct/>
        <w:topLinePunct w:val="0"/>
        <w:autoSpaceDE w:val="0"/>
        <w:autoSpaceDN w:val="0"/>
        <w:bidi w:val="0"/>
        <w:adjustRightInd w:val="0"/>
        <w:snapToGrid w:val="0"/>
        <w:spacing w:before="1" w:line="400" w:lineRule="exact"/>
        <w:ind w:left="432"/>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工期：</w:t>
      </w:r>
      <w:r>
        <w:rPr>
          <w:rFonts w:hint="eastAsia" w:ascii="宋体" w:hAnsi="宋体" w:eastAsia="宋体" w:cs="宋体"/>
          <w:color w:val="auto"/>
          <w:spacing w:val="10"/>
          <w:sz w:val="21"/>
          <w:szCs w:val="21"/>
          <w:highlight w:val="none"/>
          <w:lang w:val="en-US" w:eastAsia="zh-CN"/>
        </w:rPr>
        <w:t xml:space="preserve"> </w:t>
      </w:r>
      <w:r>
        <w:rPr>
          <w:rFonts w:hint="eastAsia" w:ascii="宋体" w:hAnsi="宋体" w:eastAsia="宋体" w:cs="宋体"/>
          <w:color w:val="auto"/>
          <w:spacing w:val="10"/>
          <w:sz w:val="21"/>
          <w:szCs w:val="21"/>
          <w:highlight w:val="none"/>
          <w:u w:val="single"/>
          <w:lang w:val="en-US" w:eastAsia="zh-CN"/>
        </w:rPr>
        <w:t xml:space="preserve">         </w:t>
      </w:r>
      <w:r>
        <w:rPr>
          <w:rFonts w:hint="eastAsia" w:ascii="宋体" w:hAnsi="宋体" w:eastAsia="宋体" w:cs="宋体"/>
          <w:color w:val="auto"/>
          <w:spacing w:val="3"/>
          <w:sz w:val="21"/>
          <w:szCs w:val="21"/>
          <w:highlight w:val="none"/>
        </w:rPr>
        <w:t xml:space="preserve"> 日历天</w:t>
      </w:r>
      <w:r>
        <w:rPr>
          <w:rFonts w:hint="eastAsia" w:ascii="宋体" w:hAnsi="宋体" w:eastAsia="宋体" w:cs="宋体"/>
          <w:color w:val="auto"/>
          <w:spacing w:val="2"/>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before="168" w:line="400" w:lineRule="exact"/>
        <w:ind w:left="432"/>
        <w:textAlignment w:val="baseline"/>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mc:AlternateContent>
          <mc:Choice Requires="wps">
            <w:drawing>
              <wp:anchor distT="0" distB="0" distL="114300" distR="114300" simplePos="0" relativeHeight="251670528" behindDoc="0" locked="0" layoutInCell="1" allowOverlap="1">
                <wp:simplePos x="0" y="0"/>
                <wp:positionH relativeFrom="column">
                  <wp:posOffset>2673350</wp:posOffset>
                </wp:positionH>
                <wp:positionV relativeFrom="paragraph">
                  <wp:posOffset>179070</wp:posOffset>
                </wp:positionV>
                <wp:extent cx="118745" cy="9144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8745" cy="91440"/>
                        </a:xfrm>
                        <a:prstGeom prst="rect">
                          <a:avLst/>
                        </a:prstGeom>
                        <a:noFill/>
                        <a:ln>
                          <a:noFill/>
                        </a:ln>
                      </wps:spPr>
                      <wps:txbx>
                        <w:txbxContent>
                          <w:p>
                            <w:pPr>
                              <w:spacing w:before="20" w:line="103" w:lineRule="exact"/>
                              <w:ind w:left="20"/>
                              <w:rPr>
                                <w:rFonts w:ascii="宋体" w:hAnsi="宋体" w:eastAsia="宋体" w:cs="宋体"/>
                                <w:sz w:val="20"/>
                                <w:szCs w:val="20"/>
                              </w:rPr>
                            </w:pPr>
                          </w:p>
                        </w:txbxContent>
                      </wps:txbx>
                      <wps:bodyPr lIns="0" tIns="0" rIns="0" bIns="0" upright="1"/>
                    </wps:wsp>
                  </a:graphicData>
                </a:graphic>
              </wp:anchor>
            </w:drawing>
          </mc:Choice>
          <mc:Fallback>
            <w:pict>
              <v:shape id="_x0000_s1026" o:spid="_x0000_s1026" o:spt="202" type="#_x0000_t202" style="position:absolute;left:0pt;margin-left:210.5pt;margin-top:14.1pt;height:7.2pt;width:9.35pt;z-index:251670528;mso-width-relative:page;mso-height-relative:page;" filled="f" stroked="f" coordsize="21600,21600" o:gfxdata="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GwHlDYAAAACQEAAA8AAAAAAAAAAQAgAAAAIgAAAGRycy9kb3ducmV2LnhtbFBLAQIU&#10;ABQAAAAIAIdO4kCne93SugEAAHADAAAOAAAAAAAAAAEAIAAAACcBAABkcnMvZTJvRG9jLnhtbFBL&#10;BQYAAAAABgAGAFkBAABTBQAAAAA=&#10;">
                <v:fill on="f" focussize="0,0"/>
                <v:stroke on="f"/>
                <v:imagedata o:title=""/>
                <o:lock v:ext="edit" aspectratio="f"/>
                <v:textbox inset="0mm,0mm,0mm,0mm">
                  <w:txbxContent>
                    <w:p>
                      <w:pPr>
                        <w:spacing w:before="20" w:line="103" w:lineRule="exact"/>
                        <w:ind w:left="20"/>
                        <w:rPr>
                          <w:rFonts w:ascii="宋体" w:hAnsi="宋体" w:eastAsia="宋体" w:cs="宋体"/>
                          <w:sz w:val="20"/>
                          <w:szCs w:val="20"/>
                        </w:rPr>
                      </w:pPr>
                    </w:p>
                  </w:txbxContent>
                </v:textbox>
              </v:shape>
            </w:pict>
          </mc:Fallback>
        </mc:AlternateContent>
      </w:r>
      <w:r>
        <w:rPr>
          <w:rFonts w:hint="eastAsia" w:ascii="宋体" w:hAnsi="宋体" w:eastAsia="宋体" w:cs="宋体"/>
          <w:color w:val="auto"/>
          <w:spacing w:val="4"/>
          <w:sz w:val="21"/>
          <w:szCs w:val="21"/>
          <w:highlight w:val="none"/>
        </w:rPr>
        <w:t xml:space="preserve">工程质量： </w:t>
      </w:r>
      <w:r>
        <w:rPr>
          <w:rFonts w:hint="eastAsia" w:ascii="宋体" w:hAnsi="宋体" w:eastAsia="宋体" w:cs="宋体"/>
          <w:color w:val="auto"/>
          <w:spacing w:val="10"/>
          <w:sz w:val="21"/>
          <w:szCs w:val="21"/>
          <w:highlight w:val="none"/>
          <w:lang w:val="en-US" w:eastAsia="zh-CN"/>
        </w:rPr>
        <w:t xml:space="preserve"> </w:t>
      </w:r>
      <w:r>
        <w:rPr>
          <w:rFonts w:hint="eastAsia" w:ascii="宋体" w:hAnsi="宋体" w:eastAsia="宋体" w:cs="宋体"/>
          <w:color w:val="auto"/>
          <w:spacing w:val="10"/>
          <w:sz w:val="21"/>
          <w:szCs w:val="21"/>
          <w:highlight w:val="none"/>
          <w:u w:val="single"/>
          <w:lang w:val="en-US" w:eastAsia="zh-CN"/>
        </w:rPr>
        <w:t xml:space="preserve">                     </w:t>
      </w:r>
      <w:r>
        <w:rPr>
          <w:rFonts w:hint="eastAsia" w:ascii="宋体" w:hAnsi="宋体" w:eastAsia="宋体" w:cs="宋体"/>
          <w:color w:val="auto"/>
          <w:spacing w:val="10"/>
          <w:sz w:val="21"/>
          <w:szCs w:val="21"/>
          <w:highlight w:val="none"/>
          <w:u w:val="none"/>
          <w:lang w:val="en-US" w:eastAsia="zh-CN"/>
        </w:rPr>
        <w:t>。</w:t>
      </w:r>
    </w:p>
    <w:p>
      <w:pPr>
        <w:keepNext w:val="0"/>
        <w:keepLines w:val="0"/>
        <w:pageBreakBefore w:val="0"/>
        <w:widowControl/>
        <w:tabs>
          <w:tab w:val="center" w:pos="4620"/>
        </w:tabs>
        <w:kinsoku w:val="0"/>
        <w:wordWrap/>
        <w:overflowPunct/>
        <w:topLinePunct w:val="0"/>
        <w:autoSpaceDE w:val="0"/>
        <w:autoSpaceDN w:val="0"/>
        <w:bidi w:val="0"/>
        <w:adjustRightInd w:val="0"/>
        <w:snapToGrid w:val="0"/>
        <w:spacing w:before="169" w:line="400" w:lineRule="exact"/>
        <w:ind w:left="432"/>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anchor distT="0" distB="0" distL="114300" distR="114300" simplePos="0" relativeHeight="251669504" behindDoc="0" locked="0" layoutInCell="1" allowOverlap="1">
                <wp:simplePos x="0" y="0"/>
                <wp:positionH relativeFrom="column">
                  <wp:posOffset>2940050</wp:posOffset>
                </wp:positionH>
                <wp:positionV relativeFrom="paragraph">
                  <wp:posOffset>179070</wp:posOffset>
                </wp:positionV>
                <wp:extent cx="118745" cy="9144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8745" cy="91440"/>
                        </a:xfrm>
                        <a:prstGeom prst="rect">
                          <a:avLst/>
                        </a:prstGeom>
                        <a:noFill/>
                        <a:ln>
                          <a:noFill/>
                        </a:ln>
                      </wps:spPr>
                      <wps:txbx>
                        <w:txbxContent>
                          <w:p>
                            <w:pPr>
                              <w:spacing w:before="20" w:line="103" w:lineRule="exact"/>
                              <w:rPr>
                                <w:rFonts w:ascii="宋体" w:hAnsi="宋体" w:eastAsia="宋体" w:cs="宋体"/>
                                <w:sz w:val="20"/>
                                <w:szCs w:val="20"/>
                              </w:rPr>
                            </w:pPr>
                          </w:p>
                        </w:txbxContent>
                      </wps:txbx>
                      <wps:bodyPr lIns="0" tIns="0" rIns="0" bIns="0" upright="1"/>
                    </wps:wsp>
                  </a:graphicData>
                </a:graphic>
              </wp:anchor>
            </w:drawing>
          </mc:Choice>
          <mc:Fallback>
            <w:pict>
              <v:shape id="_x0000_s1026" o:spid="_x0000_s1026" o:spt="202" type="#_x0000_t202" style="position:absolute;left:0pt;margin-left:231.5pt;margin-top:14.1pt;height:7.2pt;width:9.35pt;z-index:251669504;mso-width-relative:page;mso-height-relative:page;" filled="f" stroked="f" coordsize="21600,21600" o:gfxdata="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M8hv7tgAAAAJAQAADwAAAAAAAAABACAAAAAiAAAAZHJzL2Rvd25yZXYueG1sUEsBAhQA&#10;FAAAAAgAh07iQED+vre5AQAAcAMAAA4AAAAAAAAAAQAgAAAAJwEAAGRycy9lMm9Eb2MueG1sUEsF&#10;BgAAAAAGAAYAWQEAAFIFAAAAAA==&#10;">
                <v:fill on="f" focussize="0,0"/>
                <v:stroke on="f"/>
                <v:imagedata o:title=""/>
                <o:lock v:ext="edit" aspectratio="f"/>
                <v:textbox inset="0mm,0mm,0mm,0mm">
                  <w:txbxContent>
                    <w:p>
                      <w:pPr>
                        <w:spacing w:before="20" w:line="103" w:lineRule="exact"/>
                        <w:rPr>
                          <w:rFonts w:ascii="宋体" w:hAnsi="宋体" w:eastAsia="宋体" w:cs="宋体"/>
                          <w:sz w:val="20"/>
                          <w:szCs w:val="20"/>
                        </w:rPr>
                      </w:pPr>
                    </w:p>
                  </w:txbxContent>
                </v:textbox>
              </v:shape>
            </w:pict>
          </mc:Fallback>
        </mc:AlternateContent>
      </w:r>
      <w:r>
        <w:rPr>
          <w:rFonts w:hint="eastAsia" w:ascii="宋体" w:hAnsi="宋体" w:eastAsia="宋体" w:cs="宋体"/>
          <w:color w:val="auto"/>
          <w:spacing w:val="3"/>
          <w:sz w:val="21"/>
          <w:szCs w:val="21"/>
          <w:highlight w:val="none"/>
        </w:rPr>
        <w:t xml:space="preserve">工程安全目标： </w:t>
      </w:r>
      <w:r>
        <w:rPr>
          <w:rFonts w:hint="eastAsia" w:ascii="宋体" w:hAnsi="宋体" w:eastAsia="宋体" w:cs="宋体"/>
          <w:color w:val="auto"/>
          <w:spacing w:val="10"/>
          <w:sz w:val="21"/>
          <w:szCs w:val="21"/>
          <w:highlight w:val="none"/>
          <w:lang w:val="en-US" w:eastAsia="zh-CN"/>
        </w:rPr>
        <w:t xml:space="preserve"> </w:t>
      </w:r>
      <w:r>
        <w:rPr>
          <w:rFonts w:hint="eastAsia" w:ascii="宋体" w:hAnsi="宋体" w:eastAsia="宋体" w:cs="宋体"/>
          <w:color w:val="auto"/>
          <w:spacing w:val="10"/>
          <w:sz w:val="21"/>
          <w:szCs w:val="21"/>
          <w:highlight w:val="none"/>
          <w:u w:val="single"/>
          <w:lang w:val="en-US" w:eastAsia="zh-CN"/>
        </w:rPr>
        <w:t xml:space="preserve">                   </w:t>
      </w:r>
      <w:r>
        <w:rPr>
          <w:rFonts w:hint="eastAsia" w:ascii="宋体" w:hAnsi="宋体" w:eastAsia="宋体" w:cs="宋体"/>
          <w:color w:val="auto"/>
          <w:spacing w:val="10"/>
          <w:sz w:val="21"/>
          <w:szCs w:val="21"/>
          <w:highlight w:val="none"/>
          <w:u w:val="none"/>
          <w:lang w:val="en-US" w:eastAsia="zh-CN"/>
        </w:rPr>
        <w:t>。</w:t>
      </w:r>
    </w:p>
    <w:p>
      <w:pPr>
        <w:keepNext w:val="0"/>
        <w:keepLines w:val="0"/>
        <w:pageBreakBefore w:val="0"/>
        <w:widowControl/>
        <w:kinsoku w:val="0"/>
        <w:wordWrap/>
        <w:overflowPunct/>
        <w:topLinePunct w:val="0"/>
        <w:autoSpaceDE w:val="0"/>
        <w:autoSpaceDN w:val="0"/>
        <w:bidi w:val="0"/>
        <w:adjustRightInd w:val="0"/>
        <w:snapToGrid w:val="0"/>
        <w:spacing w:before="169" w:line="400" w:lineRule="exact"/>
        <w:ind w:left="432"/>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项目经</w:t>
      </w:r>
      <w:r>
        <w:rPr>
          <w:rFonts w:hint="eastAsia" w:ascii="宋体" w:hAnsi="宋体" w:eastAsia="宋体" w:cs="宋体"/>
          <w:color w:val="auto"/>
          <w:spacing w:val="6"/>
          <w:sz w:val="21"/>
          <w:szCs w:val="21"/>
          <w:highlight w:val="none"/>
        </w:rPr>
        <w:t>理</w:t>
      </w:r>
      <w:r>
        <w:rPr>
          <w:rFonts w:hint="eastAsia" w:ascii="宋体" w:hAnsi="宋体" w:eastAsia="宋体" w:cs="宋体"/>
          <w:color w:val="auto"/>
          <w:spacing w:val="4"/>
          <w:sz w:val="21"/>
          <w:szCs w:val="21"/>
          <w:highlight w:val="none"/>
        </w:rPr>
        <w:t xml:space="preserve">： </w:t>
      </w:r>
      <w:r>
        <w:rPr>
          <w:rFonts w:hint="eastAsia" w:ascii="宋体" w:hAnsi="宋体" w:eastAsia="宋体" w:cs="宋体"/>
          <w:color w:val="auto"/>
          <w:spacing w:val="10"/>
          <w:sz w:val="21"/>
          <w:szCs w:val="21"/>
          <w:highlight w:val="none"/>
          <w:lang w:val="en-US" w:eastAsia="zh-CN"/>
        </w:rPr>
        <w:t xml:space="preserve"> </w:t>
      </w:r>
      <w:r>
        <w:rPr>
          <w:rFonts w:hint="eastAsia" w:ascii="宋体" w:hAnsi="宋体" w:eastAsia="宋体" w:cs="宋体"/>
          <w:color w:val="auto"/>
          <w:spacing w:val="10"/>
          <w:sz w:val="21"/>
          <w:szCs w:val="21"/>
          <w:highlight w:val="none"/>
          <w:u w:val="single"/>
          <w:lang w:val="en-US" w:eastAsia="zh-CN"/>
        </w:rPr>
        <w:t xml:space="preserve">         </w:t>
      </w:r>
      <w:r>
        <w:rPr>
          <w:rFonts w:hint="eastAsia" w:ascii="宋体" w:hAnsi="宋体" w:eastAsia="宋体" w:cs="宋体"/>
          <w:color w:val="auto"/>
          <w:spacing w:val="4"/>
          <w:sz w:val="21"/>
          <w:szCs w:val="21"/>
          <w:highlight w:val="none"/>
        </w:rPr>
        <w:t xml:space="preserve"> (姓名)。</w:t>
      </w:r>
    </w:p>
    <w:p>
      <w:pPr>
        <w:keepNext w:val="0"/>
        <w:keepLines w:val="0"/>
        <w:pageBreakBefore w:val="0"/>
        <w:widowControl/>
        <w:kinsoku w:val="0"/>
        <w:wordWrap/>
        <w:overflowPunct/>
        <w:topLinePunct w:val="0"/>
        <w:autoSpaceDE w:val="0"/>
        <w:autoSpaceDN w:val="0"/>
        <w:bidi w:val="0"/>
        <w:adjustRightInd w:val="0"/>
        <w:snapToGrid w:val="0"/>
        <w:spacing w:before="171" w:line="400" w:lineRule="exact"/>
        <w:ind w:left="432"/>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position w:val="15"/>
          <w:sz w:val="21"/>
          <w:szCs w:val="21"/>
          <w:highlight w:val="none"/>
        </w:rPr>
        <w:t>项</w:t>
      </w:r>
      <w:r>
        <w:rPr>
          <w:rFonts w:hint="eastAsia" w:ascii="宋体" w:hAnsi="宋体" w:eastAsia="宋体" w:cs="宋体"/>
          <w:color w:val="auto"/>
          <w:spacing w:val="5"/>
          <w:position w:val="15"/>
          <w:sz w:val="21"/>
          <w:szCs w:val="21"/>
          <w:highlight w:val="none"/>
        </w:rPr>
        <w:t xml:space="preserve">目技术负责人： </w:t>
      </w:r>
      <w:r>
        <w:rPr>
          <w:rFonts w:hint="eastAsia" w:ascii="宋体" w:hAnsi="宋体" w:eastAsia="宋体" w:cs="宋体"/>
          <w:color w:val="auto"/>
          <w:spacing w:val="10"/>
          <w:sz w:val="21"/>
          <w:szCs w:val="21"/>
          <w:highlight w:val="none"/>
          <w:lang w:val="en-US" w:eastAsia="zh-CN"/>
        </w:rPr>
        <w:t xml:space="preserve"> </w:t>
      </w:r>
      <w:r>
        <w:rPr>
          <w:rFonts w:hint="eastAsia" w:ascii="宋体" w:hAnsi="宋体" w:eastAsia="宋体" w:cs="宋体"/>
          <w:color w:val="auto"/>
          <w:spacing w:val="10"/>
          <w:sz w:val="21"/>
          <w:szCs w:val="21"/>
          <w:highlight w:val="none"/>
          <w:u w:val="single"/>
          <w:lang w:val="en-US" w:eastAsia="zh-CN"/>
        </w:rPr>
        <w:t xml:space="preserve">         </w:t>
      </w:r>
      <w:r>
        <w:rPr>
          <w:rFonts w:hint="eastAsia" w:ascii="宋体" w:hAnsi="宋体" w:eastAsia="宋体" w:cs="宋体"/>
          <w:color w:val="auto"/>
          <w:spacing w:val="5"/>
          <w:position w:val="15"/>
          <w:sz w:val="21"/>
          <w:szCs w:val="21"/>
          <w:highlight w:val="none"/>
        </w:rPr>
        <w:t xml:space="preserve"> (姓名)。</w:t>
      </w:r>
    </w:p>
    <w:p>
      <w:pPr>
        <w:keepNext w:val="0"/>
        <w:keepLines w:val="0"/>
        <w:pageBreakBefore w:val="0"/>
        <w:widowControl/>
        <w:kinsoku w:val="0"/>
        <w:wordWrap/>
        <w:overflowPunct/>
        <w:topLinePunct w:val="0"/>
        <w:autoSpaceDE w:val="0"/>
        <w:autoSpaceDN w:val="0"/>
        <w:bidi w:val="0"/>
        <w:adjustRightInd w:val="0"/>
        <w:snapToGrid w:val="0"/>
        <w:spacing w:before="1" w:line="400" w:lineRule="exact"/>
        <w:ind w:left="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安全负责</w:t>
      </w:r>
      <w:r>
        <w:rPr>
          <w:rFonts w:hint="eastAsia" w:ascii="宋体" w:hAnsi="宋体" w:eastAsia="宋体" w:cs="宋体"/>
          <w:color w:val="auto"/>
          <w:spacing w:val="6"/>
          <w:sz w:val="21"/>
          <w:szCs w:val="21"/>
          <w:highlight w:val="none"/>
        </w:rPr>
        <w:t>人</w:t>
      </w:r>
      <w:r>
        <w:rPr>
          <w:rFonts w:hint="eastAsia" w:ascii="宋体" w:hAnsi="宋体" w:eastAsia="宋体" w:cs="宋体"/>
          <w:color w:val="auto"/>
          <w:spacing w:val="4"/>
          <w:sz w:val="21"/>
          <w:szCs w:val="21"/>
          <w:highlight w:val="none"/>
        </w:rPr>
        <w:t>：</w:t>
      </w:r>
      <w:r>
        <w:rPr>
          <w:rFonts w:hint="eastAsia" w:ascii="宋体" w:hAnsi="宋体" w:eastAsia="宋体" w:cs="宋体"/>
          <w:color w:val="auto"/>
          <w:spacing w:val="10"/>
          <w:sz w:val="21"/>
          <w:szCs w:val="21"/>
          <w:highlight w:val="none"/>
          <w:lang w:val="en-US" w:eastAsia="zh-CN"/>
        </w:rPr>
        <w:t xml:space="preserve"> </w:t>
      </w:r>
      <w:r>
        <w:rPr>
          <w:rFonts w:hint="eastAsia" w:ascii="宋体" w:hAnsi="宋体" w:eastAsia="宋体" w:cs="宋体"/>
          <w:color w:val="auto"/>
          <w:spacing w:val="10"/>
          <w:sz w:val="21"/>
          <w:szCs w:val="21"/>
          <w:highlight w:val="none"/>
          <w:u w:val="single"/>
          <w:lang w:val="en-US" w:eastAsia="zh-CN"/>
        </w:rPr>
        <w:t xml:space="preserve">         </w:t>
      </w:r>
      <w:r>
        <w:rPr>
          <w:rFonts w:hint="eastAsia" w:ascii="宋体" w:hAnsi="宋体" w:eastAsia="宋体" w:cs="宋体"/>
          <w:color w:val="auto"/>
          <w:spacing w:val="4"/>
          <w:sz w:val="21"/>
          <w:szCs w:val="21"/>
          <w:highlight w:val="none"/>
        </w:rPr>
        <w:t>(姓名)。</w:t>
      </w:r>
    </w:p>
    <w:p>
      <w:pPr>
        <w:keepNext w:val="0"/>
        <w:keepLines w:val="0"/>
        <w:pageBreakBefore w:val="0"/>
        <w:widowControl/>
        <w:kinsoku w:val="0"/>
        <w:wordWrap/>
        <w:overflowPunct/>
        <w:topLinePunct w:val="0"/>
        <w:autoSpaceDE w:val="0"/>
        <w:autoSpaceDN w:val="0"/>
        <w:bidi w:val="0"/>
        <w:adjustRightInd w:val="0"/>
        <w:snapToGrid w:val="0"/>
        <w:spacing w:before="168" w:line="400" w:lineRule="exact"/>
        <w:ind w:left="8" w:firstLine="419"/>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请你方在接到本</w:t>
      </w:r>
      <w:r>
        <w:rPr>
          <w:rFonts w:hint="eastAsia" w:ascii="宋体" w:hAnsi="宋体" w:eastAsia="宋体" w:cs="宋体"/>
          <w:color w:val="auto"/>
          <w:spacing w:val="7"/>
          <w:sz w:val="21"/>
          <w:szCs w:val="21"/>
          <w:highlight w:val="none"/>
        </w:rPr>
        <w:t>通</w:t>
      </w:r>
      <w:r>
        <w:rPr>
          <w:rFonts w:hint="eastAsia" w:ascii="宋体" w:hAnsi="宋体" w:eastAsia="宋体" w:cs="宋体"/>
          <w:color w:val="auto"/>
          <w:spacing w:val="5"/>
          <w:sz w:val="21"/>
          <w:szCs w:val="21"/>
          <w:highlight w:val="none"/>
        </w:rPr>
        <w:t>知书后的</w:t>
      </w:r>
      <w:r>
        <w:rPr>
          <w:rFonts w:hint="eastAsia" w:ascii="宋体" w:hAnsi="宋体" w:eastAsia="宋体" w:cs="宋体"/>
          <w:color w:val="auto"/>
          <w:spacing w:val="10"/>
          <w:sz w:val="21"/>
          <w:szCs w:val="21"/>
          <w:highlight w:val="none"/>
          <w:lang w:val="en-US" w:eastAsia="zh-CN"/>
        </w:rPr>
        <w:t xml:space="preserve"> </w:t>
      </w:r>
      <w:r>
        <w:rPr>
          <w:rFonts w:hint="eastAsia" w:ascii="宋体" w:hAnsi="宋体" w:eastAsia="宋体" w:cs="宋体"/>
          <w:color w:val="auto"/>
          <w:spacing w:val="10"/>
          <w:sz w:val="21"/>
          <w:szCs w:val="21"/>
          <w:highlight w:val="none"/>
          <w:u w:val="single"/>
          <w:lang w:val="en-US" w:eastAsia="zh-CN"/>
        </w:rPr>
        <w:t xml:space="preserve">    </w:t>
      </w:r>
      <w:r>
        <w:rPr>
          <w:rFonts w:hint="eastAsia" w:ascii="宋体" w:hAnsi="宋体" w:eastAsia="宋体" w:cs="宋体"/>
          <w:color w:val="auto"/>
          <w:spacing w:val="5"/>
          <w:sz w:val="21"/>
          <w:szCs w:val="21"/>
          <w:highlight w:val="none"/>
        </w:rPr>
        <w:t>日内到</w:t>
      </w:r>
      <w:r>
        <w:rPr>
          <w:rFonts w:hint="eastAsia" w:ascii="宋体" w:hAnsi="宋体" w:eastAsia="宋体" w:cs="宋体"/>
          <w:color w:val="auto"/>
          <w:spacing w:val="10"/>
          <w:sz w:val="21"/>
          <w:szCs w:val="21"/>
          <w:highlight w:val="none"/>
          <w:lang w:val="en-US" w:eastAsia="zh-CN"/>
        </w:rPr>
        <w:t xml:space="preserve"> </w:t>
      </w:r>
      <w:r>
        <w:rPr>
          <w:rFonts w:hint="eastAsia" w:ascii="宋体" w:hAnsi="宋体" w:eastAsia="宋体" w:cs="宋体"/>
          <w:color w:val="auto"/>
          <w:spacing w:val="10"/>
          <w:sz w:val="21"/>
          <w:szCs w:val="21"/>
          <w:highlight w:val="none"/>
          <w:u w:val="single"/>
          <w:lang w:val="en-US" w:eastAsia="zh-CN"/>
        </w:rPr>
        <w:t xml:space="preserve">         </w:t>
      </w:r>
      <w:r>
        <w:rPr>
          <w:rFonts w:hint="eastAsia" w:ascii="宋体" w:hAnsi="宋体" w:eastAsia="宋体" w:cs="宋体"/>
          <w:color w:val="auto"/>
          <w:spacing w:val="5"/>
          <w:sz w:val="21"/>
          <w:szCs w:val="21"/>
          <w:highlight w:val="none"/>
        </w:rPr>
        <w:t>(指定地点)与我方签订施工承包合同，</w:t>
      </w:r>
      <w:r>
        <w:rPr>
          <w:rFonts w:hint="eastAsia" w:ascii="宋体" w:hAnsi="宋体" w:eastAsia="宋体" w:cs="宋体"/>
          <w:color w:val="auto"/>
          <w:spacing w:val="9"/>
          <w:sz w:val="21"/>
          <w:szCs w:val="21"/>
          <w:highlight w:val="none"/>
        </w:rPr>
        <w:t>在</w:t>
      </w:r>
      <w:r>
        <w:rPr>
          <w:rFonts w:hint="eastAsia" w:ascii="宋体" w:hAnsi="宋体" w:eastAsia="宋体" w:cs="宋体"/>
          <w:color w:val="auto"/>
          <w:spacing w:val="7"/>
          <w:sz w:val="21"/>
          <w:szCs w:val="21"/>
          <w:highlight w:val="none"/>
        </w:rPr>
        <w:t>此之前按招标文件第二章“投标人须知”第</w:t>
      </w:r>
      <w:r>
        <w:rPr>
          <w:rFonts w:hint="eastAsia" w:ascii="宋体" w:hAnsi="宋体" w:eastAsia="宋体" w:cs="宋体"/>
          <w:color w:val="auto"/>
          <w:spacing w:val="7"/>
          <w:sz w:val="21"/>
          <w:szCs w:val="21"/>
          <w:highlight w:val="none"/>
          <w:lang w:val="en-US" w:eastAsia="zh-CN"/>
        </w:rPr>
        <w:t xml:space="preserve"> </w:t>
      </w:r>
      <w:r>
        <w:rPr>
          <w:rFonts w:hint="eastAsia" w:ascii="宋体" w:hAnsi="宋体" w:eastAsia="宋体" w:cs="宋体"/>
          <w:color w:val="auto"/>
          <w:spacing w:val="7"/>
          <w:sz w:val="21"/>
          <w:szCs w:val="21"/>
          <w:highlight w:val="none"/>
        </w:rPr>
        <w:t>7.7</w:t>
      </w:r>
      <w:r>
        <w:rPr>
          <w:rFonts w:hint="eastAsia" w:ascii="宋体" w:hAnsi="宋体" w:eastAsia="宋体" w:cs="宋体"/>
          <w:color w:val="auto"/>
          <w:spacing w:val="7"/>
          <w:sz w:val="21"/>
          <w:szCs w:val="21"/>
          <w:highlight w:val="none"/>
          <w:lang w:val="en-US" w:eastAsia="zh-CN"/>
        </w:rPr>
        <w:t xml:space="preserve"> </w:t>
      </w:r>
      <w:r>
        <w:rPr>
          <w:rFonts w:hint="eastAsia" w:ascii="宋体" w:hAnsi="宋体" w:eastAsia="宋体" w:cs="宋体"/>
          <w:color w:val="auto"/>
          <w:spacing w:val="7"/>
          <w:sz w:val="21"/>
          <w:szCs w:val="21"/>
          <w:highlight w:val="none"/>
        </w:rPr>
        <w:t>款规定向我方提交履约保证金。</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429"/>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特此通知</w:t>
      </w:r>
      <w:r>
        <w:rPr>
          <w:rFonts w:hint="eastAsia" w:ascii="宋体" w:hAnsi="宋体" w:eastAsia="宋体" w:cs="宋体"/>
          <w:color w:val="auto"/>
          <w:spacing w:val="5"/>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380" w:lineRule="exact"/>
        <w:textAlignment w:val="baseline"/>
        <w:rPr>
          <w:rFonts w:hint="eastAsia" w:ascii="宋体" w:hAnsi="宋体" w:eastAsia="宋体" w:cs="宋体"/>
          <w:color w:val="auto"/>
          <w:spacing w:val="10"/>
          <w:sz w:val="21"/>
          <w:szCs w:val="21"/>
          <w:highlight w:val="none"/>
        </w:rPr>
      </w:pPr>
      <w:r>
        <w:rPr>
          <w:rFonts w:hint="eastAsia" w:ascii="宋体" w:hAnsi="宋体" w:eastAsia="宋体" w:cs="宋体"/>
          <w:color w:val="auto"/>
          <w:spacing w:val="10"/>
          <w:sz w:val="21"/>
          <w:szCs w:val="21"/>
          <w:highlight w:val="none"/>
        </w:rPr>
        <w:t xml:space="preserve">招标人：（盖章）             </w:t>
      </w:r>
      <w:r>
        <w:rPr>
          <w:rFonts w:hint="eastAsia" w:ascii="宋体" w:hAnsi="宋体" w:eastAsia="宋体" w:cs="宋体"/>
          <w:color w:val="auto"/>
          <w:spacing w:val="10"/>
          <w:sz w:val="21"/>
          <w:szCs w:val="21"/>
          <w:highlight w:val="none"/>
          <w:lang w:val="en-US" w:eastAsia="zh-CN"/>
        </w:rPr>
        <w:t xml:space="preserve">             </w:t>
      </w:r>
      <w:r>
        <w:rPr>
          <w:rFonts w:hint="eastAsia" w:ascii="宋体" w:hAnsi="宋体" w:eastAsia="宋体" w:cs="宋体"/>
          <w:color w:val="auto"/>
          <w:spacing w:val="10"/>
          <w:sz w:val="21"/>
          <w:szCs w:val="21"/>
          <w:highlight w:val="none"/>
        </w:rPr>
        <w:t xml:space="preserve">  招标代理机构：（盖章）                            </w:t>
      </w:r>
    </w:p>
    <w:p>
      <w:pPr>
        <w:keepNext w:val="0"/>
        <w:keepLines w:val="0"/>
        <w:pageBreakBefore w:val="0"/>
        <w:widowControl/>
        <w:kinsoku w:val="0"/>
        <w:wordWrap/>
        <w:overflowPunct/>
        <w:topLinePunct w:val="0"/>
        <w:autoSpaceDE w:val="0"/>
        <w:autoSpaceDN w:val="0"/>
        <w:bidi w:val="0"/>
        <w:adjustRightInd w:val="0"/>
        <w:snapToGrid w:val="0"/>
        <w:spacing w:before="65" w:line="380" w:lineRule="exact"/>
        <w:textAlignment w:val="baseline"/>
        <w:rPr>
          <w:rFonts w:hint="eastAsia" w:ascii="宋体" w:hAnsi="宋体" w:eastAsia="宋体" w:cs="宋体"/>
          <w:color w:val="auto"/>
          <w:spacing w:val="10"/>
          <w:sz w:val="21"/>
          <w:szCs w:val="21"/>
          <w:highlight w:val="none"/>
          <w:lang w:val="en-US" w:eastAsia="zh-CN"/>
        </w:rPr>
      </w:pPr>
      <w:r>
        <w:rPr>
          <w:rFonts w:hint="eastAsia" w:ascii="宋体" w:hAnsi="宋体" w:eastAsia="宋体" w:cs="宋体"/>
          <w:color w:val="auto"/>
          <w:spacing w:val="10"/>
          <w:sz w:val="21"/>
          <w:szCs w:val="21"/>
          <w:highlight w:val="none"/>
        </w:rPr>
        <w:t>法定代表人或</w:t>
      </w:r>
      <w:r>
        <w:rPr>
          <w:rFonts w:hint="eastAsia" w:ascii="宋体" w:hAnsi="宋体" w:eastAsia="宋体" w:cs="宋体"/>
          <w:color w:val="auto"/>
          <w:spacing w:val="10"/>
          <w:sz w:val="21"/>
          <w:szCs w:val="21"/>
          <w:highlight w:val="none"/>
          <w:lang w:val="en-US" w:eastAsia="zh-CN"/>
        </w:rPr>
        <w:t xml:space="preserve">                                法定代表人或</w:t>
      </w:r>
    </w:p>
    <w:p>
      <w:pPr>
        <w:keepNext w:val="0"/>
        <w:keepLines w:val="0"/>
        <w:pageBreakBefore w:val="0"/>
        <w:widowControl/>
        <w:kinsoku w:val="0"/>
        <w:wordWrap/>
        <w:overflowPunct/>
        <w:topLinePunct w:val="0"/>
        <w:autoSpaceDE w:val="0"/>
        <w:autoSpaceDN w:val="0"/>
        <w:bidi w:val="0"/>
        <w:adjustRightInd w:val="0"/>
        <w:snapToGrid w:val="0"/>
        <w:spacing w:before="65" w:line="380" w:lineRule="exact"/>
        <w:textAlignment w:val="baseline"/>
        <w:rPr>
          <w:rFonts w:hint="eastAsia" w:ascii="宋体" w:hAnsi="宋体" w:eastAsia="宋体" w:cs="宋体"/>
          <w:color w:val="auto"/>
          <w:spacing w:val="10"/>
          <w:sz w:val="21"/>
          <w:szCs w:val="21"/>
          <w:highlight w:val="none"/>
        </w:rPr>
      </w:pPr>
      <w:r>
        <w:rPr>
          <w:rFonts w:hint="eastAsia" w:ascii="宋体" w:hAnsi="宋体" w:eastAsia="宋体" w:cs="宋体"/>
          <w:color w:val="auto"/>
          <w:spacing w:val="10"/>
          <w:sz w:val="21"/>
          <w:szCs w:val="21"/>
          <w:highlight w:val="none"/>
        </w:rPr>
        <w:t>委托代理人</w:t>
      </w:r>
      <w:r>
        <w:rPr>
          <w:rFonts w:hint="eastAsia" w:ascii="宋体" w:hAnsi="宋体" w:eastAsia="宋体" w:cs="宋体"/>
          <w:color w:val="auto"/>
          <w:spacing w:val="10"/>
          <w:sz w:val="21"/>
          <w:szCs w:val="21"/>
          <w:highlight w:val="none"/>
          <w:u w:val="none"/>
        </w:rPr>
        <w:t>：</w:t>
      </w:r>
      <w:r>
        <w:rPr>
          <w:rFonts w:hint="eastAsia" w:ascii="宋体" w:hAnsi="宋体" w:eastAsia="宋体" w:cs="宋体"/>
          <w:color w:val="auto"/>
          <w:spacing w:val="10"/>
          <w:sz w:val="21"/>
          <w:szCs w:val="21"/>
          <w:highlight w:val="none"/>
          <w:u w:val="single"/>
        </w:rPr>
        <w:t xml:space="preserve">         </w:t>
      </w:r>
      <w:r>
        <w:rPr>
          <w:rFonts w:hint="eastAsia" w:ascii="宋体" w:hAnsi="宋体" w:eastAsia="宋体" w:cs="宋体"/>
          <w:color w:val="auto"/>
          <w:spacing w:val="10"/>
          <w:sz w:val="21"/>
          <w:szCs w:val="21"/>
          <w:highlight w:val="none"/>
        </w:rPr>
        <w:t>（签字或盖章）          项目负责人：</w:t>
      </w:r>
      <w:r>
        <w:rPr>
          <w:rFonts w:hint="eastAsia" w:ascii="宋体" w:hAnsi="宋体" w:eastAsia="宋体" w:cs="宋体"/>
          <w:color w:val="auto"/>
          <w:spacing w:val="10"/>
          <w:sz w:val="21"/>
          <w:szCs w:val="21"/>
          <w:highlight w:val="none"/>
          <w:u w:val="single"/>
        </w:rPr>
        <w:t xml:space="preserve">         </w:t>
      </w:r>
      <w:r>
        <w:rPr>
          <w:rFonts w:hint="eastAsia" w:ascii="宋体" w:hAnsi="宋体" w:eastAsia="宋体" w:cs="宋体"/>
          <w:color w:val="auto"/>
          <w:spacing w:val="10"/>
          <w:sz w:val="21"/>
          <w:szCs w:val="21"/>
          <w:highlight w:val="none"/>
        </w:rPr>
        <w:t xml:space="preserve">（签字或盖章）                                </w:t>
      </w:r>
    </w:p>
    <w:p>
      <w:pPr>
        <w:keepNext w:val="0"/>
        <w:keepLines w:val="0"/>
        <w:pageBreakBefore w:val="0"/>
        <w:widowControl/>
        <w:kinsoku w:val="0"/>
        <w:wordWrap/>
        <w:overflowPunct/>
        <w:topLinePunct w:val="0"/>
        <w:autoSpaceDE w:val="0"/>
        <w:autoSpaceDN w:val="0"/>
        <w:bidi w:val="0"/>
        <w:adjustRightInd w:val="0"/>
        <w:snapToGrid w:val="0"/>
        <w:spacing w:before="65" w:line="380" w:lineRule="exact"/>
        <w:textAlignment w:val="baseline"/>
        <w:rPr>
          <w:rFonts w:hint="eastAsia" w:ascii="宋体" w:hAnsi="宋体" w:eastAsia="宋体" w:cs="宋体"/>
          <w:color w:val="auto"/>
          <w:spacing w:val="10"/>
          <w:sz w:val="21"/>
          <w:szCs w:val="21"/>
          <w:highlight w:val="none"/>
        </w:rPr>
      </w:pPr>
      <w:r>
        <w:rPr>
          <w:rFonts w:hint="eastAsia" w:ascii="宋体" w:hAnsi="宋体" w:eastAsia="宋体" w:cs="宋体"/>
          <w:color w:val="auto"/>
          <w:spacing w:val="10"/>
          <w:sz w:val="21"/>
          <w:szCs w:val="21"/>
          <w:highlight w:val="none"/>
        </w:rPr>
        <w:t>日期：</w:t>
      </w:r>
      <w:r>
        <w:rPr>
          <w:rFonts w:hint="eastAsia" w:ascii="宋体" w:hAnsi="宋体" w:eastAsia="宋体" w:cs="宋体"/>
          <w:color w:val="auto"/>
          <w:spacing w:val="10"/>
          <w:sz w:val="21"/>
          <w:szCs w:val="21"/>
          <w:highlight w:val="none"/>
          <w:u w:val="single"/>
        </w:rPr>
        <w:t xml:space="preserve">        </w:t>
      </w:r>
      <w:r>
        <w:rPr>
          <w:rFonts w:hint="eastAsia" w:ascii="宋体" w:hAnsi="宋体" w:eastAsia="宋体" w:cs="宋体"/>
          <w:color w:val="auto"/>
          <w:spacing w:val="10"/>
          <w:sz w:val="21"/>
          <w:szCs w:val="21"/>
          <w:highlight w:val="none"/>
        </w:rPr>
        <w:t xml:space="preserve">年 </w:t>
      </w:r>
      <w:r>
        <w:rPr>
          <w:rFonts w:hint="eastAsia" w:ascii="宋体" w:hAnsi="宋体" w:eastAsia="宋体" w:cs="宋体"/>
          <w:color w:val="auto"/>
          <w:spacing w:val="10"/>
          <w:sz w:val="21"/>
          <w:szCs w:val="21"/>
          <w:highlight w:val="none"/>
          <w:u w:val="single"/>
        </w:rPr>
        <w:t xml:space="preserve"> </w:t>
      </w:r>
      <w:r>
        <w:rPr>
          <w:rFonts w:hint="eastAsia" w:ascii="宋体" w:hAnsi="宋体" w:eastAsia="宋体" w:cs="宋体"/>
          <w:color w:val="auto"/>
          <w:spacing w:val="10"/>
          <w:sz w:val="21"/>
          <w:szCs w:val="21"/>
          <w:highlight w:val="none"/>
          <w:u w:val="single"/>
          <w:lang w:val="en-US" w:eastAsia="zh-CN"/>
        </w:rPr>
        <w:t xml:space="preserve">    </w:t>
      </w:r>
      <w:r>
        <w:rPr>
          <w:rFonts w:hint="eastAsia" w:ascii="宋体" w:hAnsi="宋体" w:eastAsia="宋体" w:cs="宋体"/>
          <w:color w:val="auto"/>
          <w:spacing w:val="10"/>
          <w:sz w:val="21"/>
          <w:szCs w:val="21"/>
          <w:highlight w:val="none"/>
        </w:rPr>
        <w:t>月</w:t>
      </w:r>
      <w:r>
        <w:rPr>
          <w:rFonts w:hint="eastAsia" w:ascii="宋体" w:hAnsi="宋体" w:eastAsia="宋体" w:cs="宋体"/>
          <w:color w:val="auto"/>
          <w:spacing w:val="10"/>
          <w:sz w:val="21"/>
          <w:szCs w:val="21"/>
          <w:highlight w:val="none"/>
          <w:u w:val="single"/>
        </w:rPr>
        <w:t xml:space="preserve">      </w:t>
      </w:r>
      <w:r>
        <w:rPr>
          <w:rFonts w:hint="eastAsia" w:ascii="宋体" w:hAnsi="宋体" w:eastAsia="宋体" w:cs="宋体"/>
          <w:color w:val="auto"/>
          <w:spacing w:val="10"/>
          <w:sz w:val="21"/>
          <w:szCs w:val="21"/>
          <w:highlight w:val="none"/>
        </w:rPr>
        <w:t>日             日期：</w:t>
      </w:r>
      <w:r>
        <w:rPr>
          <w:rFonts w:hint="eastAsia" w:ascii="宋体" w:hAnsi="宋体" w:eastAsia="宋体" w:cs="宋体"/>
          <w:color w:val="auto"/>
          <w:spacing w:val="10"/>
          <w:sz w:val="21"/>
          <w:szCs w:val="21"/>
          <w:highlight w:val="none"/>
          <w:u w:val="single"/>
        </w:rPr>
        <w:t xml:space="preserve">        </w:t>
      </w:r>
      <w:r>
        <w:rPr>
          <w:rFonts w:hint="eastAsia" w:ascii="宋体" w:hAnsi="宋体" w:eastAsia="宋体" w:cs="宋体"/>
          <w:color w:val="auto"/>
          <w:spacing w:val="10"/>
          <w:sz w:val="21"/>
          <w:szCs w:val="21"/>
          <w:highlight w:val="none"/>
        </w:rPr>
        <w:t xml:space="preserve">年 </w:t>
      </w:r>
      <w:r>
        <w:rPr>
          <w:rFonts w:hint="eastAsia" w:ascii="宋体" w:hAnsi="宋体" w:eastAsia="宋体" w:cs="宋体"/>
          <w:color w:val="auto"/>
          <w:spacing w:val="10"/>
          <w:sz w:val="21"/>
          <w:szCs w:val="21"/>
          <w:highlight w:val="none"/>
          <w:u w:val="single"/>
        </w:rPr>
        <w:t xml:space="preserve"> </w:t>
      </w:r>
      <w:r>
        <w:rPr>
          <w:rFonts w:hint="eastAsia" w:ascii="宋体" w:hAnsi="宋体" w:eastAsia="宋体" w:cs="宋体"/>
          <w:color w:val="auto"/>
          <w:spacing w:val="10"/>
          <w:sz w:val="21"/>
          <w:szCs w:val="21"/>
          <w:highlight w:val="none"/>
          <w:u w:val="single"/>
          <w:lang w:val="en-US" w:eastAsia="zh-CN"/>
        </w:rPr>
        <w:t xml:space="preserve">    </w:t>
      </w:r>
      <w:r>
        <w:rPr>
          <w:rFonts w:hint="eastAsia" w:ascii="宋体" w:hAnsi="宋体" w:eastAsia="宋体" w:cs="宋体"/>
          <w:color w:val="auto"/>
          <w:spacing w:val="10"/>
          <w:sz w:val="21"/>
          <w:szCs w:val="21"/>
          <w:highlight w:val="none"/>
        </w:rPr>
        <w:t>月</w:t>
      </w:r>
      <w:r>
        <w:rPr>
          <w:rFonts w:hint="eastAsia" w:ascii="宋体" w:hAnsi="宋体" w:eastAsia="宋体" w:cs="宋体"/>
          <w:color w:val="auto"/>
          <w:spacing w:val="10"/>
          <w:sz w:val="21"/>
          <w:szCs w:val="21"/>
          <w:highlight w:val="none"/>
          <w:u w:val="single"/>
        </w:rPr>
        <w:t xml:space="preserve">      </w:t>
      </w:r>
      <w:r>
        <w:rPr>
          <w:rFonts w:hint="eastAsia" w:ascii="宋体" w:hAnsi="宋体" w:eastAsia="宋体" w:cs="宋体"/>
          <w:color w:val="auto"/>
          <w:spacing w:val="10"/>
          <w:sz w:val="21"/>
          <w:szCs w:val="21"/>
          <w:highlight w:val="none"/>
        </w:rPr>
        <w:t xml:space="preserve">日   </w:t>
      </w:r>
    </w:p>
    <w:p>
      <w:pPr>
        <w:keepNext w:val="0"/>
        <w:keepLines w:val="0"/>
        <w:pageBreakBefore w:val="0"/>
        <w:widowControl/>
        <w:kinsoku w:val="0"/>
        <w:wordWrap/>
        <w:overflowPunct/>
        <w:topLinePunct w:val="0"/>
        <w:autoSpaceDE w:val="0"/>
        <w:autoSpaceDN w:val="0"/>
        <w:bidi w:val="0"/>
        <w:adjustRightInd w:val="0"/>
        <w:snapToGrid w:val="0"/>
        <w:spacing w:before="65" w:line="380" w:lineRule="exact"/>
        <w:textAlignment w:val="baseline"/>
        <w:rPr>
          <w:rFonts w:hint="eastAsia" w:ascii="宋体" w:hAnsi="宋体" w:eastAsia="宋体" w:cs="宋体"/>
          <w:color w:val="auto"/>
          <w:spacing w:val="1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380" w:lineRule="exact"/>
        <w:textAlignment w:val="baseline"/>
        <w:rPr>
          <w:rFonts w:hint="eastAsia" w:ascii="宋体" w:hAnsi="宋体" w:eastAsia="宋体" w:cs="宋体"/>
          <w:color w:val="auto"/>
          <w:spacing w:val="10"/>
          <w:sz w:val="21"/>
          <w:szCs w:val="21"/>
          <w:highlight w:val="none"/>
        </w:rPr>
      </w:pPr>
      <w:r>
        <w:rPr>
          <w:rFonts w:hint="eastAsia" w:ascii="宋体" w:hAnsi="宋体" w:eastAsia="宋体" w:cs="宋体"/>
          <w:color w:val="auto"/>
          <w:spacing w:val="10"/>
          <w:sz w:val="21"/>
          <w:szCs w:val="21"/>
          <w:highlight w:val="none"/>
        </w:rPr>
        <w:t>行业</w:t>
      </w:r>
      <w:r>
        <w:rPr>
          <w:rFonts w:hint="eastAsia" w:ascii="宋体" w:hAnsi="宋体" w:eastAsia="宋体" w:cs="宋体"/>
          <w:color w:val="auto"/>
          <w:spacing w:val="10"/>
          <w:sz w:val="21"/>
          <w:szCs w:val="21"/>
          <w:highlight w:val="none"/>
          <w:lang w:val="en-US" w:eastAsia="zh-CN"/>
        </w:rPr>
        <w:t>主管部门</w:t>
      </w:r>
      <w:r>
        <w:rPr>
          <w:rFonts w:hint="eastAsia" w:ascii="宋体" w:hAnsi="宋体" w:eastAsia="宋体" w:cs="宋体"/>
          <w:color w:val="auto"/>
          <w:spacing w:val="10"/>
          <w:sz w:val="21"/>
          <w:szCs w:val="21"/>
          <w:highlight w:val="none"/>
        </w:rPr>
        <w:t>：</w:t>
      </w:r>
      <w:r>
        <w:rPr>
          <w:rFonts w:hint="eastAsia" w:ascii="宋体" w:hAnsi="宋体" w:eastAsia="宋体" w:cs="宋体"/>
          <w:color w:val="auto"/>
          <w:spacing w:val="10"/>
          <w:sz w:val="21"/>
          <w:szCs w:val="21"/>
          <w:highlight w:val="none"/>
          <w:u w:val="single"/>
        </w:rPr>
        <w:t xml:space="preserve">                </w:t>
      </w:r>
      <w:r>
        <w:rPr>
          <w:rFonts w:hint="eastAsia" w:ascii="宋体" w:hAnsi="宋体" w:eastAsia="宋体" w:cs="宋体"/>
          <w:color w:val="auto"/>
          <w:spacing w:val="10"/>
          <w:sz w:val="21"/>
          <w:szCs w:val="21"/>
          <w:highlight w:val="none"/>
        </w:rPr>
        <w:t>（签字、盖章）</w:t>
      </w:r>
    </w:p>
    <w:p>
      <w:pPr>
        <w:keepNext w:val="0"/>
        <w:keepLines w:val="0"/>
        <w:pageBreakBefore w:val="0"/>
        <w:widowControl/>
        <w:kinsoku w:val="0"/>
        <w:wordWrap/>
        <w:overflowPunct/>
        <w:topLinePunct w:val="0"/>
        <w:autoSpaceDE w:val="0"/>
        <w:autoSpaceDN w:val="0"/>
        <w:bidi w:val="0"/>
        <w:adjustRightInd w:val="0"/>
        <w:snapToGrid w:val="0"/>
        <w:spacing w:before="65" w:line="380" w:lineRule="exact"/>
        <w:textAlignment w:val="baseline"/>
        <w:rPr>
          <w:rFonts w:hint="eastAsia" w:ascii="宋体" w:hAnsi="宋体" w:eastAsia="宋体" w:cs="宋体"/>
          <w:color w:val="auto"/>
          <w:spacing w:val="10"/>
          <w:sz w:val="21"/>
          <w:szCs w:val="21"/>
          <w:highlight w:val="none"/>
        </w:rPr>
      </w:pPr>
      <w:r>
        <w:rPr>
          <w:rFonts w:hint="eastAsia" w:ascii="宋体" w:hAnsi="宋体" w:eastAsia="宋体" w:cs="宋体"/>
          <w:color w:val="auto"/>
          <w:spacing w:val="10"/>
          <w:sz w:val="21"/>
          <w:szCs w:val="21"/>
          <w:highlight w:val="none"/>
        </w:rPr>
        <w:t>审核日期：</w:t>
      </w:r>
      <w:r>
        <w:rPr>
          <w:rFonts w:hint="eastAsia" w:ascii="宋体" w:hAnsi="宋体" w:eastAsia="宋体" w:cs="宋体"/>
          <w:color w:val="auto"/>
          <w:spacing w:val="10"/>
          <w:sz w:val="21"/>
          <w:szCs w:val="21"/>
          <w:highlight w:val="none"/>
          <w:u w:val="single"/>
        </w:rPr>
        <w:t xml:space="preserve">        </w:t>
      </w:r>
      <w:r>
        <w:rPr>
          <w:rFonts w:hint="eastAsia" w:ascii="宋体" w:hAnsi="宋体" w:eastAsia="宋体" w:cs="宋体"/>
          <w:color w:val="auto"/>
          <w:spacing w:val="10"/>
          <w:sz w:val="21"/>
          <w:szCs w:val="21"/>
          <w:highlight w:val="none"/>
        </w:rPr>
        <w:t xml:space="preserve">年 </w:t>
      </w:r>
      <w:r>
        <w:rPr>
          <w:rFonts w:hint="eastAsia" w:ascii="宋体" w:hAnsi="宋体" w:eastAsia="宋体" w:cs="宋体"/>
          <w:color w:val="auto"/>
          <w:spacing w:val="10"/>
          <w:sz w:val="21"/>
          <w:szCs w:val="21"/>
          <w:highlight w:val="none"/>
          <w:u w:val="single"/>
        </w:rPr>
        <w:t xml:space="preserve"> </w:t>
      </w:r>
      <w:r>
        <w:rPr>
          <w:rFonts w:hint="eastAsia" w:ascii="宋体" w:hAnsi="宋体" w:eastAsia="宋体" w:cs="宋体"/>
          <w:color w:val="auto"/>
          <w:spacing w:val="10"/>
          <w:sz w:val="21"/>
          <w:szCs w:val="21"/>
          <w:highlight w:val="none"/>
          <w:u w:val="single"/>
          <w:lang w:val="en-US" w:eastAsia="zh-CN"/>
        </w:rPr>
        <w:t xml:space="preserve">    </w:t>
      </w:r>
      <w:r>
        <w:rPr>
          <w:rFonts w:hint="eastAsia" w:ascii="宋体" w:hAnsi="宋体" w:eastAsia="宋体" w:cs="宋体"/>
          <w:color w:val="auto"/>
          <w:spacing w:val="10"/>
          <w:sz w:val="21"/>
          <w:szCs w:val="21"/>
          <w:highlight w:val="none"/>
        </w:rPr>
        <w:t>月</w:t>
      </w:r>
      <w:r>
        <w:rPr>
          <w:rFonts w:hint="eastAsia" w:ascii="宋体" w:hAnsi="宋体" w:eastAsia="宋体" w:cs="宋体"/>
          <w:color w:val="auto"/>
          <w:spacing w:val="10"/>
          <w:sz w:val="21"/>
          <w:szCs w:val="21"/>
          <w:highlight w:val="none"/>
          <w:u w:val="single"/>
        </w:rPr>
        <w:t xml:space="preserve">      </w:t>
      </w:r>
      <w:r>
        <w:rPr>
          <w:rFonts w:hint="eastAsia" w:ascii="宋体" w:hAnsi="宋体" w:eastAsia="宋体" w:cs="宋体"/>
          <w:color w:val="auto"/>
          <w:spacing w:val="10"/>
          <w:sz w:val="21"/>
          <w:szCs w:val="21"/>
          <w:highlight w:val="none"/>
        </w:rPr>
        <w:t xml:space="preserve">日  </w:t>
      </w:r>
    </w:p>
    <w:p>
      <w:pPr>
        <w:keepNext w:val="0"/>
        <w:keepLines w:val="0"/>
        <w:pageBreakBefore w:val="0"/>
        <w:widowControl/>
        <w:kinsoku w:val="0"/>
        <w:wordWrap/>
        <w:overflowPunct/>
        <w:topLinePunct w:val="0"/>
        <w:autoSpaceDE w:val="0"/>
        <w:autoSpaceDN w:val="0"/>
        <w:bidi w:val="0"/>
        <w:adjustRightInd w:val="0"/>
        <w:snapToGrid w:val="0"/>
        <w:spacing w:before="65" w:line="380" w:lineRule="exact"/>
        <w:textAlignment w:val="baseline"/>
        <w:rPr>
          <w:rFonts w:hint="eastAsia" w:ascii="宋体" w:hAnsi="宋体" w:eastAsia="宋体" w:cs="宋体"/>
          <w:color w:val="auto"/>
          <w:spacing w:val="1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380" w:lineRule="exact"/>
        <w:textAlignment w:val="baseline"/>
        <w:rPr>
          <w:rFonts w:hint="eastAsia" w:ascii="宋体" w:hAnsi="宋体" w:eastAsia="宋体" w:cs="宋体"/>
          <w:color w:val="auto"/>
          <w:spacing w:val="10"/>
          <w:sz w:val="21"/>
          <w:szCs w:val="21"/>
          <w:highlight w:val="none"/>
        </w:rPr>
      </w:pPr>
      <w:r>
        <w:rPr>
          <w:rFonts w:hint="eastAsia" w:ascii="宋体" w:hAnsi="宋体" w:eastAsia="宋体" w:cs="宋体"/>
          <w:color w:val="auto"/>
          <w:spacing w:val="10"/>
          <w:sz w:val="21"/>
          <w:szCs w:val="21"/>
          <w:highlight w:val="none"/>
        </w:rPr>
        <w:t>嵊州市公共资源交易管理委员会办公室：</w:t>
      </w:r>
      <w:r>
        <w:rPr>
          <w:rFonts w:hint="eastAsia" w:ascii="宋体" w:hAnsi="宋体" w:eastAsia="宋体" w:cs="宋体"/>
          <w:color w:val="auto"/>
          <w:spacing w:val="10"/>
          <w:sz w:val="21"/>
          <w:szCs w:val="21"/>
          <w:highlight w:val="none"/>
          <w:u w:val="single"/>
        </w:rPr>
        <w:t xml:space="preserve">                </w:t>
      </w:r>
      <w:r>
        <w:rPr>
          <w:rFonts w:hint="eastAsia" w:ascii="宋体" w:hAnsi="宋体" w:eastAsia="宋体" w:cs="宋体"/>
          <w:color w:val="auto"/>
          <w:spacing w:val="10"/>
          <w:sz w:val="21"/>
          <w:szCs w:val="21"/>
          <w:highlight w:val="none"/>
        </w:rPr>
        <w:t>（签字、盖章）</w:t>
      </w:r>
    </w:p>
    <w:p>
      <w:pPr>
        <w:keepNext w:val="0"/>
        <w:keepLines w:val="0"/>
        <w:pageBreakBefore w:val="0"/>
        <w:widowControl/>
        <w:kinsoku w:val="0"/>
        <w:wordWrap/>
        <w:overflowPunct/>
        <w:topLinePunct w:val="0"/>
        <w:autoSpaceDE w:val="0"/>
        <w:autoSpaceDN w:val="0"/>
        <w:bidi w:val="0"/>
        <w:adjustRightInd w:val="0"/>
        <w:snapToGrid w:val="0"/>
        <w:spacing w:before="65" w:line="380" w:lineRule="exact"/>
        <w:textAlignment w:val="baseline"/>
        <w:rPr>
          <w:rFonts w:hint="eastAsia" w:ascii="宋体" w:hAnsi="宋体" w:eastAsia="宋体" w:cs="宋体"/>
          <w:color w:val="auto"/>
          <w:spacing w:val="10"/>
          <w:sz w:val="21"/>
          <w:szCs w:val="21"/>
          <w:highlight w:val="none"/>
        </w:rPr>
      </w:pPr>
      <w:r>
        <w:rPr>
          <w:rFonts w:hint="eastAsia" w:ascii="宋体" w:hAnsi="宋体" w:eastAsia="宋体" w:cs="宋体"/>
          <w:color w:val="auto"/>
          <w:spacing w:val="10"/>
          <w:sz w:val="21"/>
          <w:szCs w:val="21"/>
          <w:highlight w:val="none"/>
        </w:rPr>
        <w:t>审核日期：</w:t>
      </w:r>
      <w:r>
        <w:rPr>
          <w:rFonts w:hint="eastAsia" w:ascii="宋体" w:hAnsi="宋体" w:eastAsia="宋体" w:cs="宋体"/>
          <w:color w:val="auto"/>
          <w:spacing w:val="10"/>
          <w:sz w:val="21"/>
          <w:szCs w:val="21"/>
          <w:highlight w:val="none"/>
          <w:u w:val="single"/>
        </w:rPr>
        <w:t xml:space="preserve">        </w:t>
      </w:r>
      <w:r>
        <w:rPr>
          <w:rFonts w:hint="eastAsia" w:ascii="宋体" w:hAnsi="宋体" w:eastAsia="宋体" w:cs="宋体"/>
          <w:color w:val="auto"/>
          <w:spacing w:val="10"/>
          <w:sz w:val="21"/>
          <w:szCs w:val="21"/>
          <w:highlight w:val="none"/>
        </w:rPr>
        <w:t xml:space="preserve">年 </w:t>
      </w:r>
      <w:r>
        <w:rPr>
          <w:rFonts w:hint="eastAsia" w:ascii="宋体" w:hAnsi="宋体" w:eastAsia="宋体" w:cs="宋体"/>
          <w:color w:val="auto"/>
          <w:spacing w:val="10"/>
          <w:sz w:val="21"/>
          <w:szCs w:val="21"/>
          <w:highlight w:val="none"/>
          <w:u w:val="single"/>
        </w:rPr>
        <w:t xml:space="preserve"> </w:t>
      </w:r>
      <w:r>
        <w:rPr>
          <w:rFonts w:hint="eastAsia" w:ascii="宋体" w:hAnsi="宋体" w:eastAsia="宋体" w:cs="宋体"/>
          <w:color w:val="auto"/>
          <w:spacing w:val="10"/>
          <w:sz w:val="21"/>
          <w:szCs w:val="21"/>
          <w:highlight w:val="none"/>
          <w:u w:val="single"/>
          <w:lang w:val="en-US" w:eastAsia="zh-CN"/>
        </w:rPr>
        <w:t xml:space="preserve">    </w:t>
      </w:r>
      <w:r>
        <w:rPr>
          <w:rFonts w:hint="eastAsia" w:ascii="宋体" w:hAnsi="宋体" w:eastAsia="宋体" w:cs="宋体"/>
          <w:color w:val="auto"/>
          <w:spacing w:val="10"/>
          <w:sz w:val="21"/>
          <w:szCs w:val="21"/>
          <w:highlight w:val="none"/>
        </w:rPr>
        <w:t>月</w:t>
      </w:r>
      <w:r>
        <w:rPr>
          <w:rFonts w:hint="eastAsia" w:ascii="宋体" w:hAnsi="宋体" w:eastAsia="宋体" w:cs="宋体"/>
          <w:color w:val="auto"/>
          <w:spacing w:val="10"/>
          <w:sz w:val="21"/>
          <w:szCs w:val="21"/>
          <w:highlight w:val="none"/>
          <w:u w:val="single"/>
        </w:rPr>
        <w:t xml:space="preserve">      </w:t>
      </w:r>
      <w:r>
        <w:rPr>
          <w:rFonts w:hint="eastAsia" w:ascii="宋体" w:hAnsi="宋体" w:eastAsia="宋体" w:cs="宋体"/>
          <w:color w:val="auto"/>
          <w:spacing w:val="10"/>
          <w:sz w:val="21"/>
          <w:szCs w:val="21"/>
          <w:highlight w:val="none"/>
        </w:rPr>
        <w:t xml:space="preserve">日  </w:t>
      </w:r>
    </w:p>
    <w:p>
      <w:pPr>
        <w:pStyle w:val="2"/>
        <w:rPr>
          <w:color w:val="auto"/>
          <w:highlight w:val="none"/>
        </w:rPr>
        <w:sectPr>
          <w:pgSz w:w="11900" w:h="16840"/>
          <w:pgMar w:top="1160" w:right="1300" w:bottom="1448" w:left="1359" w:header="883" w:footer="1234" w:gutter="0"/>
          <w:pgNumType w:fmt="decimal"/>
          <w:cols w:space="720" w:num="1"/>
        </w:sectPr>
      </w:pPr>
    </w:p>
    <w:p>
      <w:pPr>
        <w:spacing w:before="292" w:line="222" w:lineRule="auto"/>
        <w:rPr>
          <w:rFonts w:hint="eastAsia" w:ascii="宋体" w:hAnsi="宋体" w:eastAsia="宋体" w:cs="宋体"/>
          <w:b/>
          <w:bCs/>
          <w:color w:val="auto"/>
          <w:spacing w:val="-2"/>
          <w:sz w:val="28"/>
          <w:szCs w:val="28"/>
          <w:highlight w:val="none"/>
        </w:rPr>
      </w:pPr>
    </w:p>
    <w:p>
      <w:pPr>
        <w:spacing w:before="292" w:line="222" w:lineRule="auto"/>
        <w:rPr>
          <w:rFonts w:hint="eastAsia" w:ascii="宋体" w:hAnsi="宋体" w:eastAsia="宋体" w:cs="宋体"/>
          <w:b/>
          <w:bCs/>
          <w:color w:val="auto"/>
          <w:spacing w:val="-2"/>
          <w:sz w:val="28"/>
          <w:szCs w:val="28"/>
          <w:highlight w:val="none"/>
        </w:rPr>
      </w:pPr>
      <w:r>
        <w:rPr>
          <w:rFonts w:hint="eastAsia" w:ascii="宋体" w:hAnsi="宋体" w:eastAsia="宋体" w:cs="宋体"/>
          <w:b/>
          <w:bCs/>
          <w:color w:val="auto"/>
          <w:spacing w:val="-2"/>
          <w:sz w:val="28"/>
          <w:szCs w:val="28"/>
          <w:highlight w:val="none"/>
        </w:rPr>
        <w:t>附表五：中标结果通知书</w:t>
      </w:r>
    </w:p>
    <w:p>
      <w:pPr>
        <w:spacing w:line="456" w:lineRule="auto"/>
        <w:rPr>
          <w:rFonts w:hint="eastAsia" w:ascii="宋体" w:hAnsi="宋体" w:eastAsia="宋体" w:cs="宋体"/>
          <w:color w:val="auto"/>
          <w:sz w:val="21"/>
          <w:highlight w:val="none"/>
        </w:rPr>
      </w:pPr>
    </w:p>
    <w:p>
      <w:pPr>
        <w:spacing w:before="91" w:line="221" w:lineRule="auto"/>
        <w:jc w:val="center"/>
        <w:rPr>
          <w:rFonts w:hint="eastAsia" w:ascii="宋体" w:hAnsi="宋体" w:eastAsia="宋体" w:cs="宋体"/>
          <w:b/>
          <w:bCs/>
          <w:color w:val="auto"/>
          <w:spacing w:val="9"/>
          <w:sz w:val="28"/>
          <w:szCs w:val="28"/>
          <w:highlight w:val="none"/>
        </w:rPr>
      </w:pPr>
      <w:r>
        <w:rPr>
          <w:rFonts w:hint="eastAsia" w:ascii="宋体" w:hAnsi="宋体" w:eastAsia="宋体" w:cs="宋体"/>
          <w:b/>
          <w:bCs/>
          <w:color w:val="auto"/>
          <w:spacing w:val="9"/>
          <w:sz w:val="28"/>
          <w:szCs w:val="28"/>
          <w:highlight w:val="none"/>
        </w:rPr>
        <w:t>中标结果通知书</w:t>
      </w:r>
    </w:p>
    <w:p>
      <w:pPr>
        <w:spacing w:line="245" w:lineRule="auto"/>
        <w:rPr>
          <w:rFonts w:hint="eastAsia" w:ascii="宋体" w:hAnsi="宋体" w:eastAsia="宋体" w:cs="宋体"/>
          <w:color w:val="auto"/>
          <w:sz w:val="21"/>
          <w:highlight w:val="none"/>
        </w:rPr>
      </w:pPr>
    </w:p>
    <w:p>
      <w:pPr>
        <w:spacing w:line="245" w:lineRule="auto"/>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u w:val="single"/>
          <w:lang w:val="en-US" w:eastAsia="zh-CN"/>
        </w:rPr>
        <w:t xml:space="preserve">                    </w:t>
      </w:r>
      <w:r>
        <w:rPr>
          <w:rFonts w:hint="eastAsia" w:ascii="宋体" w:hAnsi="宋体" w:eastAsia="宋体" w:cs="宋体"/>
          <w:color w:val="auto"/>
          <w:spacing w:val="6"/>
          <w:sz w:val="21"/>
          <w:szCs w:val="21"/>
          <w:highlight w:val="none"/>
        </w:rPr>
        <w:t xml:space="preserve">(未中标人名称) </w:t>
      </w:r>
      <w:r>
        <w:rPr>
          <w:rFonts w:hint="eastAsia" w:ascii="宋体" w:hAnsi="宋体" w:eastAsia="宋体" w:cs="宋体"/>
          <w:color w:val="auto"/>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firstLine="43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我方已接受</w:t>
      </w:r>
      <w:r>
        <w:rPr>
          <w:rFonts w:hint="eastAsia" w:ascii="宋体" w:hAnsi="宋体" w:eastAsia="宋体" w:cs="宋体"/>
          <w:color w:val="auto"/>
          <w:spacing w:val="4"/>
          <w:sz w:val="21"/>
          <w:szCs w:val="21"/>
          <w:highlight w:val="none"/>
          <w:u w:val="single"/>
          <w:lang w:val="en-US" w:eastAsia="zh-CN"/>
        </w:rPr>
        <w:t xml:space="preserve">         </w:t>
      </w:r>
      <w:r>
        <w:rPr>
          <w:rFonts w:hint="eastAsia" w:ascii="宋体" w:hAnsi="宋体" w:eastAsia="宋体" w:cs="宋体"/>
          <w:color w:val="auto"/>
          <w:spacing w:val="4"/>
          <w:sz w:val="21"/>
          <w:szCs w:val="21"/>
          <w:highlight w:val="none"/>
          <w:lang w:val="en-US" w:eastAsia="zh-CN"/>
        </w:rPr>
        <w:t xml:space="preserve"> </w:t>
      </w:r>
      <w:r>
        <w:rPr>
          <w:rFonts w:hint="eastAsia" w:ascii="宋体" w:hAnsi="宋体" w:eastAsia="宋体" w:cs="宋体"/>
          <w:color w:val="auto"/>
          <w:spacing w:val="4"/>
          <w:sz w:val="21"/>
          <w:szCs w:val="21"/>
          <w:highlight w:val="none"/>
        </w:rPr>
        <w:t>(中</w:t>
      </w:r>
      <w:r>
        <w:rPr>
          <w:rFonts w:hint="eastAsia" w:ascii="宋体" w:hAnsi="宋体" w:eastAsia="宋体" w:cs="宋体"/>
          <w:color w:val="auto"/>
          <w:spacing w:val="2"/>
          <w:sz w:val="21"/>
          <w:szCs w:val="21"/>
          <w:highlight w:val="none"/>
        </w:rPr>
        <w:t>标人名称)于</w:t>
      </w:r>
      <w:r>
        <w:rPr>
          <w:rFonts w:hint="eastAsia" w:ascii="宋体" w:hAnsi="宋体" w:eastAsia="宋体" w:cs="宋体"/>
          <w:color w:val="auto"/>
          <w:spacing w:val="2"/>
          <w:sz w:val="21"/>
          <w:szCs w:val="21"/>
          <w:highlight w:val="none"/>
          <w:u w:val="single"/>
        </w:rPr>
        <w:t xml:space="preserve"> </w:t>
      </w:r>
      <w:r>
        <w:rPr>
          <w:rFonts w:hint="eastAsia" w:ascii="宋体" w:hAnsi="宋体" w:eastAsia="宋体" w:cs="宋体"/>
          <w:color w:val="auto"/>
          <w:spacing w:val="2"/>
          <w:sz w:val="21"/>
          <w:szCs w:val="21"/>
          <w:highlight w:val="none"/>
          <w:u w:val="single"/>
          <w:lang w:val="en-US" w:eastAsia="zh-CN"/>
        </w:rPr>
        <w:t xml:space="preserve">        </w:t>
      </w:r>
      <w:r>
        <w:rPr>
          <w:rFonts w:hint="eastAsia" w:ascii="宋体" w:hAnsi="宋体" w:eastAsia="宋体" w:cs="宋体"/>
          <w:color w:val="auto"/>
          <w:spacing w:val="2"/>
          <w:sz w:val="21"/>
          <w:szCs w:val="21"/>
          <w:highlight w:val="none"/>
        </w:rPr>
        <w:t>(投标日期)所递交</w:t>
      </w:r>
      <w:r>
        <w:rPr>
          <w:rFonts w:hint="eastAsia" w:ascii="宋体" w:hAnsi="宋体" w:eastAsia="宋体" w:cs="宋体"/>
          <w:color w:val="auto"/>
          <w:spacing w:val="2"/>
          <w:sz w:val="21"/>
          <w:szCs w:val="21"/>
          <w:highlight w:val="none"/>
          <w:lang w:val="en-US" w:eastAsia="zh-CN"/>
        </w:rPr>
        <w:t>的</w:t>
      </w:r>
      <w:r>
        <w:rPr>
          <w:rFonts w:hint="eastAsia" w:ascii="宋体" w:hAnsi="宋体" w:eastAsia="宋体" w:cs="宋体"/>
          <w:color w:val="auto"/>
          <w:spacing w:val="2"/>
          <w:sz w:val="21"/>
          <w:szCs w:val="21"/>
          <w:highlight w:val="none"/>
          <w:u w:val="single"/>
          <w:lang w:val="en-US" w:eastAsia="zh-CN"/>
        </w:rPr>
        <w:t xml:space="preserve">         </w:t>
      </w:r>
      <w:r>
        <w:rPr>
          <w:rFonts w:hint="eastAsia" w:ascii="宋体" w:hAnsi="宋体" w:eastAsia="宋体" w:cs="宋体"/>
          <w:color w:val="auto"/>
          <w:spacing w:val="5"/>
          <w:sz w:val="21"/>
          <w:szCs w:val="21"/>
          <w:highlight w:val="none"/>
          <w:u w:val="single"/>
        </w:rPr>
        <w:t xml:space="preserve"> </w:t>
      </w:r>
      <w:r>
        <w:rPr>
          <w:rFonts w:hint="eastAsia" w:ascii="宋体" w:hAnsi="宋体" w:eastAsia="宋体" w:cs="宋体"/>
          <w:color w:val="auto"/>
          <w:spacing w:val="5"/>
          <w:sz w:val="21"/>
          <w:szCs w:val="21"/>
          <w:highlight w:val="none"/>
        </w:rPr>
        <w:t>(项目名称) _____标段施工投标文件，确定</w:t>
      </w:r>
      <w:r>
        <w:rPr>
          <w:rFonts w:hint="eastAsia" w:ascii="宋体" w:hAnsi="宋体" w:eastAsia="宋体" w:cs="宋体"/>
          <w:color w:val="auto"/>
          <w:spacing w:val="5"/>
          <w:sz w:val="21"/>
          <w:szCs w:val="21"/>
          <w:highlight w:val="none"/>
          <w:u w:val="single"/>
          <w:lang w:val="en-US" w:eastAsia="zh-CN"/>
        </w:rPr>
        <w:t xml:space="preserve">               </w:t>
      </w:r>
      <w:r>
        <w:rPr>
          <w:rFonts w:hint="eastAsia" w:ascii="宋体" w:hAnsi="宋体" w:eastAsia="宋体" w:cs="宋体"/>
          <w:color w:val="auto"/>
          <w:spacing w:val="5"/>
          <w:sz w:val="21"/>
          <w:szCs w:val="21"/>
          <w:highlight w:val="none"/>
        </w:rPr>
        <w:t>(中标人名称)为</w:t>
      </w:r>
      <w:r>
        <w:rPr>
          <w:rFonts w:hint="eastAsia" w:ascii="宋体" w:hAnsi="宋体" w:eastAsia="宋体" w:cs="宋体"/>
          <w:color w:val="auto"/>
          <w:spacing w:val="3"/>
          <w:sz w:val="21"/>
          <w:szCs w:val="21"/>
          <w:highlight w:val="none"/>
        </w:rPr>
        <w:t>中</w:t>
      </w:r>
      <w:r>
        <w:rPr>
          <w:rFonts w:hint="eastAsia" w:ascii="宋体" w:hAnsi="宋体" w:eastAsia="宋体" w:cs="宋体"/>
          <w:color w:val="auto"/>
          <w:spacing w:val="7"/>
          <w:sz w:val="21"/>
          <w:szCs w:val="21"/>
          <w:highlight w:val="none"/>
        </w:rPr>
        <w:t>标</w:t>
      </w:r>
      <w:r>
        <w:rPr>
          <w:rFonts w:hint="eastAsia" w:ascii="宋体" w:hAnsi="宋体" w:eastAsia="宋体" w:cs="宋体"/>
          <w:color w:val="auto"/>
          <w:spacing w:val="6"/>
          <w:sz w:val="21"/>
          <w:szCs w:val="21"/>
          <w:highlight w:val="none"/>
        </w:rPr>
        <w:t>人。</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43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感</w:t>
      </w:r>
      <w:r>
        <w:rPr>
          <w:rFonts w:hint="eastAsia" w:ascii="宋体" w:hAnsi="宋体" w:eastAsia="宋体" w:cs="宋体"/>
          <w:color w:val="auto"/>
          <w:spacing w:val="8"/>
          <w:sz w:val="21"/>
          <w:szCs w:val="21"/>
          <w:highlight w:val="none"/>
        </w:rPr>
        <w:t>谢你单位对招标项目的参与！</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3248" w:firstLine="42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招</w:t>
      </w:r>
      <w:r>
        <w:rPr>
          <w:rFonts w:hint="eastAsia" w:ascii="宋体" w:hAnsi="宋体" w:eastAsia="宋体" w:cs="宋体"/>
          <w:color w:val="auto"/>
          <w:sz w:val="21"/>
          <w:szCs w:val="21"/>
          <w:highlight w:val="none"/>
        </w:rPr>
        <w:t>标人：  (盖单位公章)</w:t>
      </w:r>
    </w:p>
    <w:p>
      <w:pPr>
        <w:keepNext w:val="0"/>
        <w:keepLines w:val="0"/>
        <w:pageBreakBefore w:val="0"/>
        <w:widowControl/>
        <w:kinsoku w:val="0"/>
        <w:wordWrap/>
        <w:overflowPunct/>
        <w:topLinePunct w:val="0"/>
        <w:autoSpaceDE w:val="0"/>
        <w:autoSpaceDN w:val="0"/>
        <w:bidi w:val="0"/>
        <w:adjustRightInd w:val="0"/>
        <w:snapToGrid w:val="0"/>
        <w:spacing w:before="162" w:line="400" w:lineRule="exact"/>
        <w:ind w:left="3248" w:firstLine="42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招标代理：  (盖单</w:t>
      </w:r>
      <w:r>
        <w:rPr>
          <w:rFonts w:hint="eastAsia" w:ascii="宋体" w:hAnsi="宋体" w:eastAsia="宋体" w:cs="宋体"/>
          <w:color w:val="auto"/>
          <w:sz w:val="21"/>
          <w:szCs w:val="21"/>
          <w:highlight w:val="none"/>
        </w:rPr>
        <w:t>位公章)</w:t>
      </w:r>
    </w:p>
    <w:p>
      <w:pPr>
        <w:keepNext w:val="0"/>
        <w:keepLines w:val="0"/>
        <w:pageBreakBefore w:val="0"/>
        <w:widowControl/>
        <w:kinsoku w:val="0"/>
        <w:wordWrap/>
        <w:overflowPunct/>
        <w:topLinePunct w:val="0"/>
        <w:autoSpaceDE w:val="0"/>
        <w:autoSpaceDN w:val="0"/>
        <w:bidi w:val="0"/>
        <w:adjustRightInd w:val="0"/>
        <w:snapToGrid w:val="0"/>
        <w:spacing w:before="162" w:line="400" w:lineRule="exact"/>
        <w:ind w:left="3549" w:firstLine="226" w:firstLineChars="1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u w:val="single"/>
          <w:lang w:val="en-US" w:eastAsia="zh-CN"/>
        </w:rPr>
        <w:t xml:space="preserve">     </w:t>
      </w:r>
      <w:r>
        <w:rPr>
          <w:rFonts w:hint="eastAsia" w:ascii="宋体" w:hAnsi="宋体" w:eastAsia="宋体" w:cs="宋体"/>
          <w:color w:val="auto"/>
          <w:spacing w:val="4"/>
          <w:sz w:val="21"/>
          <w:szCs w:val="21"/>
          <w:highlight w:val="none"/>
        </w:rPr>
        <w:t>年</w:t>
      </w:r>
      <w:r>
        <w:rPr>
          <w:rFonts w:hint="eastAsia" w:ascii="宋体" w:hAnsi="宋体" w:eastAsia="宋体" w:cs="宋体"/>
          <w:color w:val="auto"/>
          <w:spacing w:val="4"/>
          <w:sz w:val="21"/>
          <w:szCs w:val="21"/>
          <w:highlight w:val="none"/>
          <w:u w:val="single"/>
          <w:lang w:val="en-US" w:eastAsia="zh-CN"/>
        </w:rPr>
        <w:t xml:space="preserve">    </w:t>
      </w:r>
      <w:r>
        <w:rPr>
          <w:rFonts w:hint="eastAsia" w:ascii="宋体" w:hAnsi="宋体" w:eastAsia="宋体" w:cs="宋体"/>
          <w:color w:val="auto"/>
          <w:spacing w:val="4"/>
          <w:sz w:val="21"/>
          <w:szCs w:val="21"/>
          <w:highlight w:val="none"/>
        </w:rPr>
        <w:t>月</w:t>
      </w:r>
      <w:r>
        <w:rPr>
          <w:rFonts w:hint="eastAsia" w:ascii="宋体" w:hAnsi="宋体" w:eastAsia="宋体" w:cs="宋体"/>
          <w:color w:val="auto"/>
          <w:spacing w:val="4"/>
          <w:sz w:val="21"/>
          <w:szCs w:val="21"/>
          <w:highlight w:val="none"/>
          <w:lang w:val="en-US" w:eastAsia="zh-CN"/>
        </w:rPr>
        <w:t xml:space="preserve"> </w:t>
      </w:r>
      <w:r>
        <w:rPr>
          <w:rFonts w:hint="eastAsia" w:ascii="宋体" w:hAnsi="宋体" w:eastAsia="宋体" w:cs="宋体"/>
          <w:color w:val="auto"/>
          <w:spacing w:val="4"/>
          <w:sz w:val="21"/>
          <w:szCs w:val="21"/>
          <w:highlight w:val="none"/>
          <w:u w:val="single"/>
        </w:rPr>
        <w:t xml:space="preserve"> </w:t>
      </w:r>
      <w:r>
        <w:rPr>
          <w:rFonts w:hint="eastAsia" w:ascii="宋体" w:hAnsi="宋体" w:eastAsia="宋体" w:cs="宋体"/>
          <w:color w:val="auto"/>
          <w:spacing w:val="4"/>
          <w:sz w:val="21"/>
          <w:szCs w:val="21"/>
          <w:highlight w:val="none"/>
          <w:u w:val="single"/>
          <w:lang w:val="en-US" w:eastAsia="zh-CN"/>
        </w:rPr>
        <w:t xml:space="preserve">   </w:t>
      </w:r>
      <w:r>
        <w:rPr>
          <w:rFonts w:hint="eastAsia" w:ascii="宋体" w:hAnsi="宋体" w:eastAsia="宋体" w:cs="宋体"/>
          <w:color w:val="auto"/>
          <w:spacing w:val="4"/>
          <w:sz w:val="21"/>
          <w:szCs w:val="21"/>
          <w:highlight w:val="none"/>
        </w:rPr>
        <w:t>日</w:t>
      </w:r>
    </w:p>
    <w:p>
      <w:pPr>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spacing w:before="306" w:line="220" w:lineRule="auto"/>
        <w:ind w:left="29"/>
        <w:rPr>
          <w:rFonts w:hint="eastAsia" w:ascii="宋体" w:hAnsi="宋体" w:eastAsia="宋体" w:cs="宋体"/>
          <w:color w:val="auto"/>
          <w:spacing w:val="-3"/>
          <w:sz w:val="24"/>
          <w:szCs w:val="24"/>
          <w:highlight w:val="none"/>
          <w14:textOutline w14:w="4354" w14:cap="flat" w14:cmpd="sng">
            <w14:solidFill>
              <w14:srgbClr w14:val="000000"/>
            </w14:solidFill>
            <w14:prstDash w14:val="solid"/>
            <w14:miter w14:val="0"/>
          </w14:textOutline>
        </w:rPr>
      </w:pPr>
    </w:p>
    <w:p>
      <w:pPr>
        <w:spacing w:before="306" w:line="220" w:lineRule="auto"/>
        <w:ind w:left="29"/>
        <w:rPr>
          <w:rFonts w:hint="eastAsia" w:ascii="宋体" w:hAnsi="宋体" w:eastAsia="宋体" w:cs="宋体"/>
          <w:color w:val="auto"/>
          <w:spacing w:val="-3"/>
          <w:sz w:val="24"/>
          <w:szCs w:val="24"/>
          <w:highlight w:val="none"/>
          <w14:textOutline w14:w="4354" w14:cap="flat" w14:cmpd="sng">
            <w14:solidFill>
              <w14:srgbClr w14:val="000000"/>
            </w14:solidFill>
            <w14:prstDash w14:val="solid"/>
            <w14:miter w14:val="0"/>
          </w14:textOutline>
        </w:rPr>
      </w:pPr>
    </w:p>
    <w:p>
      <w:pPr>
        <w:spacing w:before="306" w:line="220" w:lineRule="auto"/>
        <w:ind w:left="29"/>
        <w:rPr>
          <w:rFonts w:hint="eastAsia" w:ascii="宋体" w:hAnsi="宋体" w:eastAsia="宋体" w:cs="宋体"/>
          <w:color w:val="auto"/>
          <w:spacing w:val="-3"/>
          <w:sz w:val="24"/>
          <w:szCs w:val="24"/>
          <w:highlight w:val="none"/>
          <w14:textOutline w14:w="4354" w14:cap="flat" w14:cmpd="sng">
            <w14:solidFill>
              <w14:srgbClr w14:val="000000"/>
            </w14:solidFill>
            <w14:prstDash w14:val="solid"/>
            <w14:miter w14:val="0"/>
          </w14:textOutline>
        </w:rPr>
      </w:pPr>
    </w:p>
    <w:p>
      <w:pPr>
        <w:spacing w:before="306" w:line="220" w:lineRule="auto"/>
        <w:ind w:left="29"/>
        <w:rPr>
          <w:rFonts w:hint="eastAsia" w:ascii="宋体" w:hAnsi="宋体" w:eastAsia="宋体" w:cs="宋体"/>
          <w:color w:val="auto"/>
          <w:spacing w:val="-3"/>
          <w:sz w:val="24"/>
          <w:szCs w:val="24"/>
          <w:highlight w:val="none"/>
          <w14:textOutline w14:w="4354" w14:cap="flat" w14:cmpd="sng">
            <w14:solidFill>
              <w14:srgbClr w14:val="000000"/>
            </w14:solidFill>
            <w14:prstDash w14:val="solid"/>
            <w14:miter w14:val="0"/>
          </w14:textOutline>
        </w:rPr>
      </w:pPr>
    </w:p>
    <w:p>
      <w:pPr>
        <w:spacing w:before="306" w:line="220" w:lineRule="auto"/>
        <w:ind w:left="29"/>
        <w:rPr>
          <w:rFonts w:hint="eastAsia" w:ascii="宋体" w:hAnsi="宋体" w:eastAsia="宋体" w:cs="宋体"/>
          <w:color w:val="auto"/>
          <w:spacing w:val="-3"/>
          <w:sz w:val="24"/>
          <w:szCs w:val="24"/>
          <w:highlight w:val="none"/>
          <w14:textOutline w14:w="4354" w14:cap="flat" w14:cmpd="sng">
            <w14:solidFill>
              <w14:srgbClr w14:val="000000"/>
            </w14:solidFill>
            <w14:prstDash w14:val="solid"/>
            <w14:miter w14:val="0"/>
          </w14:textOutline>
        </w:rPr>
      </w:pPr>
    </w:p>
    <w:p>
      <w:pPr>
        <w:spacing w:before="306" w:line="220" w:lineRule="auto"/>
        <w:ind w:left="29"/>
        <w:rPr>
          <w:rFonts w:hint="eastAsia" w:ascii="宋体" w:hAnsi="宋体" w:eastAsia="宋体" w:cs="宋体"/>
          <w:color w:val="auto"/>
          <w:spacing w:val="-3"/>
          <w:sz w:val="24"/>
          <w:szCs w:val="24"/>
          <w:highlight w:val="none"/>
          <w14:textOutline w14:w="4354" w14:cap="flat" w14:cmpd="sng">
            <w14:solidFill>
              <w14:srgbClr w14:val="000000"/>
            </w14:solidFill>
            <w14:prstDash w14:val="solid"/>
            <w14:miter w14:val="0"/>
          </w14:textOutline>
        </w:rPr>
      </w:pPr>
    </w:p>
    <w:p>
      <w:pPr>
        <w:spacing w:before="306" w:line="220" w:lineRule="auto"/>
        <w:ind w:left="29"/>
        <w:rPr>
          <w:rFonts w:hint="eastAsia" w:ascii="宋体" w:hAnsi="宋体" w:eastAsia="宋体" w:cs="宋体"/>
          <w:color w:val="auto"/>
          <w:spacing w:val="-3"/>
          <w:sz w:val="24"/>
          <w:szCs w:val="24"/>
          <w:highlight w:val="none"/>
          <w14:textOutline w14:w="4354" w14:cap="flat" w14:cmpd="sng">
            <w14:solidFill>
              <w14:srgbClr w14:val="000000"/>
            </w14:solidFill>
            <w14:prstDash w14:val="solid"/>
            <w14:miter w14:val="0"/>
          </w14:textOutline>
        </w:rPr>
      </w:pPr>
    </w:p>
    <w:p>
      <w:pPr>
        <w:spacing w:before="306" w:line="220" w:lineRule="auto"/>
        <w:ind w:left="29"/>
        <w:rPr>
          <w:rFonts w:hint="eastAsia" w:ascii="宋体" w:hAnsi="宋体" w:eastAsia="宋体" w:cs="宋体"/>
          <w:color w:val="auto"/>
          <w:spacing w:val="-3"/>
          <w:sz w:val="24"/>
          <w:szCs w:val="24"/>
          <w:highlight w:val="none"/>
          <w14:textOutline w14:w="4354" w14:cap="flat" w14:cmpd="sng">
            <w14:solidFill>
              <w14:srgbClr w14:val="000000"/>
            </w14:solidFill>
            <w14:prstDash w14:val="solid"/>
            <w14:miter w14:val="0"/>
          </w14:textOutline>
        </w:rPr>
      </w:pPr>
    </w:p>
    <w:p>
      <w:pPr>
        <w:spacing w:before="292" w:line="222" w:lineRule="auto"/>
        <w:rPr>
          <w:rFonts w:hint="eastAsia" w:ascii="宋体" w:hAnsi="宋体" w:eastAsia="宋体" w:cs="宋体"/>
          <w:b/>
          <w:bCs/>
          <w:color w:val="auto"/>
          <w:spacing w:val="-2"/>
          <w:sz w:val="28"/>
          <w:szCs w:val="28"/>
          <w:highlight w:val="none"/>
        </w:rPr>
      </w:pPr>
    </w:p>
    <w:p>
      <w:pPr>
        <w:spacing w:before="292" w:line="222" w:lineRule="auto"/>
        <w:rPr>
          <w:rFonts w:hint="eastAsia" w:ascii="宋体" w:hAnsi="宋体" w:eastAsia="宋体" w:cs="宋体"/>
          <w:b/>
          <w:bCs/>
          <w:color w:val="auto"/>
          <w:spacing w:val="-2"/>
          <w:sz w:val="28"/>
          <w:szCs w:val="28"/>
          <w:highlight w:val="none"/>
        </w:rPr>
      </w:pPr>
      <w:r>
        <w:rPr>
          <w:rFonts w:hint="eastAsia" w:ascii="宋体" w:hAnsi="宋体" w:eastAsia="宋体" w:cs="宋体"/>
          <w:b/>
          <w:bCs/>
          <w:color w:val="auto"/>
          <w:spacing w:val="-2"/>
          <w:sz w:val="28"/>
          <w:szCs w:val="28"/>
          <w:highlight w:val="none"/>
        </w:rPr>
        <w:t>附表六：确认通知</w:t>
      </w:r>
    </w:p>
    <w:p>
      <w:pPr>
        <w:spacing w:line="455" w:lineRule="auto"/>
        <w:rPr>
          <w:rFonts w:hint="eastAsia" w:ascii="宋体" w:hAnsi="宋体" w:eastAsia="宋体" w:cs="宋体"/>
          <w:color w:val="auto"/>
          <w:sz w:val="21"/>
          <w:highlight w:val="none"/>
        </w:rPr>
      </w:pPr>
    </w:p>
    <w:p>
      <w:pPr>
        <w:spacing w:before="91" w:line="221" w:lineRule="auto"/>
        <w:jc w:val="center"/>
        <w:rPr>
          <w:rFonts w:hint="eastAsia" w:ascii="宋体" w:hAnsi="宋体" w:eastAsia="宋体" w:cs="宋体"/>
          <w:b/>
          <w:bCs/>
          <w:color w:val="auto"/>
          <w:spacing w:val="9"/>
          <w:sz w:val="28"/>
          <w:szCs w:val="28"/>
          <w:highlight w:val="none"/>
        </w:rPr>
      </w:pPr>
      <w:r>
        <w:rPr>
          <w:rFonts w:hint="eastAsia" w:ascii="宋体" w:hAnsi="宋体" w:eastAsia="宋体" w:cs="宋体"/>
          <w:b/>
          <w:bCs/>
          <w:color w:val="auto"/>
          <w:spacing w:val="9"/>
          <w:sz w:val="28"/>
          <w:szCs w:val="28"/>
          <w:highlight w:val="none"/>
        </w:rPr>
        <w:t>确认通知</w:t>
      </w:r>
    </w:p>
    <w:p>
      <w:pPr>
        <w:spacing w:line="246" w:lineRule="auto"/>
        <w:rPr>
          <w:rFonts w:hint="eastAsia" w:ascii="宋体" w:hAnsi="宋体" w:eastAsia="宋体" w:cs="宋体"/>
          <w:color w:val="auto"/>
          <w:sz w:val="21"/>
          <w:highlight w:val="none"/>
        </w:rPr>
      </w:pPr>
    </w:p>
    <w:p>
      <w:pPr>
        <w:spacing w:line="247" w:lineRule="auto"/>
        <w:rPr>
          <w:rFonts w:hint="eastAsia" w:ascii="宋体" w:hAnsi="宋体" w:eastAsia="宋体" w:cs="宋体"/>
          <w:color w:val="auto"/>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u w:val="single"/>
          <w:lang w:val="en-US" w:eastAsia="zh-CN"/>
        </w:rPr>
        <w:t xml:space="preserve">                   </w:t>
      </w:r>
      <w:r>
        <w:rPr>
          <w:rFonts w:hint="eastAsia" w:ascii="宋体" w:hAnsi="宋体" w:eastAsia="宋体" w:cs="宋体"/>
          <w:color w:val="auto"/>
          <w:spacing w:val="5"/>
          <w:sz w:val="21"/>
          <w:szCs w:val="21"/>
          <w:highlight w:val="none"/>
        </w:rPr>
        <w:t>(招标人名称) ：</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right="2" w:firstLine="452"/>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rPr>
        <w:t>我方已接到你方</w:t>
      </w:r>
      <w:r>
        <w:rPr>
          <w:rFonts w:hint="eastAsia" w:ascii="宋体" w:hAnsi="宋体" w:eastAsia="宋体" w:cs="宋体"/>
          <w:color w:val="auto"/>
          <w:spacing w:val="2"/>
          <w:sz w:val="21"/>
          <w:szCs w:val="21"/>
          <w:highlight w:val="none"/>
          <w:u w:val="single"/>
          <w:lang w:val="en-US" w:eastAsia="zh-CN"/>
        </w:rPr>
        <w:t xml:space="preserve">    </w:t>
      </w:r>
      <w:r>
        <w:rPr>
          <w:rFonts w:hint="eastAsia" w:ascii="宋体" w:hAnsi="宋体" w:eastAsia="宋体" w:cs="宋体"/>
          <w:color w:val="auto"/>
          <w:spacing w:val="11"/>
          <w:sz w:val="21"/>
          <w:szCs w:val="21"/>
          <w:highlight w:val="none"/>
        </w:rPr>
        <w:t>年</w:t>
      </w:r>
      <w:r>
        <w:rPr>
          <w:rFonts w:hint="eastAsia" w:ascii="宋体" w:hAnsi="宋体" w:eastAsia="宋体" w:cs="宋体"/>
          <w:color w:val="auto"/>
          <w:spacing w:val="2"/>
          <w:sz w:val="21"/>
          <w:szCs w:val="21"/>
          <w:highlight w:val="none"/>
          <w:u w:val="single"/>
          <w:lang w:val="en-US" w:eastAsia="zh-CN"/>
        </w:rPr>
        <w:t xml:space="preserve">    </w:t>
      </w:r>
      <w:r>
        <w:rPr>
          <w:rFonts w:hint="eastAsia" w:ascii="宋体" w:hAnsi="宋体" w:eastAsia="宋体" w:cs="宋体"/>
          <w:color w:val="auto"/>
          <w:spacing w:val="11"/>
          <w:sz w:val="21"/>
          <w:szCs w:val="21"/>
          <w:highlight w:val="none"/>
        </w:rPr>
        <w:t>月</w:t>
      </w:r>
      <w:r>
        <w:rPr>
          <w:rFonts w:hint="eastAsia" w:ascii="宋体" w:hAnsi="宋体" w:eastAsia="宋体" w:cs="宋体"/>
          <w:color w:val="auto"/>
          <w:spacing w:val="2"/>
          <w:sz w:val="21"/>
          <w:szCs w:val="21"/>
          <w:highlight w:val="none"/>
          <w:u w:val="single"/>
          <w:lang w:val="en-US" w:eastAsia="zh-CN"/>
        </w:rPr>
        <w:t xml:space="preserve">    </w:t>
      </w:r>
      <w:r>
        <w:rPr>
          <w:rFonts w:hint="eastAsia" w:ascii="宋体" w:hAnsi="宋体" w:eastAsia="宋体" w:cs="宋体"/>
          <w:color w:val="auto"/>
          <w:spacing w:val="11"/>
          <w:sz w:val="21"/>
          <w:szCs w:val="21"/>
          <w:highlight w:val="none"/>
        </w:rPr>
        <w:t>日发出的</w:t>
      </w:r>
      <w:r>
        <w:rPr>
          <w:rFonts w:hint="eastAsia" w:ascii="宋体" w:hAnsi="宋体" w:eastAsia="宋体" w:cs="宋体"/>
          <w:color w:val="auto"/>
          <w:spacing w:val="2"/>
          <w:sz w:val="21"/>
          <w:szCs w:val="21"/>
          <w:highlight w:val="none"/>
          <w:u w:val="single"/>
          <w:lang w:val="en-US" w:eastAsia="zh-CN"/>
        </w:rPr>
        <w:t xml:space="preserve">                   </w:t>
      </w:r>
      <w:r>
        <w:rPr>
          <w:rFonts w:hint="eastAsia" w:ascii="宋体" w:hAnsi="宋体" w:eastAsia="宋体" w:cs="宋体"/>
          <w:color w:val="auto"/>
          <w:spacing w:val="11"/>
          <w:sz w:val="21"/>
          <w:szCs w:val="21"/>
          <w:highlight w:val="none"/>
        </w:rPr>
        <w:t xml:space="preserve"> (项目名称) __标段施工招标关</w:t>
      </w:r>
      <w:r>
        <w:rPr>
          <w:rFonts w:hint="eastAsia" w:ascii="宋体" w:hAnsi="宋体" w:eastAsia="宋体" w:cs="宋体"/>
          <w:color w:val="auto"/>
          <w:spacing w:val="3"/>
          <w:sz w:val="21"/>
          <w:szCs w:val="21"/>
          <w:highlight w:val="none"/>
        </w:rPr>
        <w:t>于</w:t>
      </w:r>
      <w:r>
        <w:rPr>
          <w:rFonts w:hint="eastAsia" w:ascii="宋体" w:hAnsi="宋体" w:eastAsia="宋体" w:cs="宋体"/>
          <w:color w:val="auto"/>
          <w:spacing w:val="2"/>
          <w:sz w:val="21"/>
          <w:szCs w:val="21"/>
          <w:highlight w:val="none"/>
          <w:u w:val="single"/>
          <w:lang w:val="en-US" w:eastAsia="zh-CN"/>
        </w:rPr>
        <w:t xml:space="preserve">              </w:t>
      </w:r>
      <w:r>
        <w:rPr>
          <w:rFonts w:hint="eastAsia" w:ascii="宋体" w:hAnsi="宋体" w:eastAsia="宋体" w:cs="宋体"/>
          <w:color w:val="auto"/>
          <w:spacing w:val="5"/>
          <w:sz w:val="21"/>
          <w:szCs w:val="21"/>
          <w:highlight w:val="none"/>
        </w:rPr>
        <w:t>的通知，我方已于____年__月__ 日收到。</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429"/>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特此确认</w:t>
      </w:r>
      <w:r>
        <w:rPr>
          <w:rFonts w:hint="eastAsia" w:ascii="宋体" w:hAnsi="宋体" w:eastAsia="宋体" w:cs="宋体"/>
          <w:color w:val="auto"/>
          <w:spacing w:val="5"/>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3249"/>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position w:val="15"/>
          <w:sz w:val="21"/>
          <w:szCs w:val="21"/>
          <w:highlight w:val="none"/>
        </w:rPr>
        <w:t>投</w:t>
      </w:r>
      <w:r>
        <w:rPr>
          <w:rFonts w:hint="eastAsia" w:ascii="宋体" w:hAnsi="宋体" w:eastAsia="宋体" w:cs="宋体"/>
          <w:color w:val="auto"/>
          <w:position w:val="15"/>
          <w:sz w:val="21"/>
          <w:szCs w:val="21"/>
          <w:highlight w:val="none"/>
        </w:rPr>
        <w:t>标人：  (盖单位公章)</w:t>
      </w:r>
    </w:p>
    <w:p>
      <w:pPr>
        <w:keepNext w:val="0"/>
        <w:keepLines w:val="0"/>
        <w:pageBreakBefore w:val="0"/>
        <w:widowControl/>
        <w:kinsoku w:val="0"/>
        <w:wordWrap/>
        <w:overflowPunct/>
        <w:topLinePunct w:val="0"/>
        <w:autoSpaceDE w:val="0"/>
        <w:autoSpaceDN w:val="0"/>
        <w:bidi w:val="0"/>
        <w:adjustRightInd w:val="0"/>
        <w:snapToGrid w:val="0"/>
        <w:spacing w:before="1" w:line="400" w:lineRule="exact"/>
        <w:ind w:left="3549"/>
        <w:textAlignment w:val="baseline"/>
        <w:rPr>
          <w:rFonts w:hint="eastAsia" w:ascii="宋体" w:hAnsi="宋体" w:eastAsia="宋体" w:cs="宋体"/>
          <w:color w:val="auto"/>
          <w:spacing w:val="4"/>
          <w:sz w:val="21"/>
          <w:szCs w:val="21"/>
          <w:highlight w:val="none"/>
          <w:lang w:val="en-US" w:eastAsia="zh-CN"/>
        </w:rPr>
      </w:pPr>
      <w:r>
        <w:rPr>
          <w:rFonts w:hint="eastAsia" w:ascii="宋体" w:hAnsi="宋体" w:eastAsia="宋体" w:cs="宋体"/>
          <w:color w:val="auto"/>
          <w:spacing w:val="7"/>
          <w:sz w:val="21"/>
          <w:szCs w:val="21"/>
          <w:highlight w:val="none"/>
        </w:rPr>
        <w:t>_</w:t>
      </w:r>
      <w:r>
        <w:rPr>
          <w:rFonts w:hint="eastAsia" w:ascii="宋体" w:hAnsi="宋体" w:eastAsia="宋体" w:cs="宋体"/>
          <w:color w:val="auto"/>
          <w:spacing w:val="4"/>
          <w:sz w:val="21"/>
          <w:szCs w:val="21"/>
          <w:highlight w:val="none"/>
        </w:rPr>
        <w:t>_____年___月____</w:t>
      </w:r>
      <w:r>
        <w:rPr>
          <w:rFonts w:hint="eastAsia" w:ascii="宋体" w:hAnsi="宋体" w:eastAsia="宋体" w:cs="宋体"/>
          <w:color w:val="auto"/>
          <w:spacing w:val="4"/>
          <w:sz w:val="21"/>
          <w:szCs w:val="21"/>
          <w:highlight w:val="none"/>
          <w:lang w:val="en-US" w:eastAsia="zh-CN"/>
        </w:rPr>
        <w:t>日</w:t>
      </w:r>
    </w:p>
    <w:p>
      <w:pPr>
        <w:pStyle w:val="2"/>
        <w:rPr>
          <w:rFonts w:hint="eastAsia" w:ascii="宋体" w:hAnsi="宋体" w:eastAsia="宋体" w:cs="宋体"/>
          <w:color w:val="auto"/>
          <w:spacing w:val="4"/>
          <w:sz w:val="21"/>
          <w:szCs w:val="21"/>
          <w:highlight w:val="none"/>
          <w:lang w:val="en-US" w:eastAsia="zh-CN"/>
        </w:rPr>
      </w:pPr>
    </w:p>
    <w:p>
      <w:pPr>
        <w:pStyle w:val="2"/>
        <w:rPr>
          <w:rFonts w:hint="eastAsia" w:ascii="宋体" w:hAnsi="宋体" w:eastAsia="宋体" w:cs="宋体"/>
          <w:color w:val="auto"/>
          <w:spacing w:val="4"/>
          <w:sz w:val="21"/>
          <w:szCs w:val="21"/>
          <w:highlight w:val="none"/>
          <w:lang w:val="en-US" w:eastAsia="zh-CN"/>
        </w:rPr>
      </w:pPr>
    </w:p>
    <w:p>
      <w:pPr>
        <w:pStyle w:val="2"/>
        <w:rPr>
          <w:rFonts w:hint="eastAsia" w:ascii="宋体" w:hAnsi="宋体" w:eastAsia="宋体" w:cs="宋体"/>
          <w:color w:val="auto"/>
          <w:spacing w:val="4"/>
          <w:sz w:val="21"/>
          <w:szCs w:val="21"/>
          <w:highlight w:val="none"/>
          <w:lang w:val="en-US" w:eastAsia="zh-CN"/>
        </w:rPr>
      </w:pPr>
    </w:p>
    <w:p>
      <w:pPr>
        <w:pStyle w:val="2"/>
        <w:rPr>
          <w:rFonts w:hint="eastAsia" w:ascii="宋体" w:hAnsi="宋体" w:eastAsia="宋体" w:cs="宋体"/>
          <w:color w:val="auto"/>
          <w:spacing w:val="4"/>
          <w:sz w:val="21"/>
          <w:szCs w:val="21"/>
          <w:highlight w:val="none"/>
          <w:lang w:val="en-US" w:eastAsia="zh-CN"/>
        </w:rPr>
      </w:pPr>
    </w:p>
    <w:p>
      <w:pPr>
        <w:pStyle w:val="2"/>
        <w:rPr>
          <w:rFonts w:hint="eastAsia" w:ascii="宋体" w:hAnsi="宋体" w:eastAsia="宋体" w:cs="宋体"/>
          <w:color w:val="auto"/>
          <w:spacing w:val="4"/>
          <w:sz w:val="21"/>
          <w:szCs w:val="21"/>
          <w:highlight w:val="none"/>
          <w:lang w:val="en-US" w:eastAsia="zh-CN"/>
        </w:rPr>
      </w:pPr>
    </w:p>
    <w:p>
      <w:pPr>
        <w:spacing w:before="156" w:line="222" w:lineRule="auto"/>
        <w:jc w:val="both"/>
        <w:rPr>
          <w:rFonts w:hint="eastAsia" w:ascii="宋体" w:hAnsi="宋体" w:eastAsia="宋体" w:cs="宋体"/>
          <w:color w:val="auto"/>
          <w:spacing w:val="-2"/>
          <w:sz w:val="48"/>
          <w:szCs w:val="48"/>
          <w:highlight w:val="none"/>
          <w14:textOutline w14:w="8708" w14:cap="flat" w14:cmpd="sng">
            <w14:solidFill>
              <w14:srgbClr w14:val="000000"/>
            </w14:solidFill>
            <w14:prstDash w14:val="solid"/>
            <w14:miter w14:val="0"/>
          </w14:textOutline>
        </w:rPr>
      </w:pPr>
    </w:p>
    <w:p>
      <w:pPr>
        <w:spacing w:before="156" w:line="222" w:lineRule="auto"/>
        <w:jc w:val="center"/>
        <w:outlineLvl w:val="9"/>
        <w:rPr>
          <w:rFonts w:hint="eastAsia" w:ascii="黑体" w:hAnsi="黑体" w:eastAsia="黑体" w:cs="黑体"/>
          <w:color w:val="auto"/>
          <w:spacing w:val="-2"/>
          <w:sz w:val="48"/>
          <w:szCs w:val="48"/>
          <w:highlight w:val="none"/>
          <w14:textOutline w14:w="8708" w14:cap="flat" w14:cmpd="sng">
            <w14:solidFill>
              <w14:srgbClr w14:val="000000"/>
            </w14:solidFill>
            <w14:prstDash w14:val="solid"/>
            <w14:miter w14:val="0"/>
          </w14:textOutline>
        </w:rPr>
      </w:pPr>
      <w:bookmarkStart w:id="99" w:name="_Toc13238"/>
      <w:bookmarkStart w:id="100" w:name="_Toc2927"/>
    </w:p>
    <w:p>
      <w:pPr>
        <w:spacing w:before="156" w:line="222" w:lineRule="auto"/>
        <w:jc w:val="both"/>
        <w:outlineLvl w:val="9"/>
        <w:rPr>
          <w:rFonts w:hint="eastAsia" w:ascii="黑体" w:hAnsi="黑体" w:eastAsia="黑体" w:cs="黑体"/>
          <w:color w:val="auto"/>
          <w:spacing w:val="-2"/>
          <w:sz w:val="48"/>
          <w:szCs w:val="48"/>
          <w:highlight w:val="none"/>
          <w14:textOutline w14:w="8708" w14:cap="flat" w14:cmpd="sng">
            <w14:solidFill>
              <w14:srgbClr w14:val="000000"/>
            </w14:solidFill>
            <w14:prstDash w14:val="solid"/>
            <w14:miter w14:val="0"/>
          </w14:textOutline>
        </w:rPr>
      </w:pPr>
    </w:p>
    <w:p>
      <w:pPr>
        <w:spacing w:before="156" w:line="222" w:lineRule="auto"/>
        <w:jc w:val="center"/>
        <w:outlineLvl w:val="9"/>
        <w:rPr>
          <w:rFonts w:hint="eastAsia" w:ascii="黑体" w:hAnsi="黑体" w:eastAsia="黑体" w:cs="黑体"/>
          <w:color w:val="auto"/>
          <w:spacing w:val="-2"/>
          <w:sz w:val="48"/>
          <w:szCs w:val="48"/>
          <w:highlight w:val="none"/>
          <w14:textOutline w14:w="8708" w14:cap="flat" w14:cmpd="sng">
            <w14:solidFill>
              <w14:srgbClr w14:val="000000"/>
            </w14:solidFill>
            <w14:prstDash w14:val="solid"/>
            <w14:miter w14:val="0"/>
          </w14:textOutline>
        </w:rPr>
      </w:pPr>
    </w:p>
    <w:p>
      <w:pPr>
        <w:spacing w:before="156" w:line="222" w:lineRule="auto"/>
        <w:jc w:val="center"/>
        <w:outlineLvl w:val="9"/>
        <w:rPr>
          <w:rFonts w:hint="eastAsia" w:ascii="黑体" w:hAnsi="黑体" w:eastAsia="黑体" w:cs="黑体"/>
          <w:color w:val="auto"/>
          <w:spacing w:val="-2"/>
          <w:sz w:val="48"/>
          <w:szCs w:val="48"/>
          <w:highlight w:val="none"/>
          <w14:textOutline w14:w="8708" w14:cap="flat" w14:cmpd="sng">
            <w14:solidFill>
              <w14:srgbClr w14:val="000000"/>
            </w14:solidFill>
            <w14:prstDash w14:val="solid"/>
            <w14:miter w14:val="0"/>
          </w14:textOutline>
        </w:rPr>
      </w:pPr>
    </w:p>
    <w:p>
      <w:pPr>
        <w:spacing w:before="156" w:line="222" w:lineRule="auto"/>
        <w:jc w:val="center"/>
        <w:outlineLvl w:val="9"/>
        <w:rPr>
          <w:rFonts w:hint="eastAsia" w:ascii="黑体" w:hAnsi="黑体" w:eastAsia="黑体" w:cs="黑体"/>
          <w:color w:val="auto"/>
          <w:spacing w:val="-2"/>
          <w:sz w:val="48"/>
          <w:szCs w:val="48"/>
          <w:highlight w:val="none"/>
          <w14:textOutline w14:w="8708" w14:cap="flat" w14:cmpd="sng">
            <w14:solidFill>
              <w14:srgbClr w14:val="000000"/>
            </w14:solidFill>
            <w14:prstDash w14:val="solid"/>
            <w14:miter w14:val="0"/>
          </w14:textOutline>
        </w:rPr>
      </w:pPr>
    </w:p>
    <w:bookmarkEnd w:id="99"/>
    <w:bookmarkEnd w:id="100"/>
    <w:p>
      <w:pPr>
        <w:spacing w:before="156" w:line="222" w:lineRule="auto"/>
        <w:jc w:val="center"/>
        <w:outlineLvl w:val="0"/>
        <w:rPr>
          <w:rFonts w:hint="eastAsia" w:ascii="宋体" w:hAnsi="宋体" w:eastAsia="宋体" w:cs="宋体"/>
          <w:color w:val="auto"/>
          <w:spacing w:val="-2"/>
          <w:sz w:val="32"/>
          <w:szCs w:val="32"/>
          <w:highlight w:val="none"/>
          <w14:textOutline w14:w="8708" w14:cap="flat" w14:cmpd="sng">
            <w14:solidFill>
              <w14:srgbClr w14:val="000000"/>
            </w14:solidFill>
            <w14:prstDash w14:val="solid"/>
            <w14:miter w14:val="0"/>
          </w14:textOutline>
        </w:rPr>
      </w:pPr>
      <w:bookmarkStart w:id="101" w:name="_bookmark49"/>
      <w:bookmarkEnd w:id="101"/>
      <w:bookmarkStart w:id="102" w:name="_Toc17879"/>
      <w:bookmarkStart w:id="103" w:name="_Toc9887"/>
      <w:bookmarkStart w:id="104" w:name="_Toc2000"/>
      <w:r>
        <w:rPr>
          <w:rFonts w:hint="eastAsia" w:ascii="宋体" w:hAnsi="宋体" w:eastAsia="宋体" w:cs="宋体"/>
          <w:color w:val="auto"/>
          <w:spacing w:val="-2"/>
          <w:sz w:val="32"/>
          <w:szCs w:val="32"/>
          <w:highlight w:val="none"/>
          <w14:textOutline w14:w="8708" w14:cap="flat" w14:cmpd="sng">
            <w14:solidFill>
              <w14:srgbClr w14:val="000000"/>
            </w14:solidFill>
            <w14:prstDash w14:val="solid"/>
            <w14:miter w14:val="0"/>
          </w14:textOutline>
        </w:rPr>
        <w:t>第三章  评标办法 (技术通过制的综合评估法 (合理低价法))</w:t>
      </w:r>
      <w:bookmarkEnd w:id="102"/>
      <w:bookmarkEnd w:id="103"/>
      <w:bookmarkEnd w:id="104"/>
      <w:r>
        <w:rPr>
          <w:rFonts w:hint="eastAsia" w:ascii="宋体" w:hAnsi="宋体" w:eastAsia="宋体" w:cs="宋体"/>
          <w:color w:val="auto"/>
          <w:spacing w:val="-2"/>
          <w:sz w:val="32"/>
          <w:szCs w:val="32"/>
          <w:highlight w:val="none"/>
          <w14:textOutline w14:w="8708" w14:cap="flat" w14:cmpd="sng">
            <w14:solidFill>
              <w14:srgbClr w14:val="000000"/>
            </w14:solidFill>
            <w14:prstDash w14:val="solid"/>
            <w14:miter w14:val="0"/>
          </w14:textOutline>
        </w:rPr>
        <w:t xml:space="preserve"> </w:t>
      </w:r>
    </w:p>
    <w:p>
      <w:pPr>
        <w:spacing w:before="1" w:line="236" w:lineRule="auto"/>
        <w:ind w:left="7"/>
        <w:outlineLvl w:val="1"/>
        <w:rPr>
          <w:rFonts w:hint="eastAsia" w:ascii="宋体" w:hAnsi="宋体" w:eastAsia="宋体" w:cs="宋体"/>
          <w:color w:val="auto"/>
          <w:sz w:val="13"/>
          <w:szCs w:val="13"/>
          <w:highlight w:val="none"/>
        </w:rPr>
      </w:pPr>
      <w:bookmarkStart w:id="105" w:name="_Toc25551"/>
      <w:r>
        <w:rPr>
          <w:rFonts w:hint="eastAsia" w:ascii="宋体" w:hAnsi="宋体" w:eastAsia="宋体" w:cs="宋体"/>
          <w:color w:val="auto"/>
          <w:sz w:val="28"/>
          <w:szCs w:val="28"/>
          <w:highlight w:val="none"/>
        </w:rPr>
        <w:t>评标办法前附表</w:t>
      </w:r>
      <w:bookmarkEnd w:id="105"/>
    </w:p>
    <w:p>
      <w:pPr>
        <w:spacing w:line="168" w:lineRule="exact"/>
        <w:rPr>
          <w:rFonts w:hint="eastAsia" w:ascii="宋体" w:hAnsi="宋体" w:eastAsia="宋体" w:cs="宋体"/>
          <w:color w:val="auto"/>
          <w:highlight w:val="none"/>
        </w:rPr>
      </w:pPr>
    </w:p>
    <w:tbl>
      <w:tblPr>
        <w:tblStyle w:val="26"/>
        <w:tblW w:w="9207"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3"/>
        <w:gridCol w:w="1896"/>
        <w:gridCol w:w="643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873" w:type="dxa"/>
            <w:tcBorders>
              <w:left w:val="single" w:color="000000" w:sz="10" w:space="0"/>
              <w:right w:val="single" w:color="000000" w:sz="4" w:space="0"/>
            </w:tcBorders>
            <w:vAlign w:val="center"/>
          </w:tcPr>
          <w:p>
            <w:pPr>
              <w:spacing w:before="173" w:line="228" w:lineRule="auto"/>
              <w:ind w:left="116"/>
              <w:jc w:val="center"/>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条款号</w:t>
            </w:r>
          </w:p>
        </w:tc>
        <w:tc>
          <w:tcPr>
            <w:tcW w:w="1896" w:type="dxa"/>
            <w:tcBorders>
              <w:left w:val="single" w:color="000000" w:sz="4" w:space="0"/>
              <w:right w:val="single" w:color="000000" w:sz="4" w:space="0"/>
            </w:tcBorders>
            <w:vAlign w:val="top"/>
          </w:tcPr>
          <w:p>
            <w:pPr>
              <w:spacing w:before="173" w:line="228" w:lineRule="auto"/>
              <w:ind w:left="700"/>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条款内</w:t>
            </w:r>
            <w:r>
              <w:rPr>
                <w:rFonts w:hint="eastAsia" w:ascii="宋体" w:hAnsi="宋体" w:eastAsia="宋体" w:cs="宋体"/>
                <w:color w:val="auto"/>
                <w:spacing w:val="6"/>
                <w:sz w:val="21"/>
                <w:szCs w:val="21"/>
                <w:highlight w:val="none"/>
              </w:rPr>
              <w:t>容</w:t>
            </w:r>
          </w:p>
        </w:tc>
        <w:tc>
          <w:tcPr>
            <w:tcW w:w="6438" w:type="dxa"/>
            <w:tcBorders>
              <w:left w:val="single" w:color="000000" w:sz="4" w:space="0"/>
              <w:right w:val="single" w:color="000000" w:sz="10" w:space="0"/>
            </w:tcBorders>
            <w:vAlign w:val="top"/>
          </w:tcPr>
          <w:p>
            <w:pPr>
              <w:spacing w:before="173" w:line="228" w:lineRule="auto"/>
              <w:ind w:left="2619"/>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编列内</w:t>
            </w:r>
            <w:r>
              <w:rPr>
                <w:rFonts w:hint="eastAsia" w:ascii="宋体" w:hAnsi="宋体" w:eastAsia="宋体" w:cs="宋体"/>
                <w:color w:val="auto"/>
                <w:spacing w:val="6"/>
                <w:sz w:val="21"/>
                <w:szCs w:val="21"/>
                <w:highlight w:val="none"/>
              </w:rPr>
              <w:t>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5" w:hRule="atLeast"/>
        </w:trPr>
        <w:tc>
          <w:tcPr>
            <w:tcW w:w="873" w:type="dxa"/>
            <w:tcBorders>
              <w:left w:val="single" w:color="000000" w:sz="10" w:space="0"/>
              <w:right w:val="single" w:color="000000" w:sz="4" w:space="0"/>
            </w:tcBorders>
            <w:vAlign w:val="center"/>
          </w:tcPr>
          <w:p>
            <w:pPr>
              <w:spacing w:before="283" w:line="192" w:lineRule="auto"/>
              <w:ind w:left="316"/>
              <w:jc w:val="center"/>
              <w:rPr>
                <w:rFonts w:hint="eastAsia" w:ascii="宋体" w:hAnsi="宋体" w:eastAsia="宋体" w:cs="宋体"/>
                <w:color w:val="auto"/>
                <w:spacing w:val="-4"/>
                <w:sz w:val="21"/>
                <w:szCs w:val="21"/>
                <w:highlight w:val="none"/>
              </w:rPr>
            </w:pPr>
          </w:p>
          <w:p>
            <w:pPr>
              <w:spacing w:before="283" w:line="192" w:lineRule="auto"/>
              <w:ind w:left="316"/>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1.1</w:t>
            </w:r>
          </w:p>
        </w:tc>
        <w:tc>
          <w:tcPr>
            <w:tcW w:w="1896" w:type="dxa"/>
            <w:tcBorders>
              <w:left w:val="single" w:color="000000" w:sz="4" w:space="0"/>
              <w:right w:val="single" w:color="000000" w:sz="4" w:space="0"/>
            </w:tcBorders>
            <w:vAlign w:val="center"/>
          </w:tcPr>
          <w:p>
            <w:pPr>
              <w:spacing w:before="31" w:line="408" w:lineRule="exact"/>
              <w:ind w:left="72"/>
              <w:jc w:val="center"/>
              <w:rPr>
                <w:rFonts w:hint="eastAsia" w:ascii="宋体" w:hAnsi="宋体" w:eastAsia="宋体" w:cs="宋体"/>
                <w:color w:val="auto"/>
                <w:sz w:val="21"/>
                <w:szCs w:val="21"/>
                <w:highlight w:val="none"/>
              </w:rPr>
            </w:pPr>
            <w:r>
              <w:rPr>
                <w:rFonts w:hint="eastAsia" w:ascii="宋体" w:hAnsi="宋体" w:eastAsia="宋体" w:cs="宋体"/>
                <w:snapToGrid/>
                <w:color w:val="auto"/>
                <w:kern w:val="2"/>
                <w:szCs w:val="24"/>
                <w:highlight w:val="none"/>
                <w:lang w:val="en-US" w:eastAsia="zh-CN" w:bidi="ar-SA"/>
              </w:rPr>
              <w:t>综合得分相等时优先顺序</w:t>
            </w:r>
          </w:p>
        </w:tc>
        <w:tc>
          <w:tcPr>
            <w:tcW w:w="6438" w:type="dxa"/>
            <w:tcBorders>
              <w:left w:val="single" w:color="000000" w:sz="4"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jc w:val="both"/>
              <w:textAlignment w:val="baseline"/>
              <w:rPr>
                <w:rFonts w:hint="eastAsia"/>
                <w:color w:val="auto"/>
                <w:highlight w:val="none"/>
              </w:rPr>
            </w:pPr>
            <w:r>
              <w:rPr>
                <w:rFonts w:hint="eastAsia"/>
                <w:color w:val="auto"/>
                <w:highlight w:val="none"/>
                <w:lang w:val="en-US" w:eastAsia="zh-CN"/>
              </w:rPr>
              <w:t>评标委员会推荐综合得分最高的有效投标人为中标候选人，若出现</w:t>
            </w:r>
            <w:r>
              <w:rPr>
                <w:rFonts w:hint="eastAsia"/>
                <w:color w:val="auto"/>
                <w:highlight w:val="none"/>
              </w:rPr>
              <w:t>综合评分相等时，除评标办法前附表另有约定外，评标委员会应依照以下优先顺序推荐中标候选人或确定中标人：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jc w:val="both"/>
              <w:textAlignment w:val="baseline"/>
              <w:rPr>
                <w:rFonts w:hint="eastAsia"/>
                <w:color w:val="auto"/>
                <w:highlight w:val="none"/>
                <w:lang w:val="en-US" w:eastAsia="zh-CN"/>
              </w:rPr>
            </w:pPr>
            <w:r>
              <w:rPr>
                <w:rFonts w:hint="eastAsia"/>
                <w:color w:val="auto"/>
                <w:highlight w:val="none"/>
                <w:lang w:val="en-US" w:eastAsia="zh-CN"/>
              </w:rPr>
              <w:t>（1）评标价低的投标人优先；</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jc w:val="both"/>
              <w:textAlignment w:val="baseline"/>
              <w:rPr>
                <w:rFonts w:hint="eastAsia"/>
                <w:color w:val="auto"/>
                <w:highlight w:val="none"/>
                <w:lang w:val="en-US" w:eastAsia="zh-CN"/>
              </w:rPr>
            </w:pPr>
            <w:r>
              <w:rPr>
                <w:rFonts w:hint="eastAsia"/>
                <w:color w:val="auto"/>
                <w:highlight w:val="none"/>
                <w:lang w:val="en-US" w:eastAsia="zh-CN"/>
              </w:rPr>
              <w:t>（2）信誉得分高的投标人优先。</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20"/>
              <w:jc w:val="both"/>
              <w:textAlignment w:val="baseline"/>
              <w:rPr>
                <w:rFonts w:hint="eastAsia"/>
                <w:color w:val="auto"/>
                <w:highlight w:val="none"/>
              </w:rPr>
            </w:pPr>
            <w:r>
              <w:rPr>
                <w:rFonts w:hint="eastAsia"/>
                <w:color w:val="auto"/>
                <w:highlight w:val="none"/>
                <w:lang w:val="en-US" w:eastAsia="zh-CN"/>
              </w:rPr>
              <w:t>（3）评标价和信誉得分都相同时，由招标人现场随机抽取确定中标候选人。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73" w:type="dxa"/>
            <w:tcBorders>
              <w:left w:val="single" w:color="000000" w:sz="10" w:space="0"/>
              <w:right w:val="single" w:color="000000" w:sz="4" w:space="0"/>
            </w:tcBorders>
            <w:vAlign w:val="center"/>
          </w:tcPr>
          <w:p>
            <w:pPr>
              <w:spacing w:line="253" w:lineRule="auto"/>
              <w:jc w:val="center"/>
              <w:rPr>
                <w:rFonts w:hint="eastAsia" w:ascii="宋体" w:hAnsi="宋体" w:eastAsia="宋体" w:cs="宋体"/>
                <w:color w:val="auto"/>
                <w:sz w:val="21"/>
                <w:szCs w:val="21"/>
                <w:highlight w:val="none"/>
              </w:rPr>
            </w:pPr>
          </w:p>
          <w:p>
            <w:pPr>
              <w:spacing w:line="253" w:lineRule="auto"/>
              <w:jc w:val="center"/>
              <w:rPr>
                <w:rFonts w:hint="eastAsia" w:ascii="宋体" w:hAnsi="宋体" w:eastAsia="宋体" w:cs="宋体"/>
                <w:color w:val="auto"/>
                <w:sz w:val="21"/>
                <w:szCs w:val="21"/>
                <w:highlight w:val="none"/>
              </w:rPr>
            </w:pPr>
          </w:p>
          <w:p>
            <w:pPr>
              <w:spacing w:line="253" w:lineRule="auto"/>
              <w:jc w:val="center"/>
              <w:rPr>
                <w:rFonts w:hint="eastAsia" w:ascii="宋体" w:hAnsi="宋体" w:eastAsia="宋体" w:cs="宋体"/>
                <w:color w:val="auto"/>
                <w:sz w:val="21"/>
                <w:szCs w:val="21"/>
                <w:highlight w:val="none"/>
              </w:rPr>
            </w:pPr>
          </w:p>
          <w:p>
            <w:pPr>
              <w:spacing w:line="253" w:lineRule="auto"/>
              <w:jc w:val="center"/>
              <w:rPr>
                <w:rFonts w:hint="eastAsia" w:ascii="宋体" w:hAnsi="宋体" w:eastAsia="宋体" w:cs="宋体"/>
                <w:color w:val="auto"/>
                <w:sz w:val="21"/>
                <w:szCs w:val="21"/>
                <w:highlight w:val="none"/>
              </w:rPr>
            </w:pPr>
          </w:p>
          <w:p>
            <w:pPr>
              <w:spacing w:line="253" w:lineRule="auto"/>
              <w:jc w:val="center"/>
              <w:rPr>
                <w:rFonts w:hint="eastAsia" w:ascii="宋体" w:hAnsi="宋体" w:eastAsia="宋体" w:cs="宋体"/>
                <w:color w:val="auto"/>
                <w:sz w:val="21"/>
                <w:szCs w:val="21"/>
                <w:highlight w:val="none"/>
              </w:rPr>
            </w:pPr>
          </w:p>
          <w:p>
            <w:pPr>
              <w:spacing w:line="253" w:lineRule="auto"/>
              <w:jc w:val="center"/>
              <w:rPr>
                <w:rFonts w:hint="eastAsia" w:ascii="宋体" w:hAnsi="宋体" w:eastAsia="宋体" w:cs="宋体"/>
                <w:color w:val="auto"/>
                <w:sz w:val="21"/>
                <w:szCs w:val="21"/>
                <w:highlight w:val="none"/>
              </w:rPr>
            </w:pPr>
          </w:p>
          <w:p>
            <w:pPr>
              <w:spacing w:line="253" w:lineRule="auto"/>
              <w:jc w:val="center"/>
              <w:rPr>
                <w:rFonts w:hint="eastAsia" w:ascii="宋体" w:hAnsi="宋体" w:eastAsia="宋体" w:cs="宋体"/>
                <w:color w:val="auto"/>
                <w:sz w:val="21"/>
                <w:szCs w:val="21"/>
                <w:highlight w:val="none"/>
              </w:rPr>
            </w:pPr>
          </w:p>
          <w:p>
            <w:pPr>
              <w:spacing w:line="253" w:lineRule="auto"/>
              <w:jc w:val="center"/>
              <w:rPr>
                <w:rFonts w:hint="eastAsia" w:ascii="宋体" w:hAnsi="宋体" w:eastAsia="宋体" w:cs="宋体"/>
                <w:color w:val="auto"/>
                <w:sz w:val="21"/>
                <w:szCs w:val="21"/>
                <w:highlight w:val="none"/>
              </w:rPr>
            </w:pPr>
          </w:p>
          <w:p>
            <w:pPr>
              <w:spacing w:line="253" w:lineRule="auto"/>
              <w:jc w:val="center"/>
              <w:rPr>
                <w:rFonts w:hint="eastAsia" w:ascii="宋体" w:hAnsi="宋体" w:eastAsia="宋体" w:cs="宋体"/>
                <w:color w:val="auto"/>
                <w:sz w:val="21"/>
                <w:szCs w:val="21"/>
                <w:highlight w:val="none"/>
              </w:rPr>
            </w:pPr>
          </w:p>
          <w:p>
            <w:pPr>
              <w:spacing w:before="58" w:line="362" w:lineRule="exact"/>
              <w:jc w:val="center"/>
              <w:rPr>
                <w:rFonts w:hint="eastAsia" w:ascii="宋体" w:hAnsi="宋体" w:eastAsia="宋体" w:cs="宋体"/>
                <w:color w:val="auto"/>
                <w:spacing w:val="-6"/>
                <w:position w:val="15"/>
                <w:sz w:val="21"/>
                <w:szCs w:val="21"/>
                <w:highlight w:val="none"/>
              </w:rPr>
            </w:pPr>
          </w:p>
          <w:p>
            <w:pPr>
              <w:spacing w:before="58" w:line="362" w:lineRule="exact"/>
              <w:ind w:left="216"/>
              <w:jc w:val="center"/>
              <w:rPr>
                <w:rFonts w:hint="eastAsia" w:ascii="宋体" w:hAnsi="宋体" w:eastAsia="宋体" w:cs="宋体"/>
                <w:color w:val="auto"/>
                <w:spacing w:val="-6"/>
                <w:position w:val="15"/>
                <w:sz w:val="21"/>
                <w:szCs w:val="21"/>
                <w:highlight w:val="none"/>
              </w:rPr>
            </w:pPr>
          </w:p>
          <w:p>
            <w:pPr>
              <w:spacing w:before="58" w:line="362" w:lineRule="exact"/>
              <w:ind w:left="216"/>
              <w:jc w:val="center"/>
              <w:rPr>
                <w:rFonts w:hint="eastAsia" w:ascii="宋体" w:hAnsi="宋体" w:eastAsia="宋体" w:cs="宋体"/>
                <w:color w:val="auto"/>
                <w:spacing w:val="-6"/>
                <w:position w:val="15"/>
                <w:sz w:val="21"/>
                <w:szCs w:val="21"/>
                <w:highlight w:val="none"/>
              </w:rPr>
            </w:pPr>
          </w:p>
          <w:p>
            <w:pPr>
              <w:spacing w:before="58" w:line="362" w:lineRule="exact"/>
              <w:ind w:left="216"/>
              <w:jc w:val="center"/>
              <w:rPr>
                <w:rFonts w:hint="eastAsia" w:ascii="宋体" w:hAnsi="宋体" w:eastAsia="宋体" w:cs="宋体"/>
                <w:color w:val="auto"/>
                <w:sz w:val="21"/>
                <w:szCs w:val="21"/>
                <w:highlight w:val="none"/>
              </w:rPr>
            </w:pPr>
            <w:r>
              <w:rPr>
                <w:rFonts w:hint="eastAsia" w:ascii="宋体" w:hAnsi="宋体" w:eastAsia="宋体" w:cs="宋体"/>
                <w:color w:val="auto"/>
                <w:spacing w:val="-6"/>
                <w:position w:val="15"/>
                <w:sz w:val="21"/>
                <w:szCs w:val="21"/>
                <w:highlight w:val="none"/>
              </w:rPr>
              <w:t>2</w:t>
            </w:r>
            <w:r>
              <w:rPr>
                <w:rFonts w:hint="eastAsia" w:ascii="宋体" w:hAnsi="宋体" w:eastAsia="宋体" w:cs="宋体"/>
                <w:color w:val="auto"/>
                <w:spacing w:val="-5"/>
                <w:position w:val="15"/>
                <w:sz w:val="21"/>
                <w:szCs w:val="21"/>
                <w:highlight w:val="none"/>
              </w:rPr>
              <w:t>.1.1</w:t>
            </w:r>
          </w:p>
          <w:p>
            <w:pPr>
              <w:spacing w:line="192" w:lineRule="auto"/>
              <w:ind w:left="216"/>
              <w:jc w:val="center"/>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2</w:t>
            </w:r>
            <w:r>
              <w:rPr>
                <w:rFonts w:hint="eastAsia" w:ascii="宋体" w:hAnsi="宋体" w:eastAsia="宋体" w:cs="宋体"/>
                <w:color w:val="auto"/>
                <w:spacing w:val="-5"/>
                <w:sz w:val="21"/>
                <w:szCs w:val="21"/>
                <w:highlight w:val="none"/>
              </w:rPr>
              <w:t>.1.3</w:t>
            </w:r>
          </w:p>
        </w:tc>
        <w:tc>
          <w:tcPr>
            <w:tcW w:w="1896" w:type="dxa"/>
            <w:tcBorders>
              <w:left w:val="single" w:color="000000" w:sz="4" w:space="0"/>
              <w:right w:val="single" w:color="000000" w:sz="4" w:space="0"/>
            </w:tcBorders>
            <w:vAlign w:val="center"/>
          </w:tcPr>
          <w:p>
            <w:pPr>
              <w:spacing w:line="248" w:lineRule="auto"/>
              <w:jc w:val="center"/>
              <w:rPr>
                <w:rFonts w:hint="eastAsia" w:ascii="宋体" w:hAnsi="宋体" w:eastAsia="宋体" w:cs="宋体"/>
                <w:color w:val="auto"/>
                <w:sz w:val="21"/>
                <w:szCs w:val="21"/>
                <w:highlight w:val="none"/>
              </w:rPr>
            </w:pPr>
          </w:p>
          <w:p>
            <w:pPr>
              <w:spacing w:line="248" w:lineRule="auto"/>
              <w:jc w:val="center"/>
              <w:rPr>
                <w:rFonts w:hint="eastAsia" w:ascii="宋体" w:hAnsi="宋体" w:eastAsia="宋体" w:cs="宋体"/>
                <w:color w:val="auto"/>
                <w:sz w:val="21"/>
                <w:szCs w:val="21"/>
                <w:highlight w:val="none"/>
              </w:rPr>
            </w:pPr>
          </w:p>
          <w:p>
            <w:pPr>
              <w:spacing w:line="248" w:lineRule="auto"/>
              <w:jc w:val="center"/>
              <w:rPr>
                <w:rFonts w:hint="eastAsia" w:ascii="宋体" w:hAnsi="宋体" w:eastAsia="宋体" w:cs="宋体"/>
                <w:color w:val="auto"/>
                <w:sz w:val="21"/>
                <w:szCs w:val="21"/>
                <w:highlight w:val="none"/>
              </w:rPr>
            </w:pPr>
          </w:p>
          <w:p>
            <w:pPr>
              <w:spacing w:line="249" w:lineRule="auto"/>
              <w:jc w:val="center"/>
              <w:rPr>
                <w:rFonts w:hint="eastAsia" w:ascii="宋体" w:hAnsi="宋体" w:eastAsia="宋体" w:cs="宋体"/>
                <w:color w:val="auto"/>
                <w:sz w:val="21"/>
                <w:szCs w:val="21"/>
                <w:highlight w:val="none"/>
              </w:rPr>
            </w:pPr>
          </w:p>
          <w:p>
            <w:pPr>
              <w:spacing w:line="249" w:lineRule="auto"/>
              <w:jc w:val="center"/>
              <w:rPr>
                <w:rFonts w:hint="eastAsia" w:ascii="宋体" w:hAnsi="宋体" w:eastAsia="宋体" w:cs="宋体"/>
                <w:color w:val="auto"/>
                <w:sz w:val="21"/>
                <w:szCs w:val="21"/>
                <w:highlight w:val="none"/>
              </w:rPr>
            </w:pPr>
          </w:p>
          <w:p>
            <w:pPr>
              <w:spacing w:line="249" w:lineRule="auto"/>
              <w:jc w:val="center"/>
              <w:rPr>
                <w:rFonts w:hint="eastAsia" w:ascii="宋体" w:hAnsi="宋体" w:eastAsia="宋体" w:cs="宋体"/>
                <w:color w:val="auto"/>
                <w:sz w:val="21"/>
                <w:szCs w:val="21"/>
                <w:highlight w:val="none"/>
              </w:rPr>
            </w:pPr>
          </w:p>
          <w:p>
            <w:pPr>
              <w:spacing w:line="249" w:lineRule="auto"/>
              <w:jc w:val="center"/>
              <w:rPr>
                <w:rFonts w:hint="eastAsia" w:ascii="宋体" w:hAnsi="宋体" w:eastAsia="宋体" w:cs="宋体"/>
                <w:color w:val="auto"/>
                <w:sz w:val="21"/>
                <w:szCs w:val="21"/>
                <w:highlight w:val="none"/>
              </w:rPr>
            </w:pPr>
          </w:p>
          <w:p>
            <w:pPr>
              <w:spacing w:line="249" w:lineRule="auto"/>
              <w:jc w:val="center"/>
              <w:rPr>
                <w:rFonts w:hint="eastAsia" w:ascii="宋体" w:hAnsi="宋体" w:eastAsia="宋体" w:cs="宋体"/>
                <w:color w:val="auto"/>
                <w:sz w:val="21"/>
                <w:szCs w:val="21"/>
                <w:highlight w:val="none"/>
              </w:rPr>
            </w:pPr>
          </w:p>
          <w:p>
            <w:pPr>
              <w:spacing w:line="249" w:lineRule="auto"/>
              <w:jc w:val="center"/>
              <w:rPr>
                <w:rFonts w:hint="eastAsia" w:ascii="宋体" w:hAnsi="宋体" w:eastAsia="宋体" w:cs="宋体"/>
                <w:color w:val="auto"/>
                <w:sz w:val="21"/>
                <w:szCs w:val="21"/>
                <w:highlight w:val="none"/>
              </w:rPr>
            </w:pPr>
          </w:p>
          <w:p>
            <w:pPr>
              <w:spacing w:line="249" w:lineRule="auto"/>
              <w:jc w:val="center"/>
              <w:rPr>
                <w:rFonts w:hint="eastAsia" w:ascii="宋体" w:hAnsi="宋体" w:eastAsia="宋体" w:cs="宋体"/>
                <w:color w:val="auto"/>
                <w:sz w:val="21"/>
                <w:szCs w:val="21"/>
                <w:highlight w:val="none"/>
              </w:rPr>
            </w:pPr>
          </w:p>
          <w:p>
            <w:pPr>
              <w:spacing w:line="249" w:lineRule="auto"/>
              <w:jc w:val="center"/>
              <w:rPr>
                <w:rFonts w:hint="eastAsia" w:ascii="宋体" w:hAnsi="宋体" w:eastAsia="宋体" w:cs="宋体"/>
                <w:color w:val="auto"/>
                <w:sz w:val="21"/>
                <w:szCs w:val="21"/>
                <w:highlight w:val="none"/>
              </w:rPr>
            </w:pPr>
          </w:p>
          <w:p>
            <w:pPr>
              <w:spacing w:line="249" w:lineRule="auto"/>
              <w:jc w:val="both"/>
              <w:rPr>
                <w:rFonts w:hint="eastAsia" w:ascii="宋体" w:hAnsi="宋体" w:eastAsia="宋体" w:cs="宋体"/>
                <w:color w:val="auto"/>
                <w:sz w:val="21"/>
                <w:szCs w:val="21"/>
                <w:highlight w:val="none"/>
              </w:rPr>
            </w:pPr>
          </w:p>
          <w:p>
            <w:pPr>
              <w:spacing w:line="249" w:lineRule="auto"/>
              <w:jc w:val="center"/>
              <w:rPr>
                <w:rFonts w:hint="eastAsia" w:ascii="宋体" w:hAnsi="宋体" w:eastAsia="宋体" w:cs="宋体"/>
                <w:color w:val="auto"/>
                <w:sz w:val="21"/>
                <w:szCs w:val="21"/>
                <w:highlight w:val="none"/>
              </w:rPr>
            </w:pPr>
          </w:p>
          <w:p>
            <w:pPr>
              <w:pStyle w:val="2"/>
              <w:ind w:left="0" w:leftChars="0" w:firstLine="0" w:firstLineChars="0"/>
              <w:rPr>
                <w:rFonts w:hint="eastAsia" w:ascii="宋体" w:hAnsi="宋体" w:eastAsia="宋体" w:cs="宋体"/>
                <w:color w:val="auto"/>
                <w:sz w:val="21"/>
                <w:szCs w:val="21"/>
                <w:highlight w:val="none"/>
              </w:rPr>
            </w:pPr>
          </w:p>
          <w:p>
            <w:pPr>
              <w:spacing w:line="249" w:lineRule="auto"/>
              <w:jc w:val="center"/>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384" w:lineRule="auto"/>
              <w:ind w:left="0" w:right="0" w:firstLine="0"/>
              <w:jc w:val="center"/>
              <w:textAlignment w:val="baseline"/>
              <w:rPr>
                <w:rFonts w:hint="eastAsia" w:ascii="宋体" w:hAnsi="宋体" w:eastAsia="宋体" w:cs="宋体"/>
                <w:color w:val="auto"/>
                <w:sz w:val="21"/>
                <w:szCs w:val="21"/>
                <w:highlight w:val="none"/>
              </w:rPr>
            </w:pPr>
            <w:r>
              <w:rPr>
                <w:rFonts w:hint="eastAsia" w:ascii="宋体" w:hAnsi="宋体" w:eastAsia="宋体" w:cs="宋体"/>
                <w:snapToGrid/>
                <w:color w:val="auto"/>
                <w:kern w:val="2"/>
                <w:szCs w:val="24"/>
                <w:highlight w:val="none"/>
                <w:lang w:val="en-US" w:eastAsia="zh-CN" w:bidi="ar-SA"/>
              </w:rPr>
              <w:t>第一个信封形式评审与响应性评审标准</w:t>
            </w:r>
          </w:p>
        </w:tc>
        <w:tc>
          <w:tcPr>
            <w:tcW w:w="6438"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color w:val="auto"/>
                <w:highlight w:val="none"/>
                <w:lang w:eastAsia="zh-CN"/>
              </w:rPr>
              <w:t>（</w:t>
            </w:r>
            <w:r>
              <w:rPr>
                <w:rFonts w:hint="eastAsia" w:ascii="宋体" w:hAnsi="宋体" w:eastAsia="宋体" w:cs="宋体"/>
                <w:snapToGrid/>
                <w:color w:val="auto"/>
                <w:kern w:val="2"/>
                <w:szCs w:val="24"/>
                <w:highlight w:val="none"/>
                <w:lang w:val="en-US" w:eastAsia="zh-CN" w:bidi="ar-SA"/>
              </w:rPr>
              <w:t>1)投标文件第一个信封按照招标文件规定的格式、内容填写，字迹清晰可辨：</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a. 投标函按招标文件规定填报了项目名称、标段号、补遗书编号(如有)、工期、工程质量要求及安全目标、拟委任项目经理、项目技术负责人、安全负责人；</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b. 投标函附录的所有数据均符合招标文件规定；</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c. 投标文件组成齐全完整，内容均按规定填写。</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(2)投标文件第一个信封中法定代表人电子章、投标人的单位电子公</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章盖章齐全，符合招标文件规定。</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(3)投标人按照招标文件的规定提供了投标保证金(投标文件中无须提供证明文件)。</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(4)投标人法定代表人授权委托代理人签署投标文件的，需提交授权委托书，且授权人在授权书上盖法定代表人电子章，授权书加盖投标人单位电子公章。</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(5)投标人法定代表人若亲自签署投标文件的，提供了法定代表人身份证明，且法定代表人在法定代表人身份证明上签名或盖电子章。</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(6)投标人是独家投标。</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color w:val="auto"/>
                <w:spacing w:val="8"/>
                <w:sz w:val="20"/>
                <w:szCs w:val="20"/>
                <w:highlight w:val="none"/>
              </w:rPr>
              <w:t>(7)</w:t>
            </w:r>
            <w:r>
              <w:rPr>
                <w:rFonts w:hint="eastAsia" w:ascii="宋体" w:hAnsi="宋体" w:eastAsia="宋体" w:cs="宋体"/>
                <w:color w:val="auto"/>
                <w:spacing w:val="8"/>
                <w:sz w:val="20"/>
                <w:szCs w:val="20"/>
                <w:highlight w:val="none"/>
                <w:lang w:val="en-US" w:eastAsia="zh-CN"/>
              </w:rPr>
              <w:t>投标人的分包计划符合招标文件第二章“投标人须知”第1.11款规定，且按第九章“投标文件格式”的要求填写“拟分包项目情况表”（如有）。</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(8)同一投标人未提交两个以上不同的投标文件，但招标文件要求提交备选投标的除外。</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(9)投标文件中未出现有关投标报价的内容。</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(10)投标文件载明的招标项目完成期限未超过招标文件规定的时限。</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(11)投标文件对招标文件的实质性要求和条件作出响应。</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(12)权利义务符合招标文件规定：</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a．投标人应接受招标文件规定的风险划分原则，未提出新的风险划分办法；</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b．投标人未增加发包人的责任范围，或减少投标人义务；</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c．投标人未提出不同的工程验收、计量、支付办法；</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d．投标人对合同纠纷、事故处理办法未提出异议；</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e．投标人在投标活动中无欺诈行为；</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f．投标人未对合同条款有重要保留。</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 xml:space="preserve">（13）人员、业绩、履约信誉证明材料真实。                     </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 xml:space="preserve">（14）根据浙江省交通运输厅公布的信用评价结果，未出现投标截止日为 AA 级信用等级的投标人参加多于两个标段的投标，其他投标人参加多于一个标段的投标。                               </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15）若投标文件中提供《信用评价结果使用承诺书》的，含“浙江省交通运输信用综合管理服务系统”水印，其招标人、项目名称、标段、开标时间须与本项目相关信息一致，且《信用评价结果使用承诺书》中的投标人名称与投标人名称一致。</w:t>
            </w:r>
          </w:p>
          <w:p>
            <w:pPr>
              <w:keepNext w:val="0"/>
              <w:keepLines w:val="0"/>
              <w:pageBreakBefore w:val="0"/>
              <w:widowControl/>
              <w:kinsoku/>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color w:val="auto"/>
                <w:highlight w:val="none"/>
                <w:lang w:eastAsia="zh-CN"/>
              </w:rPr>
            </w:pPr>
            <w:r>
              <w:rPr>
                <w:rFonts w:hint="eastAsia" w:ascii="宋体" w:hAnsi="宋体" w:eastAsia="宋体" w:cs="宋体"/>
                <w:snapToGrid/>
                <w:color w:val="auto"/>
                <w:kern w:val="2"/>
                <w:szCs w:val="24"/>
                <w:highlight w:val="none"/>
                <w:lang w:val="en-US" w:eastAsia="zh-CN" w:bidi="ar-SA"/>
              </w:rPr>
              <w:t>（16）2022年1月1日以来，被交通运输部、浙江省交通运输厅、 浙江省发展和改革委员会三部门以外的省级及以上单位 (部门) 书面通报限制投标，并在处罚期内的，隐瞒不报的一经查实，作否决投标处理， 并视为投标人提供虚假资料，按投标人须知第 3.5.11 项处理。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873" w:type="dxa"/>
            <w:tcBorders>
              <w:left w:val="single" w:color="000000" w:sz="10" w:space="0"/>
              <w:right w:val="single" w:color="000000" w:sz="4" w:space="0"/>
            </w:tcBorders>
            <w:vAlign w:val="center"/>
          </w:tcPr>
          <w:p>
            <w:pPr>
              <w:spacing w:line="249" w:lineRule="auto"/>
              <w:jc w:val="center"/>
              <w:rPr>
                <w:rFonts w:hint="eastAsia" w:ascii="宋体" w:hAnsi="宋体" w:eastAsia="宋体" w:cs="宋体"/>
                <w:color w:val="auto"/>
                <w:sz w:val="21"/>
                <w:szCs w:val="21"/>
                <w:highlight w:val="none"/>
              </w:rPr>
            </w:pPr>
          </w:p>
          <w:p>
            <w:pPr>
              <w:spacing w:line="249" w:lineRule="auto"/>
              <w:jc w:val="center"/>
              <w:rPr>
                <w:rFonts w:hint="eastAsia" w:ascii="宋体" w:hAnsi="宋体" w:eastAsia="宋体" w:cs="宋体"/>
                <w:color w:val="auto"/>
                <w:sz w:val="21"/>
                <w:szCs w:val="21"/>
                <w:highlight w:val="none"/>
              </w:rPr>
            </w:pPr>
          </w:p>
          <w:p>
            <w:pPr>
              <w:spacing w:before="57" w:line="360" w:lineRule="exact"/>
              <w:ind w:left="216"/>
              <w:jc w:val="both"/>
              <w:rPr>
                <w:rFonts w:hint="eastAsia" w:ascii="宋体" w:hAnsi="宋体" w:eastAsia="宋体" w:cs="宋体"/>
                <w:color w:val="auto"/>
                <w:sz w:val="21"/>
                <w:szCs w:val="21"/>
                <w:highlight w:val="none"/>
              </w:rPr>
            </w:pPr>
            <w:r>
              <w:rPr>
                <w:rFonts w:hint="eastAsia" w:ascii="宋体" w:hAnsi="宋体" w:eastAsia="宋体" w:cs="宋体"/>
                <w:color w:val="auto"/>
                <w:spacing w:val="-6"/>
                <w:position w:val="15"/>
                <w:sz w:val="21"/>
                <w:szCs w:val="21"/>
                <w:highlight w:val="none"/>
              </w:rPr>
              <w:t>2</w:t>
            </w:r>
            <w:r>
              <w:rPr>
                <w:rFonts w:hint="eastAsia" w:ascii="宋体" w:hAnsi="宋体" w:eastAsia="宋体" w:cs="宋体"/>
                <w:color w:val="auto"/>
                <w:spacing w:val="-5"/>
                <w:position w:val="15"/>
                <w:sz w:val="21"/>
                <w:szCs w:val="21"/>
                <w:highlight w:val="none"/>
              </w:rPr>
              <w:t>.1.1</w:t>
            </w:r>
          </w:p>
          <w:p>
            <w:pPr>
              <w:spacing w:line="192" w:lineRule="auto"/>
              <w:ind w:left="216" w:leftChars="0"/>
              <w:jc w:val="both"/>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2</w:t>
            </w:r>
            <w:r>
              <w:rPr>
                <w:rFonts w:hint="eastAsia" w:ascii="宋体" w:hAnsi="宋体" w:eastAsia="宋体" w:cs="宋体"/>
                <w:color w:val="auto"/>
                <w:spacing w:val="-5"/>
                <w:sz w:val="21"/>
                <w:szCs w:val="21"/>
                <w:highlight w:val="none"/>
              </w:rPr>
              <w:t>.1.3</w:t>
            </w:r>
          </w:p>
        </w:tc>
        <w:tc>
          <w:tcPr>
            <w:tcW w:w="1896" w:type="dxa"/>
            <w:tcBorders>
              <w:left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ind w:firstLine="0"/>
              <w:jc w:val="center"/>
              <w:textAlignment w:val="baseline"/>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241" w:lineRule="auto"/>
              <w:ind w:firstLine="0"/>
              <w:jc w:val="center"/>
              <w:textAlignment w:val="baseline"/>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385" w:lineRule="auto"/>
              <w:ind w:right="80" w:rightChars="0"/>
              <w:jc w:val="center"/>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color w:val="auto"/>
                <w:spacing w:val="9"/>
                <w:sz w:val="21"/>
                <w:szCs w:val="21"/>
                <w:highlight w:val="none"/>
              </w:rPr>
              <w:t>第二个信封形式评审</w:t>
            </w:r>
            <w:r>
              <w:rPr>
                <w:rFonts w:hint="eastAsia" w:ascii="宋体" w:hAnsi="宋体" w:eastAsia="宋体" w:cs="宋体"/>
                <w:color w:val="auto"/>
                <w:spacing w:val="8"/>
                <w:sz w:val="21"/>
                <w:szCs w:val="21"/>
                <w:highlight w:val="none"/>
              </w:rPr>
              <w:t>与响</w:t>
            </w:r>
            <w:r>
              <w:rPr>
                <w:rFonts w:hint="eastAsia" w:ascii="宋体" w:hAnsi="宋体" w:eastAsia="宋体" w:cs="宋体"/>
                <w:color w:val="auto"/>
                <w:spacing w:val="7"/>
                <w:sz w:val="21"/>
                <w:szCs w:val="21"/>
                <w:highlight w:val="none"/>
              </w:rPr>
              <w:t>应性评审标准</w:t>
            </w:r>
          </w:p>
        </w:tc>
        <w:tc>
          <w:tcPr>
            <w:tcW w:w="6438"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color w:val="auto"/>
                <w:spacing w:val="10"/>
                <w:sz w:val="21"/>
                <w:szCs w:val="21"/>
                <w:highlight w:val="none"/>
              </w:rPr>
              <w:t>(</w:t>
            </w:r>
            <w:r>
              <w:rPr>
                <w:rFonts w:hint="eastAsia" w:ascii="宋体" w:hAnsi="宋体" w:eastAsia="宋体" w:cs="宋体"/>
                <w:snapToGrid/>
                <w:color w:val="auto"/>
                <w:kern w:val="2"/>
                <w:szCs w:val="24"/>
                <w:highlight w:val="none"/>
                <w:lang w:val="en-US" w:eastAsia="zh-CN" w:bidi="ar-SA"/>
              </w:rPr>
              <w:t>1)投标文件第二个信封按照招标文件规定的格式、内容填写，字迹清晰可辨：</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a．投标函按招标文件规定填报了项目名称、标段号、补遗书编号(如有)、投标价(包括大写金额和小写金额)，且投标人名称与第一个信封投标人名称一致；</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b．已标价工程量清单说明文字与招标文件规定一致，未进行实质性修改和删减；</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c．投标文件组成齐全完整，内容均按规定填写。</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(2)投标文件第二个信封中法定代表人电子章、投标人的单位电子公章盖章齐全，符合招标文件规定。</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(3)投标报价未超过招标文件设定的最高投标限价。</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(4)投标报价的大写金额能够确定具体数值。</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snapToGrid/>
                <w:color w:val="auto"/>
                <w:kern w:val="2"/>
                <w:szCs w:val="24"/>
                <w:highlight w:val="none"/>
                <w:lang w:val="en-US" w:eastAsia="zh-CN" w:bidi="ar-SA"/>
              </w:rPr>
              <w:t>(5)同一投标人未提交两个以上不同的投标报价。</w:t>
            </w:r>
          </w:p>
          <w:p>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宋体" w:hAnsi="宋体" w:eastAsia="宋体" w:cs="宋体"/>
                <w:color w:val="auto"/>
                <w:highlight w:val="none"/>
              </w:rPr>
            </w:pPr>
            <w:r>
              <w:rPr>
                <w:rFonts w:hint="eastAsia" w:ascii="宋体" w:hAnsi="宋体" w:eastAsia="宋体" w:cs="宋体"/>
                <w:snapToGrid/>
                <w:color w:val="auto"/>
                <w:kern w:val="2"/>
                <w:szCs w:val="24"/>
                <w:highlight w:val="none"/>
                <w:lang w:val="en-US" w:eastAsia="zh-CN" w:bidi="ar-SA"/>
              </w:rPr>
              <w:t>(6)投标人未提交调价函。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8" w:hRule="atLeast"/>
        </w:trPr>
        <w:tc>
          <w:tcPr>
            <w:tcW w:w="873" w:type="dxa"/>
            <w:tcBorders>
              <w:left w:val="single" w:color="000000" w:sz="10" w:space="0"/>
              <w:right w:val="single" w:color="000000" w:sz="4" w:space="0"/>
            </w:tcBorders>
            <w:vAlign w:val="center"/>
          </w:tcPr>
          <w:p>
            <w:pPr>
              <w:spacing w:line="246" w:lineRule="auto"/>
              <w:jc w:val="both"/>
              <w:rPr>
                <w:rFonts w:hint="eastAsia" w:ascii="宋体" w:hAnsi="宋体" w:eastAsia="宋体" w:cs="宋体"/>
                <w:color w:val="auto"/>
                <w:sz w:val="21"/>
                <w:szCs w:val="21"/>
                <w:highlight w:val="none"/>
              </w:rPr>
            </w:pPr>
          </w:p>
          <w:p>
            <w:pPr>
              <w:spacing w:line="247" w:lineRule="auto"/>
              <w:jc w:val="center"/>
              <w:rPr>
                <w:rFonts w:hint="eastAsia" w:ascii="宋体" w:hAnsi="宋体" w:eastAsia="宋体" w:cs="宋体"/>
                <w:color w:val="auto"/>
                <w:sz w:val="21"/>
                <w:szCs w:val="21"/>
                <w:highlight w:val="none"/>
              </w:rPr>
            </w:pPr>
          </w:p>
          <w:p>
            <w:pPr>
              <w:spacing w:before="57" w:line="192" w:lineRule="auto"/>
              <w:ind w:left="216" w:leftChars="0"/>
              <w:jc w:val="center"/>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2</w:t>
            </w:r>
            <w:r>
              <w:rPr>
                <w:rFonts w:hint="eastAsia" w:ascii="宋体" w:hAnsi="宋体" w:eastAsia="宋体" w:cs="宋体"/>
                <w:color w:val="auto"/>
                <w:spacing w:val="-5"/>
                <w:sz w:val="21"/>
                <w:szCs w:val="21"/>
                <w:highlight w:val="none"/>
              </w:rPr>
              <w:t>.1.2</w:t>
            </w:r>
          </w:p>
        </w:tc>
        <w:tc>
          <w:tcPr>
            <w:tcW w:w="1896" w:type="dxa"/>
            <w:tcBorders>
              <w:left w:val="single" w:color="000000" w:sz="4"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65" w:line="227" w:lineRule="auto"/>
              <w:jc w:val="center"/>
              <w:textAlignment w:val="baseline"/>
              <w:rPr>
                <w:rFonts w:hint="eastAsia" w:ascii="宋体" w:hAnsi="宋体" w:eastAsia="宋体" w:cs="宋体"/>
                <w:color w:val="auto"/>
                <w:spacing w:val="1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227" w:lineRule="auto"/>
              <w:jc w:val="center"/>
              <w:textAlignment w:val="baseline"/>
              <w:rPr>
                <w:rFonts w:hint="eastAsia" w:ascii="宋体" w:hAnsi="宋体" w:eastAsia="宋体" w:cs="宋体"/>
                <w:color w:val="auto"/>
                <w:spacing w:val="1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227" w:lineRule="auto"/>
              <w:jc w:val="center"/>
              <w:textAlignment w:val="baseline"/>
              <w:rPr>
                <w:rFonts w:hint="eastAsia" w:ascii="宋体" w:hAnsi="宋体" w:eastAsia="宋体" w:cs="宋体"/>
                <w:color w:val="auto"/>
                <w:spacing w:val="9"/>
                <w:sz w:val="21"/>
                <w:szCs w:val="21"/>
                <w:highlight w:val="none"/>
              </w:rPr>
            </w:pPr>
            <w:r>
              <w:rPr>
                <w:rFonts w:hint="eastAsia" w:ascii="宋体" w:hAnsi="宋体" w:eastAsia="宋体" w:cs="宋体"/>
                <w:color w:val="auto"/>
                <w:spacing w:val="10"/>
                <w:sz w:val="21"/>
                <w:szCs w:val="21"/>
                <w:highlight w:val="none"/>
              </w:rPr>
              <w:t>资</w:t>
            </w:r>
            <w:r>
              <w:rPr>
                <w:rFonts w:hint="eastAsia" w:ascii="宋体" w:hAnsi="宋体" w:eastAsia="宋体" w:cs="宋体"/>
                <w:color w:val="auto"/>
                <w:spacing w:val="6"/>
                <w:sz w:val="21"/>
                <w:szCs w:val="21"/>
                <w:highlight w:val="none"/>
              </w:rPr>
              <w:t>格评审标准</w:t>
            </w:r>
          </w:p>
        </w:tc>
        <w:tc>
          <w:tcPr>
            <w:tcW w:w="6438" w:type="dxa"/>
            <w:tcBorders>
              <w:left w:val="single" w:color="000000" w:sz="4" w:space="0"/>
              <w:right w:val="single" w:color="000000" w:sz="10" w:space="0"/>
            </w:tcBorders>
            <w:vAlign w:val="top"/>
          </w:tcPr>
          <w:p>
            <w:pPr>
              <w:keepNext w:val="0"/>
              <w:keepLines w:val="0"/>
              <w:pageBreakBefore w:val="0"/>
              <w:widowControl/>
              <w:kinsoku/>
              <w:wordWrap/>
              <w:overflowPunct/>
              <w:topLinePunct w:val="0"/>
              <w:autoSpaceDE w:val="0"/>
              <w:autoSpaceDN w:val="0"/>
              <w:bidi w:val="0"/>
              <w:adjustRightInd w:val="0"/>
              <w:snapToGrid w:val="0"/>
              <w:spacing w:line="360" w:lineRule="auto"/>
              <w:ind w:left="5" w:right="6" w:hanging="1"/>
              <w:textAlignment w:val="baseline"/>
              <w:rPr>
                <w:rFonts w:hint="eastAsia" w:ascii="宋体" w:hAnsi="宋体" w:eastAsia="宋体" w:cs="宋体"/>
                <w:color w:val="auto"/>
                <w:spacing w:val="14"/>
                <w:sz w:val="21"/>
                <w:szCs w:val="21"/>
                <w:highlight w:val="none"/>
              </w:rPr>
            </w:pPr>
            <w:r>
              <w:rPr>
                <w:rFonts w:hint="eastAsia" w:ascii="宋体" w:hAnsi="宋体" w:eastAsia="宋体" w:cs="宋体"/>
                <w:color w:val="auto"/>
                <w:spacing w:val="10"/>
                <w:sz w:val="21"/>
                <w:szCs w:val="21"/>
                <w:highlight w:val="none"/>
              </w:rPr>
              <w:t>(</w:t>
            </w:r>
            <w:r>
              <w:rPr>
                <w:rFonts w:hint="eastAsia" w:ascii="宋体" w:hAnsi="宋体" w:eastAsia="宋体" w:cs="宋体"/>
                <w:color w:val="auto"/>
                <w:spacing w:val="7"/>
                <w:sz w:val="21"/>
                <w:szCs w:val="21"/>
                <w:highlight w:val="none"/>
              </w:rPr>
              <w:t>1)投标人具备有效的营业执照、组织机构代码证、资质证书、安全</w:t>
            </w:r>
            <w:r>
              <w:rPr>
                <w:rFonts w:hint="eastAsia" w:ascii="宋体" w:hAnsi="宋体" w:eastAsia="宋体" w:cs="宋体"/>
                <w:color w:val="auto"/>
                <w:spacing w:val="16"/>
                <w:sz w:val="21"/>
                <w:szCs w:val="21"/>
                <w:highlight w:val="none"/>
              </w:rPr>
              <w:t>生</w:t>
            </w:r>
            <w:r>
              <w:rPr>
                <w:rFonts w:hint="eastAsia" w:ascii="宋体" w:hAnsi="宋体" w:eastAsia="宋体" w:cs="宋体"/>
                <w:color w:val="auto"/>
                <w:spacing w:val="14"/>
                <w:sz w:val="21"/>
                <w:szCs w:val="21"/>
                <w:highlight w:val="none"/>
              </w:rPr>
              <w:t>产</w:t>
            </w:r>
            <w:r>
              <w:rPr>
                <w:rFonts w:hint="eastAsia" w:ascii="宋体" w:hAnsi="宋体" w:eastAsia="宋体" w:cs="宋体"/>
                <w:color w:val="auto"/>
                <w:spacing w:val="8"/>
                <w:sz w:val="21"/>
                <w:szCs w:val="21"/>
                <w:highlight w:val="none"/>
              </w:rPr>
              <w:t>许可证和基本账户开户许可证(或银行出具的基本账户存款证</w:t>
            </w:r>
            <w:r>
              <w:rPr>
                <w:rFonts w:hint="eastAsia" w:ascii="宋体" w:hAnsi="宋体" w:eastAsia="宋体" w:cs="宋体"/>
                <w:color w:val="auto"/>
                <w:spacing w:val="19"/>
                <w:sz w:val="21"/>
                <w:szCs w:val="21"/>
                <w:highlight w:val="none"/>
              </w:rPr>
              <w:t>明</w:t>
            </w:r>
            <w:r>
              <w:rPr>
                <w:rFonts w:hint="eastAsia" w:ascii="宋体" w:hAnsi="宋体" w:eastAsia="宋体" w:cs="宋体"/>
                <w:color w:val="auto"/>
                <w:spacing w:val="14"/>
                <w:sz w:val="21"/>
                <w:szCs w:val="21"/>
                <w:highlight w:val="none"/>
              </w:rPr>
              <w:t>或基本存款账户信息)。</w:t>
            </w:r>
          </w:p>
          <w:p>
            <w:pPr>
              <w:keepNext w:val="0"/>
              <w:keepLines w:val="0"/>
              <w:pageBreakBefore w:val="0"/>
              <w:widowControl/>
              <w:kinsoku/>
              <w:wordWrap/>
              <w:overflowPunct/>
              <w:topLinePunct w:val="0"/>
              <w:autoSpaceDE w:val="0"/>
              <w:autoSpaceDN w:val="0"/>
              <w:bidi w:val="0"/>
              <w:adjustRightInd w:val="0"/>
              <w:snapToGrid w:val="0"/>
              <w:spacing w:line="360" w:lineRule="auto"/>
              <w:ind w:left="5" w:right="6" w:hanging="1"/>
              <w:textAlignment w:val="baseline"/>
              <w:rPr>
                <w:rFonts w:hint="eastAsia" w:ascii="宋体" w:hAnsi="宋体" w:eastAsia="宋体" w:cs="宋体"/>
                <w:color w:val="auto"/>
                <w:spacing w:val="7"/>
                <w:position w:val="2"/>
                <w:sz w:val="21"/>
                <w:szCs w:val="21"/>
                <w:highlight w:val="none"/>
              </w:rPr>
            </w:pPr>
            <w:r>
              <w:rPr>
                <w:rFonts w:hint="eastAsia" w:ascii="宋体" w:hAnsi="宋体" w:eastAsia="宋体" w:cs="宋体"/>
                <w:color w:val="auto"/>
                <w:spacing w:val="11"/>
                <w:position w:val="2"/>
                <w:sz w:val="21"/>
                <w:szCs w:val="21"/>
                <w:highlight w:val="none"/>
              </w:rPr>
              <w:t>(</w:t>
            </w:r>
            <w:r>
              <w:rPr>
                <w:rFonts w:hint="eastAsia" w:ascii="宋体" w:hAnsi="宋体" w:eastAsia="宋体" w:cs="宋体"/>
                <w:color w:val="auto"/>
                <w:spacing w:val="7"/>
                <w:position w:val="2"/>
                <w:sz w:val="21"/>
                <w:szCs w:val="21"/>
                <w:highlight w:val="none"/>
              </w:rPr>
              <w:t>2)投标人的资质等级符合招标文件规定。</w:t>
            </w:r>
          </w:p>
          <w:p>
            <w:pPr>
              <w:keepNext w:val="0"/>
              <w:keepLines w:val="0"/>
              <w:pageBreakBefore w:val="0"/>
              <w:widowControl/>
              <w:kinsoku/>
              <w:wordWrap/>
              <w:overflowPunct/>
              <w:topLinePunct w:val="0"/>
              <w:autoSpaceDE w:val="0"/>
              <w:autoSpaceDN w:val="0"/>
              <w:bidi w:val="0"/>
              <w:adjustRightInd w:val="0"/>
              <w:snapToGrid w:val="0"/>
              <w:spacing w:line="360" w:lineRule="auto"/>
              <w:ind w:left="5" w:right="6" w:hanging="1"/>
              <w:textAlignment w:val="baseline"/>
              <w:rPr>
                <w:rFonts w:hint="eastAsia" w:ascii="宋体" w:hAnsi="宋体" w:eastAsia="宋体" w:cs="宋体"/>
                <w:color w:val="auto"/>
                <w:spacing w:val="7"/>
                <w:position w:val="2"/>
                <w:sz w:val="21"/>
                <w:szCs w:val="21"/>
                <w:highlight w:val="none"/>
              </w:rPr>
            </w:pPr>
            <w:r>
              <w:rPr>
                <w:rFonts w:hint="eastAsia" w:ascii="宋体" w:hAnsi="宋体" w:eastAsia="宋体" w:cs="宋体"/>
                <w:color w:val="auto"/>
                <w:spacing w:val="11"/>
                <w:position w:val="2"/>
                <w:sz w:val="21"/>
                <w:szCs w:val="21"/>
                <w:highlight w:val="none"/>
              </w:rPr>
              <w:t>(</w:t>
            </w:r>
            <w:r>
              <w:rPr>
                <w:rFonts w:hint="eastAsia" w:ascii="宋体" w:hAnsi="宋体" w:eastAsia="宋体" w:cs="宋体"/>
                <w:color w:val="auto"/>
                <w:spacing w:val="7"/>
                <w:position w:val="2"/>
                <w:sz w:val="21"/>
                <w:szCs w:val="21"/>
                <w:highlight w:val="none"/>
              </w:rPr>
              <w:t>3)投标人的财务状况符合招标文件规定。</w:t>
            </w:r>
          </w:p>
          <w:p>
            <w:pPr>
              <w:keepNext w:val="0"/>
              <w:keepLines w:val="0"/>
              <w:pageBreakBefore w:val="0"/>
              <w:widowControl/>
              <w:kinsoku/>
              <w:wordWrap/>
              <w:overflowPunct/>
              <w:topLinePunct w:val="0"/>
              <w:autoSpaceDE w:val="0"/>
              <w:autoSpaceDN w:val="0"/>
              <w:bidi w:val="0"/>
              <w:adjustRightInd w:val="0"/>
              <w:snapToGrid w:val="0"/>
              <w:spacing w:line="360" w:lineRule="auto"/>
              <w:ind w:left="5" w:right="6" w:hanging="1"/>
              <w:textAlignment w:val="baseline"/>
              <w:rPr>
                <w:rFonts w:hint="eastAsia" w:ascii="宋体" w:hAnsi="宋体" w:eastAsia="宋体" w:cs="宋体"/>
                <w:color w:val="auto"/>
                <w:spacing w:val="7"/>
                <w:position w:val="2"/>
                <w:sz w:val="21"/>
                <w:szCs w:val="21"/>
                <w:highlight w:val="none"/>
              </w:rPr>
            </w:pPr>
            <w:r>
              <w:rPr>
                <w:rFonts w:hint="eastAsia" w:ascii="宋体" w:hAnsi="宋体" w:eastAsia="宋体" w:cs="宋体"/>
                <w:color w:val="auto"/>
                <w:spacing w:val="14"/>
                <w:position w:val="2"/>
                <w:sz w:val="21"/>
                <w:szCs w:val="21"/>
                <w:highlight w:val="none"/>
              </w:rPr>
              <w:t>(</w:t>
            </w:r>
            <w:r>
              <w:rPr>
                <w:rFonts w:hint="eastAsia" w:ascii="宋体" w:hAnsi="宋体" w:eastAsia="宋体" w:cs="宋体"/>
                <w:color w:val="auto"/>
                <w:spacing w:val="10"/>
                <w:position w:val="2"/>
                <w:sz w:val="21"/>
                <w:szCs w:val="21"/>
                <w:highlight w:val="none"/>
              </w:rPr>
              <w:t>4</w:t>
            </w:r>
            <w:r>
              <w:rPr>
                <w:rFonts w:hint="eastAsia" w:ascii="宋体" w:hAnsi="宋体" w:eastAsia="宋体" w:cs="宋体"/>
                <w:color w:val="auto"/>
                <w:spacing w:val="7"/>
                <w:position w:val="2"/>
                <w:sz w:val="21"/>
                <w:szCs w:val="21"/>
                <w:highlight w:val="none"/>
              </w:rPr>
              <w:t>)投标人的类似项目业绩符合招标文件规定。</w:t>
            </w:r>
          </w:p>
          <w:p>
            <w:pPr>
              <w:keepNext w:val="0"/>
              <w:keepLines w:val="0"/>
              <w:pageBreakBefore w:val="0"/>
              <w:widowControl/>
              <w:kinsoku/>
              <w:wordWrap/>
              <w:overflowPunct/>
              <w:topLinePunct w:val="0"/>
              <w:autoSpaceDE w:val="0"/>
              <w:autoSpaceDN w:val="0"/>
              <w:bidi w:val="0"/>
              <w:adjustRightInd w:val="0"/>
              <w:snapToGrid w:val="0"/>
              <w:spacing w:line="360" w:lineRule="auto"/>
              <w:ind w:left="5" w:right="6" w:hanging="1"/>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position w:val="2"/>
                <w:sz w:val="21"/>
                <w:szCs w:val="21"/>
                <w:highlight w:val="none"/>
              </w:rPr>
              <w:t>(5)投标人的信誉符合招标文件规定</w:t>
            </w:r>
            <w:r>
              <w:rPr>
                <w:rFonts w:hint="eastAsia" w:ascii="宋体" w:hAnsi="宋体" w:eastAsia="宋体" w:cs="宋体"/>
                <w:color w:val="auto"/>
                <w:spacing w:val="5"/>
                <w:position w:val="2"/>
                <w:sz w:val="21"/>
                <w:szCs w:val="21"/>
                <w:highlight w:val="none"/>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6" w:right="6" w:hanging="2"/>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13"/>
                <w:sz w:val="21"/>
                <w:szCs w:val="21"/>
                <w:highlight w:val="none"/>
              </w:rPr>
              <w:t>(</w:t>
            </w:r>
            <w:r>
              <w:rPr>
                <w:rFonts w:hint="eastAsia" w:ascii="宋体" w:hAnsi="宋体" w:eastAsia="宋体" w:cs="宋体"/>
                <w:color w:val="auto"/>
                <w:spacing w:val="7"/>
                <w:sz w:val="21"/>
                <w:szCs w:val="21"/>
                <w:highlight w:val="none"/>
              </w:rPr>
              <w:t>6)投标人的项目经理、项目技术负责人和安全负责人资格、项目经</w:t>
            </w:r>
            <w:r>
              <w:rPr>
                <w:rFonts w:hint="eastAsia" w:ascii="宋体" w:hAnsi="宋体" w:eastAsia="宋体" w:cs="宋体"/>
                <w:color w:val="auto"/>
                <w:spacing w:val="9"/>
                <w:sz w:val="21"/>
                <w:szCs w:val="21"/>
                <w:highlight w:val="none"/>
              </w:rPr>
              <w:t>理</w:t>
            </w:r>
            <w:r>
              <w:rPr>
                <w:rFonts w:hint="eastAsia" w:ascii="宋体" w:hAnsi="宋体" w:eastAsia="宋体" w:cs="宋体"/>
                <w:color w:val="auto"/>
                <w:spacing w:val="7"/>
                <w:sz w:val="21"/>
                <w:szCs w:val="21"/>
                <w:highlight w:val="none"/>
              </w:rPr>
              <w:t>在岗情况符合招标文件规定。</w:t>
            </w:r>
          </w:p>
          <w:p>
            <w:pPr>
              <w:keepNext w:val="0"/>
              <w:keepLines w:val="0"/>
              <w:pageBreakBefore w:val="0"/>
              <w:widowControl/>
              <w:kinsoku/>
              <w:wordWrap/>
              <w:overflowPunct/>
              <w:topLinePunct w:val="0"/>
              <w:autoSpaceDE w:val="0"/>
              <w:autoSpaceDN w:val="0"/>
              <w:bidi w:val="0"/>
              <w:adjustRightInd w:val="0"/>
              <w:snapToGrid w:val="0"/>
              <w:spacing w:line="360" w:lineRule="auto"/>
              <w:ind w:left="6" w:right="6" w:hanging="2"/>
              <w:textAlignment w:val="baseline"/>
              <w:rPr>
                <w:rFonts w:hint="eastAsia" w:ascii="宋体" w:hAnsi="宋体" w:eastAsia="宋体" w:cs="宋体"/>
                <w:color w:val="auto"/>
                <w:spacing w:val="3"/>
                <w:position w:val="1"/>
                <w:sz w:val="21"/>
                <w:szCs w:val="21"/>
                <w:highlight w:val="none"/>
              </w:rPr>
            </w:pPr>
            <w:r>
              <w:rPr>
                <w:rFonts w:hint="eastAsia" w:ascii="宋体" w:hAnsi="宋体" w:eastAsia="宋体" w:cs="宋体"/>
                <w:color w:val="auto"/>
                <w:spacing w:val="6"/>
                <w:position w:val="1"/>
                <w:sz w:val="21"/>
                <w:szCs w:val="21"/>
                <w:highlight w:val="none"/>
              </w:rPr>
              <w:t>(7)投</w:t>
            </w:r>
            <w:r>
              <w:rPr>
                <w:rFonts w:hint="eastAsia" w:ascii="宋体" w:hAnsi="宋体" w:eastAsia="宋体" w:cs="宋体"/>
                <w:color w:val="auto"/>
                <w:spacing w:val="4"/>
                <w:position w:val="1"/>
                <w:sz w:val="21"/>
                <w:szCs w:val="21"/>
                <w:highlight w:val="none"/>
              </w:rPr>
              <w:t>标</w:t>
            </w:r>
            <w:r>
              <w:rPr>
                <w:rFonts w:hint="eastAsia" w:ascii="宋体" w:hAnsi="宋体" w:eastAsia="宋体" w:cs="宋体"/>
                <w:color w:val="auto"/>
                <w:spacing w:val="3"/>
                <w:position w:val="1"/>
                <w:sz w:val="21"/>
                <w:szCs w:val="21"/>
                <w:highlight w:val="none"/>
              </w:rPr>
              <w:t>人的其他要求符合招标文件规定。</w:t>
            </w:r>
          </w:p>
          <w:p>
            <w:pPr>
              <w:keepNext w:val="0"/>
              <w:keepLines w:val="0"/>
              <w:pageBreakBefore w:val="0"/>
              <w:widowControl/>
              <w:kinsoku/>
              <w:wordWrap/>
              <w:overflowPunct/>
              <w:topLinePunct w:val="0"/>
              <w:autoSpaceDE w:val="0"/>
              <w:autoSpaceDN w:val="0"/>
              <w:bidi w:val="0"/>
              <w:adjustRightInd w:val="0"/>
              <w:snapToGrid w:val="0"/>
              <w:spacing w:line="360" w:lineRule="auto"/>
              <w:ind w:left="6" w:right="6" w:hanging="2"/>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4"/>
                <w:position w:val="1"/>
                <w:sz w:val="21"/>
                <w:szCs w:val="21"/>
                <w:highlight w:val="none"/>
              </w:rPr>
              <w:t>(8)投</w:t>
            </w:r>
            <w:r>
              <w:rPr>
                <w:rFonts w:hint="eastAsia" w:ascii="宋体" w:hAnsi="宋体" w:eastAsia="宋体" w:cs="宋体"/>
                <w:color w:val="auto"/>
                <w:spacing w:val="3"/>
                <w:position w:val="1"/>
                <w:sz w:val="21"/>
                <w:szCs w:val="21"/>
                <w:highlight w:val="none"/>
              </w:rPr>
              <w:t>标</w:t>
            </w:r>
            <w:r>
              <w:rPr>
                <w:rFonts w:hint="eastAsia" w:ascii="宋体" w:hAnsi="宋体" w:eastAsia="宋体" w:cs="宋体"/>
                <w:color w:val="auto"/>
                <w:spacing w:val="2"/>
                <w:position w:val="1"/>
                <w:sz w:val="21"/>
                <w:szCs w:val="21"/>
                <w:highlight w:val="none"/>
              </w:rPr>
              <w:t>人符合第二章“投标人须知”第1.4.5项规定</w:t>
            </w:r>
            <w:r>
              <w:rPr>
                <w:rFonts w:hint="eastAsia" w:ascii="宋体" w:hAnsi="宋体" w:eastAsia="宋体" w:cs="宋体"/>
                <w:color w:val="auto"/>
                <w:spacing w:val="2"/>
                <w:position w:val="1"/>
                <w:sz w:val="21"/>
                <w:szCs w:val="21"/>
                <w:highlight w:val="none"/>
                <w:lang w:eastAsia="zh-CN"/>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5" w:leftChars="0" w:right="6" w:rightChars="0" w:hanging="1" w:firstLineChars="0"/>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color w:val="auto"/>
                <w:spacing w:val="10"/>
                <w:sz w:val="21"/>
                <w:szCs w:val="21"/>
                <w:highlight w:val="none"/>
              </w:rPr>
              <w:t>(</w:t>
            </w:r>
            <w:r>
              <w:rPr>
                <w:rFonts w:hint="eastAsia" w:ascii="宋体" w:hAnsi="宋体" w:eastAsia="宋体" w:cs="宋体"/>
                <w:color w:val="auto"/>
                <w:spacing w:val="7"/>
                <w:sz w:val="21"/>
                <w:szCs w:val="21"/>
                <w:highlight w:val="none"/>
              </w:rPr>
              <w:t>9)以联合体形式参与投标的，联合体各方均未再以自己名义单独或</w:t>
            </w:r>
            <w:r>
              <w:rPr>
                <w:rFonts w:hint="eastAsia" w:ascii="宋体" w:hAnsi="宋体" w:eastAsia="宋体" w:cs="宋体"/>
                <w:color w:val="auto"/>
                <w:spacing w:val="16"/>
                <w:sz w:val="21"/>
                <w:szCs w:val="21"/>
                <w:highlight w:val="none"/>
              </w:rPr>
              <w:t>参加</w:t>
            </w:r>
            <w:r>
              <w:rPr>
                <w:rFonts w:hint="eastAsia" w:ascii="宋体" w:hAnsi="宋体" w:eastAsia="宋体" w:cs="宋体"/>
                <w:color w:val="auto"/>
                <w:spacing w:val="14"/>
                <w:sz w:val="21"/>
                <w:szCs w:val="21"/>
                <w:highlight w:val="none"/>
              </w:rPr>
              <w:t>其</w:t>
            </w:r>
            <w:r>
              <w:rPr>
                <w:rFonts w:hint="eastAsia" w:ascii="宋体" w:hAnsi="宋体" w:eastAsia="宋体" w:cs="宋体"/>
                <w:color w:val="auto"/>
                <w:spacing w:val="8"/>
                <w:sz w:val="21"/>
                <w:szCs w:val="21"/>
                <w:highlight w:val="none"/>
              </w:rPr>
              <w:t>他联合体在同一标段中投标；独立参与投标的，投标人未同时参加联合体在同一标段中投标</w:t>
            </w:r>
            <w:r>
              <w:rPr>
                <w:rFonts w:hint="eastAsia" w:ascii="宋体" w:hAnsi="宋体" w:eastAsia="宋体" w:cs="宋体"/>
                <w:color w:val="auto"/>
                <w:spacing w:val="7"/>
                <w:sz w:val="21"/>
                <w:szCs w:val="21"/>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0" w:hRule="atLeast"/>
        </w:trPr>
        <w:tc>
          <w:tcPr>
            <w:tcW w:w="873" w:type="dxa"/>
            <w:tcBorders>
              <w:left w:val="single" w:color="000000" w:sz="10" w:space="0"/>
              <w:right w:val="single" w:color="000000" w:sz="4" w:space="0"/>
            </w:tcBorders>
            <w:vAlign w:val="center"/>
          </w:tcPr>
          <w:p>
            <w:pPr>
              <w:spacing w:before="282" w:line="195" w:lineRule="auto"/>
              <w:ind w:left="216" w:leftChars="0"/>
              <w:jc w:val="center"/>
              <w:rPr>
                <w:rFonts w:hint="eastAsia" w:ascii="宋体" w:hAnsi="宋体" w:eastAsia="宋体" w:cs="宋体"/>
                <w:color w:val="auto"/>
                <w:spacing w:val="-6"/>
                <w:sz w:val="21"/>
                <w:szCs w:val="21"/>
                <w:highlight w:val="none"/>
              </w:rPr>
            </w:pPr>
            <w:r>
              <w:rPr>
                <w:rFonts w:hint="eastAsia" w:ascii="宋体" w:hAnsi="宋体" w:eastAsia="宋体" w:cs="宋体"/>
                <w:color w:val="auto"/>
                <w:spacing w:val="4"/>
                <w:sz w:val="21"/>
                <w:szCs w:val="21"/>
                <w:highlight w:val="none"/>
              </w:rPr>
              <w:t>2.2.</w:t>
            </w:r>
            <w:r>
              <w:rPr>
                <w:rFonts w:hint="eastAsia" w:ascii="宋体" w:hAnsi="宋体" w:eastAsia="宋体" w:cs="宋体"/>
                <w:color w:val="auto"/>
                <w:spacing w:val="3"/>
                <w:sz w:val="21"/>
                <w:szCs w:val="21"/>
                <w:highlight w:val="none"/>
              </w:rPr>
              <w:t>1</w:t>
            </w:r>
          </w:p>
        </w:tc>
        <w:tc>
          <w:tcPr>
            <w:tcW w:w="1896" w:type="dxa"/>
            <w:tcBorders>
              <w:left w:val="single" w:color="000000" w:sz="4" w:space="0"/>
              <w:right w:val="single" w:color="000000" w:sz="4" w:space="0"/>
            </w:tcBorders>
            <w:vAlign w:val="center"/>
          </w:tcPr>
          <w:p>
            <w:pPr>
              <w:spacing w:before="16" w:line="425" w:lineRule="exact"/>
              <w:ind w:left="3"/>
              <w:jc w:val="center"/>
              <w:rPr>
                <w:rFonts w:hint="eastAsia" w:ascii="宋体" w:hAnsi="宋体" w:eastAsia="宋体" w:cs="宋体"/>
                <w:color w:val="auto"/>
                <w:sz w:val="21"/>
                <w:szCs w:val="21"/>
                <w:highlight w:val="none"/>
              </w:rPr>
            </w:pPr>
            <w:r>
              <w:rPr>
                <w:rFonts w:hint="eastAsia" w:ascii="宋体" w:hAnsi="宋体" w:eastAsia="宋体" w:cs="宋体"/>
                <w:color w:val="auto"/>
                <w:spacing w:val="7"/>
                <w:position w:val="15"/>
                <w:sz w:val="21"/>
                <w:szCs w:val="21"/>
                <w:highlight w:val="none"/>
              </w:rPr>
              <w:t>分值构成</w:t>
            </w:r>
          </w:p>
          <w:p>
            <w:pPr>
              <w:spacing w:line="229" w:lineRule="auto"/>
              <w:ind w:left="10" w:leftChars="0"/>
              <w:jc w:val="center"/>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(总分 100 分</w:t>
            </w:r>
            <w:r>
              <w:rPr>
                <w:rFonts w:hint="eastAsia" w:ascii="宋体" w:hAnsi="宋体" w:eastAsia="宋体" w:cs="宋体"/>
                <w:color w:val="auto"/>
                <w:spacing w:val="8"/>
                <w:sz w:val="21"/>
                <w:szCs w:val="21"/>
                <w:highlight w:val="none"/>
              </w:rPr>
              <w:t>)</w:t>
            </w:r>
          </w:p>
        </w:tc>
        <w:tc>
          <w:tcPr>
            <w:tcW w:w="6438"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33" w:line="330" w:lineRule="exact"/>
              <w:ind w:left="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评</w:t>
            </w:r>
            <w:r>
              <w:rPr>
                <w:rFonts w:hint="eastAsia" w:ascii="宋体" w:hAnsi="宋体" w:eastAsia="宋体" w:cs="宋体"/>
                <w:color w:val="auto"/>
                <w:spacing w:val="6"/>
                <w:sz w:val="21"/>
                <w:szCs w:val="21"/>
                <w:highlight w:val="none"/>
              </w:rPr>
              <w:t>标价：</w:t>
            </w:r>
            <w:r>
              <w:rPr>
                <w:rFonts w:hint="eastAsia" w:ascii="宋体" w:hAnsi="宋体" w:eastAsia="宋体" w:cs="宋体"/>
                <w:color w:val="auto"/>
                <w:spacing w:val="6"/>
                <w:sz w:val="21"/>
                <w:szCs w:val="21"/>
                <w:highlight w:val="none"/>
                <w:u w:val="single" w:color="auto"/>
              </w:rPr>
              <w:t>98.5</w:t>
            </w:r>
            <w:r>
              <w:rPr>
                <w:rFonts w:hint="eastAsia" w:ascii="宋体" w:hAnsi="宋体" w:eastAsia="宋体" w:cs="宋体"/>
                <w:color w:val="auto"/>
                <w:spacing w:val="6"/>
                <w:sz w:val="21"/>
                <w:szCs w:val="21"/>
                <w:highlight w:val="none"/>
              </w:rPr>
              <w:t>分</w:t>
            </w:r>
          </w:p>
          <w:p>
            <w:pPr>
              <w:keepNext w:val="0"/>
              <w:keepLines w:val="0"/>
              <w:pageBreakBefore w:val="0"/>
              <w:widowControl/>
              <w:kinsoku w:val="0"/>
              <w:wordWrap/>
              <w:overflowPunct/>
              <w:topLinePunct w:val="0"/>
              <w:autoSpaceDE w:val="0"/>
              <w:autoSpaceDN w:val="0"/>
              <w:bidi w:val="0"/>
              <w:adjustRightInd w:val="0"/>
              <w:snapToGrid w:val="0"/>
              <w:spacing w:before="161" w:line="330" w:lineRule="exact"/>
              <w:ind w:left="4" w:leftChars="0"/>
              <w:textAlignment w:val="baseline"/>
              <w:rPr>
                <w:rFonts w:hint="eastAsia" w:ascii="宋体" w:hAnsi="宋体" w:eastAsia="宋体" w:cs="宋体"/>
                <w:snapToGrid/>
                <w:color w:val="auto"/>
                <w:kern w:val="2"/>
                <w:szCs w:val="24"/>
                <w:highlight w:val="none"/>
                <w:lang w:val="en-US" w:eastAsia="zh-CN" w:bidi="ar-SA"/>
              </w:rPr>
            </w:pPr>
            <w:r>
              <w:rPr>
                <w:rFonts w:hint="eastAsia" w:ascii="宋体" w:hAnsi="宋体" w:eastAsia="宋体" w:cs="宋体"/>
                <w:color w:val="auto"/>
                <w:spacing w:val="6"/>
                <w:sz w:val="21"/>
                <w:szCs w:val="21"/>
                <w:highlight w:val="none"/>
              </w:rPr>
              <w:t>信誉：</w:t>
            </w:r>
            <w:r>
              <w:rPr>
                <w:rFonts w:hint="eastAsia" w:ascii="宋体" w:hAnsi="宋体" w:eastAsia="宋体" w:cs="宋体"/>
                <w:color w:val="auto"/>
                <w:spacing w:val="6"/>
                <w:sz w:val="21"/>
                <w:szCs w:val="21"/>
                <w:highlight w:val="none"/>
                <w:u w:val="single" w:color="auto"/>
              </w:rPr>
              <w:t>1.5</w:t>
            </w:r>
            <w:r>
              <w:rPr>
                <w:rFonts w:hint="eastAsia" w:ascii="宋体" w:hAnsi="宋体" w:eastAsia="宋体" w:cs="宋体"/>
                <w:color w:val="auto"/>
                <w:spacing w:val="6"/>
                <w:sz w:val="21"/>
                <w:szCs w:val="21"/>
                <w:highlight w:val="none"/>
              </w:rPr>
              <w:t>分</w:t>
            </w:r>
          </w:p>
        </w:tc>
      </w:tr>
    </w:tbl>
    <w:p>
      <w:pPr>
        <w:rPr>
          <w:rFonts w:hint="eastAsia" w:ascii="宋体" w:hAnsi="宋体" w:eastAsia="宋体" w:cs="宋体"/>
          <w:color w:val="auto"/>
          <w:highlight w:val="none"/>
        </w:rPr>
        <w:sectPr>
          <w:pgSz w:w="11900" w:h="16840"/>
          <w:pgMar w:top="1160" w:right="1304" w:bottom="1448" w:left="1363" w:header="883" w:footer="1234" w:gutter="0"/>
          <w:pgNumType w:fmt="decimal"/>
          <w:cols w:space="720" w:num="1"/>
        </w:sectPr>
      </w:pPr>
      <w:bookmarkStart w:id="106" w:name="_bookmark51"/>
      <w:bookmarkEnd w:id="106"/>
    </w:p>
    <w:p>
      <w:pPr>
        <w:rPr>
          <w:rFonts w:hint="eastAsia" w:ascii="宋体" w:hAnsi="宋体" w:eastAsia="宋体" w:cs="宋体"/>
          <w:color w:val="auto"/>
          <w:highlight w:val="none"/>
        </w:rPr>
      </w:pPr>
    </w:p>
    <w:p>
      <w:pPr>
        <w:spacing w:line="17" w:lineRule="exact"/>
        <w:rPr>
          <w:rFonts w:hint="eastAsia" w:ascii="宋体" w:hAnsi="宋体" w:eastAsia="宋体" w:cs="宋体"/>
          <w:color w:val="auto"/>
          <w:highlight w:val="none"/>
        </w:rPr>
      </w:pPr>
    </w:p>
    <w:tbl>
      <w:tblPr>
        <w:tblStyle w:val="26"/>
        <w:tblW w:w="9238"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5"/>
        <w:gridCol w:w="1887"/>
        <w:gridCol w:w="64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875" w:type="dxa"/>
            <w:tcBorders>
              <w:left w:val="single" w:color="000000" w:sz="10" w:space="0"/>
              <w:right w:val="single" w:color="000000" w:sz="4" w:space="0"/>
            </w:tcBorders>
            <w:vAlign w:val="top"/>
          </w:tcPr>
          <w:p>
            <w:pPr>
              <w:spacing w:before="173" w:line="228" w:lineRule="auto"/>
              <w:ind w:left="116"/>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条款号</w:t>
            </w:r>
          </w:p>
        </w:tc>
        <w:tc>
          <w:tcPr>
            <w:tcW w:w="1887" w:type="dxa"/>
            <w:tcBorders>
              <w:left w:val="single" w:color="000000" w:sz="4" w:space="0"/>
              <w:right w:val="single" w:color="000000" w:sz="4" w:space="0"/>
            </w:tcBorders>
            <w:vAlign w:val="top"/>
          </w:tcPr>
          <w:p>
            <w:pPr>
              <w:spacing w:before="173" w:line="228" w:lineRule="auto"/>
              <w:ind w:left="700"/>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条款内</w:t>
            </w:r>
            <w:r>
              <w:rPr>
                <w:rFonts w:hint="eastAsia" w:ascii="宋体" w:hAnsi="宋体" w:eastAsia="宋体" w:cs="宋体"/>
                <w:color w:val="auto"/>
                <w:spacing w:val="6"/>
                <w:sz w:val="21"/>
                <w:szCs w:val="21"/>
                <w:highlight w:val="none"/>
              </w:rPr>
              <w:t>容</w:t>
            </w:r>
          </w:p>
        </w:tc>
        <w:tc>
          <w:tcPr>
            <w:tcW w:w="6476" w:type="dxa"/>
            <w:tcBorders>
              <w:left w:val="single" w:color="000000" w:sz="4" w:space="0"/>
              <w:right w:val="single" w:color="000000" w:sz="10" w:space="0"/>
            </w:tcBorders>
            <w:vAlign w:val="top"/>
          </w:tcPr>
          <w:p>
            <w:pPr>
              <w:spacing w:before="173" w:line="228" w:lineRule="auto"/>
              <w:ind w:left="2619"/>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编列内</w:t>
            </w:r>
            <w:r>
              <w:rPr>
                <w:rFonts w:hint="eastAsia" w:ascii="宋体" w:hAnsi="宋体" w:eastAsia="宋体" w:cs="宋体"/>
                <w:color w:val="auto"/>
                <w:spacing w:val="6"/>
                <w:sz w:val="21"/>
                <w:szCs w:val="21"/>
                <w:highlight w:val="none"/>
              </w:rPr>
              <w:t>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0" w:hRule="atLeast"/>
        </w:trPr>
        <w:tc>
          <w:tcPr>
            <w:tcW w:w="875" w:type="dxa"/>
            <w:tcBorders>
              <w:left w:val="single" w:color="000000" w:sz="10" w:space="0"/>
              <w:right w:val="single" w:color="000000" w:sz="4" w:space="0"/>
            </w:tcBorders>
            <w:vAlign w:val="center"/>
          </w:tcPr>
          <w:p>
            <w:pPr>
              <w:spacing w:line="243" w:lineRule="auto"/>
              <w:jc w:val="center"/>
              <w:rPr>
                <w:rFonts w:hint="eastAsia" w:ascii="宋体" w:hAnsi="宋体" w:eastAsia="宋体" w:cs="宋体"/>
                <w:color w:val="auto"/>
                <w:sz w:val="21"/>
                <w:szCs w:val="21"/>
                <w:highlight w:val="none"/>
              </w:rPr>
            </w:pPr>
          </w:p>
          <w:p>
            <w:pPr>
              <w:spacing w:line="243" w:lineRule="auto"/>
              <w:jc w:val="both"/>
              <w:rPr>
                <w:rFonts w:hint="eastAsia" w:ascii="宋体" w:hAnsi="宋体" w:eastAsia="宋体" w:cs="宋体"/>
                <w:color w:val="auto"/>
                <w:sz w:val="21"/>
                <w:szCs w:val="21"/>
                <w:highlight w:val="none"/>
              </w:rPr>
            </w:pPr>
          </w:p>
          <w:p>
            <w:pPr>
              <w:spacing w:line="243" w:lineRule="auto"/>
              <w:jc w:val="center"/>
              <w:rPr>
                <w:rFonts w:hint="eastAsia" w:ascii="宋体" w:hAnsi="宋体" w:eastAsia="宋体" w:cs="宋体"/>
                <w:color w:val="auto"/>
                <w:sz w:val="21"/>
                <w:szCs w:val="21"/>
                <w:highlight w:val="none"/>
              </w:rPr>
            </w:pPr>
          </w:p>
          <w:p>
            <w:pPr>
              <w:spacing w:line="243" w:lineRule="auto"/>
              <w:jc w:val="center"/>
              <w:rPr>
                <w:rFonts w:hint="eastAsia" w:ascii="宋体" w:hAnsi="宋体" w:eastAsia="宋体" w:cs="宋体"/>
                <w:color w:val="auto"/>
                <w:sz w:val="21"/>
                <w:szCs w:val="21"/>
                <w:highlight w:val="none"/>
              </w:rPr>
            </w:pPr>
          </w:p>
          <w:p>
            <w:pPr>
              <w:spacing w:before="58" w:line="195" w:lineRule="auto"/>
              <w:ind w:left="216"/>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4"/>
                <w:sz w:val="21"/>
                <w:szCs w:val="21"/>
                <w:highlight w:val="none"/>
              </w:rPr>
              <w:t>2.2.</w:t>
            </w:r>
            <w:r>
              <w:rPr>
                <w:rFonts w:hint="eastAsia" w:ascii="宋体" w:hAnsi="宋体" w:eastAsia="宋体" w:cs="宋体"/>
                <w:color w:val="auto"/>
                <w:spacing w:val="4"/>
                <w:sz w:val="21"/>
                <w:szCs w:val="21"/>
                <w:highlight w:val="none"/>
                <w:lang w:val="en-US" w:eastAsia="zh-CN"/>
              </w:rPr>
              <w:t>2</w:t>
            </w:r>
          </w:p>
        </w:tc>
        <w:tc>
          <w:tcPr>
            <w:tcW w:w="1887" w:type="dxa"/>
            <w:tcBorders>
              <w:left w:val="single" w:color="000000" w:sz="4" w:space="0"/>
              <w:right w:val="single" w:color="000000" w:sz="4" w:space="0"/>
            </w:tcBorders>
            <w:vAlign w:val="center"/>
          </w:tcPr>
          <w:p>
            <w:pPr>
              <w:spacing w:line="241" w:lineRule="auto"/>
              <w:jc w:val="center"/>
              <w:rPr>
                <w:rFonts w:hint="eastAsia" w:ascii="宋体" w:hAnsi="宋体" w:eastAsia="宋体" w:cs="宋体"/>
                <w:color w:val="auto"/>
                <w:sz w:val="21"/>
                <w:szCs w:val="21"/>
                <w:highlight w:val="none"/>
              </w:rPr>
            </w:pPr>
          </w:p>
          <w:p>
            <w:pPr>
              <w:spacing w:line="241" w:lineRule="auto"/>
              <w:jc w:val="center"/>
              <w:rPr>
                <w:rFonts w:hint="eastAsia" w:ascii="宋体" w:hAnsi="宋体" w:eastAsia="宋体" w:cs="宋体"/>
                <w:color w:val="auto"/>
                <w:sz w:val="21"/>
                <w:szCs w:val="21"/>
                <w:highlight w:val="none"/>
              </w:rPr>
            </w:pPr>
          </w:p>
          <w:p>
            <w:pPr>
              <w:spacing w:line="241" w:lineRule="auto"/>
              <w:jc w:val="center"/>
              <w:rPr>
                <w:rFonts w:hint="eastAsia" w:ascii="宋体" w:hAnsi="宋体" w:eastAsia="宋体" w:cs="宋体"/>
                <w:color w:val="auto"/>
                <w:sz w:val="21"/>
                <w:szCs w:val="21"/>
                <w:highlight w:val="none"/>
              </w:rPr>
            </w:pPr>
          </w:p>
          <w:p>
            <w:pPr>
              <w:spacing w:line="241" w:lineRule="auto"/>
              <w:jc w:val="center"/>
              <w:rPr>
                <w:rFonts w:hint="eastAsia" w:ascii="宋体" w:hAnsi="宋体" w:eastAsia="宋体" w:cs="宋体"/>
                <w:color w:val="auto"/>
                <w:sz w:val="21"/>
                <w:szCs w:val="21"/>
                <w:highlight w:val="none"/>
              </w:rPr>
            </w:pPr>
          </w:p>
          <w:p>
            <w:pPr>
              <w:spacing w:before="65" w:line="227"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评标基准价计算方法</w:t>
            </w:r>
          </w:p>
        </w:tc>
        <w:tc>
          <w:tcPr>
            <w:tcW w:w="6476" w:type="dxa"/>
            <w:tcBorders>
              <w:left w:val="single" w:color="000000" w:sz="4" w:space="0"/>
              <w:right w:val="single" w:color="000000" w:sz="10" w:space="0"/>
            </w:tcBorders>
            <w:vAlign w:val="top"/>
          </w:tcPr>
          <w:p>
            <w:pPr>
              <w:keepNext w:val="0"/>
              <w:keepLines w:val="0"/>
              <w:pageBreakBefore w:val="0"/>
              <w:widowControl/>
              <w:kinsoku/>
              <w:wordWrap/>
              <w:overflowPunct/>
              <w:topLinePunct w:val="0"/>
              <w:autoSpaceDE w:val="0"/>
              <w:autoSpaceDN w:val="0"/>
              <w:bidi w:val="0"/>
              <w:adjustRightInd w:val="0"/>
              <w:snapToGrid w:val="0"/>
              <w:spacing w:line="360" w:lineRule="auto"/>
              <w:ind w:left="3" w:firstLine="45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评标基准价的计算</w:t>
            </w:r>
            <w:r>
              <w:rPr>
                <w:rFonts w:hint="eastAsia" w:ascii="宋体" w:hAnsi="宋体" w:eastAsia="宋体" w:cs="宋体"/>
                <w:color w:val="auto"/>
                <w:spacing w:val="6"/>
                <w:sz w:val="21"/>
                <w:szCs w:val="21"/>
                <w:highlight w:val="none"/>
              </w:rPr>
              <w:t>：</w:t>
            </w:r>
          </w:p>
          <w:p>
            <w:pPr>
              <w:keepNext w:val="0"/>
              <w:keepLines w:val="0"/>
              <w:pageBreakBefore w:val="0"/>
              <w:widowControl/>
              <w:kinsoku/>
              <w:wordWrap/>
              <w:overflowPunct/>
              <w:topLinePunct w:val="0"/>
              <w:autoSpaceDE w:val="0"/>
              <w:autoSpaceDN w:val="0"/>
              <w:bidi w:val="0"/>
              <w:adjustRightInd w:val="0"/>
              <w:snapToGrid w:val="0"/>
              <w:spacing w:line="360" w:lineRule="auto"/>
              <w:ind w:firstLine="48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评标</w:t>
            </w:r>
            <w:r>
              <w:rPr>
                <w:rFonts w:hint="eastAsia" w:ascii="宋体" w:hAnsi="宋体" w:eastAsia="宋体" w:cs="宋体"/>
                <w:color w:val="auto"/>
                <w:spacing w:val="13"/>
                <w:sz w:val="21"/>
                <w:szCs w:val="21"/>
                <w:highlight w:val="none"/>
              </w:rPr>
              <w:t>基</w:t>
            </w:r>
            <w:r>
              <w:rPr>
                <w:rFonts w:hint="eastAsia" w:ascii="宋体" w:hAnsi="宋体" w:eastAsia="宋体" w:cs="宋体"/>
                <w:color w:val="auto"/>
                <w:spacing w:val="8"/>
                <w:sz w:val="21"/>
                <w:szCs w:val="21"/>
                <w:highlight w:val="none"/>
              </w:rPr>
              <w:t>准价由评标委员会计算、复核并签字确认。除计算差错</w:t>
            </w:r>
            <w:r>
              <w:rPr>
                <w:rFonts w:hint="eastAsia" w:ascii="宋体" w:hAnsi="宋体" w:eastAsia="宋体" w:cs="宋体"/>
                <w:color w:val="auto"/>
                <w:spacing w:val="16"/>
                <w:sz w:val="21"/>
                <w:szCs w:val="21"/>
                <w:highlight w:val="none"/>
              </w:rPr>
              <w:t>外，</w:t>
            </w:r>
            <w:r>
              <w:rPr>
                <w:rFonts w:hint="eastAsia" w:ascii="宋体" w:hAnsi="宋体" w:eastAsia="宋体" w:cs="宋体"/>
                <w:color w:val="auto"/>
                <w:spacing w:val="12"/>
                <w:sz w:val="21"/>
                <w:szCs w:val="21"/>
                <w:highlight w:val="none"/>
              </w:rPr>
              <w:t>确</w:t>
            </w:r>
            <w:r>
              <w:rPr>
                <w:rFonts w:hint="eastAsia" w:ascii="宋体" w:hAnsi="宋体" w:eastAsia="宋体" w:cs="宋体"/>
                <w:color w:val="auto"/>
                <w:spacing w:val="8"/>
                <w:sz w:val="21"/>
                <w:szCs w:val="21"/>
                <w:highlight w:val="none"/>
              </w:rPr>
              <w:t>认后的评标基准价在本次招标期间保持不变。计算差错，仅</w:t>
            </w:r>
            <w:r>
              <w:rPr>
                <w:rFonts w:hint="eastAsia" w:ascii="宋体" w:hAnsi="宋体" w:eastAsia="宋体" w:cs="宋体"/>
                <w:color w:val="auto"/>
                <w:spacing w:val="2"/>
                <w:sz w:val="21"/>
                <w:szCs w:val="21"/>
                <w:highlight w:val="none"/>
              </w:rPr>
              <w:t>限于以下两种情况：</w:t>
            </w:r>
            <w:r>
              <w:rPr>
                <w:rFonts w:hint="eastAsia" w:ascii="宋体" w:hAnsi="宋体" w:eastAsia="宋体" w:cs="宋体"/>
                <w:color w:val="auto"/>
                <w:spacing w:val="1"/>
                <w:sz w:val="21"/>
                <w:szCs w:val="21"/>
                <w:highlight w:val="none"/>
              </w:rPr>
              <w:t>(1) 纯算术性四则运算差错；(2) 未按约定</w:t>
            </w:r>
            <w:r>
              <w:rPr>
                <w:rFonts w:hint="eastAsia" w:ascii="宋体" w:hAnsi="宋体" w:eastAsia="宋体" w:cs="宋体"/>
                <w:color w:val="auto"/>
                <w:spacing w:val="8"/>
                <w:sz w:val="21"/>
                <w:szCs w:val="21"/>
                <w:highlight w:val="none"/>
              </w:rPr>
              <w:t>的计算方法</w:t>
            </w:r>
            <w:r>
              <w:rPr>
                <w:rFonts w:hint="eastAsia" w:ascii="宋体" w:hAnsi="宋体" w:eastAsia="宋体" w:cs="宋体"/>
                <w:color w:val="auto"/>
                <w:spacing w:val="6"/>
                <w:sz w:val="21"/>
                <w:szCs w:val="21"/>
                <w:highlight w:val="none"/>
              </w:rPr>
              <w:t>，</w:t>
            </w:r>
            <w:r>
              <w:rPr>
                <w:rFonts w:hint="eastAsia" w:ascii="宋体" w:hAnsi="宋体" w:eastAsia="宋体" w:cs="宋体"/>
                <w:color w:val="auto"/>
                <w:spacing w:val="4"/>
                <w:sz w:val="21"/>
                <w:szCs w:val="21"/>
                <w:highlight w:val="none"/>
              </w:rPr>
              <w:t>多计或少计投标人报价。由于评标差错，导致否决投</w:t>
            </w:r>
            <w:r>
              <w:rPr>
                <w:rFonts w:hint="eastAsia" w:ascii="宋体" w:hAnsi="宋体" w:eastAsia="宋体" w:cs="宋体"/>
                <w:color w:val="auto"/>
                <w:spacing w:val="12"/>
                <w:sz w:val="21"/>
                <w:szCs w:val="21"/>
                <w:highlight w:val="none"/>
              </w:rPr>
              <w:t>标</w:t>
            </w:r>
            <w:r>
              <w:rPr>
                <w:rFonts w:hint="eastAsia" w:ascii="宋体" w:hAnsi="宋体" w:eastAsia="宋体" w:cs="宋体"/>
                <w:color w:val="auto"/>
                <w:spacing w:val="9"/>
                <w:sz w:val="21"/>
                <w:szCs w:val="21"/>
                <w:highlight w:val="none"/>
              </w:rPr>
              <w:t>错误，重新评标纠正等其他情况，不属于计算差错。</w:t>
            </w:r>
          </w:p>
          <w:p>
            <w:pPr>
              <w:keepNext w:val="0"/>
              <w:keepLines w:val="0"/>
              <w:pageBreakBefore w:val="0"/>
              <w:widowControl/>
              <w:kinsoku/>
              <w:wordWrap/>
              <w:overflowPunct/>
              <w:topLinePunct w:val="0"/>
              <w:autoSpaceDE w:val="0"/>
              <w:autoSpaceDN w:val="0"/>
              <w:bidi w:val="0"/>
              <w:adjustRightInd w:val="0"/>
              <w:snapToGrid w:val="0"/>
              <w:spacing w:line="360" w:lineRule="auto"/>
              <w:ind w:firstLine="44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position w:val="2"/>
                <w:sz w:val="21"/>
                <w:szCs w:val="21"/>
                <w:highlight w:val="none"/>
              </w:rPr>
              <w:t>(1)评标价的确定：</w:t>
            </w:r>
          </w:p>
          <w:p>
            <w:pPr>
              <w:keepNext w:val="0"/>
              <w:keepLines w:val="0"/>
              <w:pageBreakBefore w:val="0"/>
              <w:widowControl/>
              <w:kinsoku/>
              <w:wordWrap/>
              <w:overflowPunct/>
              <w:topLinePunct w:val="0"/>
              <w:autoSpaceDE w:val="0"/>
              <w:autoSpaceDN w:val="0"/>
              <w:bidi w:val="0"/>
              <w:adjustRightInd w:val="0"/>
              <w:snapToGrid w:val="0"/>
              <w:spacing w:line="360" w:lineRule="auto"/>
              <w:ind w:firstLine="45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position w:val="12"/>
                <w:sz w:val="21"/>
                <w:szCs w:val="21"/>
                <w:highlight w:val="none"/>
              </w:rPr>
              <w:t>评标价=投标函的文字报</w:t>
            </w:r>
            <w:r>
              <w:rPr>
                <w:rFonts w:hint="eastAsia" w:ascii="宋体" w:hAnsi="宋体" w:eastAsia="宋体" w:cs="宋体"/>
                <w:color w:val="auto"/>
                <w:spacing w:val="7"/>
                <w:position w:val="12"/>
                <w:sz w:val="21"/>
                <w:szCs w:val="21"/>
                <w:highlight w:val="none"/>
              </w:rPr>
              <w:t>价</w:t>
            </w:r>
          </w:p>
          <w:p>
            <w:pPr>
              <w:keepNext w:val="0"/>
              <w:keepLines w:val="0"/>
              <w:pageBreakBefore w:val="0"/>
              <w:widowControl/>
              <w:kinsoku/>
              <w:wordWrap/>
              <w:overflowPunct/>
              <w:topLinePunct w:val="0"/>
              <w:autoSpaceDE w:val="0"/>
              <w:autoSpaceDN w:val="0"/>
              <w:bidi w:val="0"/>
              <w:adjustRightInd w:val="0"/>
              <w:snapToGrid w:val="0"/>
              <w:spacing w:line="360" w:lineRule="auto"/>
              <w:ind w:firstLine="47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4"/>
                <w:position w:val="2"/>
                <w:sz w:val="21"/>
                <w:szCs w:val="21"/>
                <w:highlight w:val="none"/>
              </w:rPr>
              <w:t>(</w:t>
            </w:r>
            <w:r>
              <w:rPr>
                <w:rFonts w:hint="eastAsia" w:ascii="宋体" w:hAnsi="宋体" w:eastAsia="宋体" w:cs="宋体"/>
                <w:color w:val="auto"/>
                <w:spacing w:val="7"/>
                <w:position w:val="2"/>
                <w:sz w:val="21"/>
                <w:szCs w:val="21"/>
                <w:highlight w:val="none"/>
              </w:rPr>
              <w:t>2)评标基准价按以下公式计算</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position w:val="14"/>
                <w:sz w:val="21"/>
                <w:szCs w:val="21"/>
                <w:highlight w:val="none"/>
              </w:rPr>
              <w:t>C</w:t>
            </w:r>
            <w:r>
              <w:rPr>
                <w:rFonts w:hint="eastAsia" w:ascii="宋体" w:hAnsi="宋体" w:eastAsia="宋体" w:cs="宋体"/>
                <w:color w:val="auto"/>
                <w:spacing w:val="22"/>
                <w:position w:val="14"/>
                <w:sz w:val="21"/>
                <w:szCs w:val="21"/>
                <w:highlight w:val="none"/>
              </w:rPr>
              <w:t>=</w:t>
            </w:r>
            <w:r>
              <w:rPr>
                <w:rFonts w:hint="eastAsia" w:ascii="宋体" w:hAnsi="宋体" w:eastAsia="宋体" w:cs="宋体"/>
                <w:color w:val="auto"/>
                <w:spacing w:val="22"/>
                <w:position w:val="14"/>
                <w:sz w:val="21"/>
                <w:szCs w:val="21"/>
                <w:highlight w:val="none"/>
                <w:lang w:val="en-US" w:eastAsia="zh-CN"/>
              </w:rPr>
              <w:t xml:space="preserve"> </w:t>
            </w:r>
            <w:r>
              <w:rPr>
                <w:rFonts w:hint="eastAsia" w:ascii="宋体" w:hAnsi="宋体" w:eastAsia="宋体" w:cs="宋体"/>
                <w:color w:val="auto"/>
                <w:spacing w:val="11"/>
                <w:position w:val="14"/>
                <w:sz w:val="21"/>
                <w:szCs w:val="21"/>
                <w:highlight w:val="none"/>
              </w:rPr>
              <w:t>(</w:t>
            </w:r>
            <w:r>
              <w:rPr>
                <w:rFonts w:hint="eastAsia" w:ascii="宋体" w:hAnsi="宋体" w:eastAsia="宋体" w:cs="宋体"/>
                <w:color w:val="auto"/>
                <w:position w:val="14"/>
                <w:sz w:val="21"/>
                <w:szCs w:val="21"/>
                <w:highlight w:val="none"/>
              </w:rPr>
              <w:t>A</w:t>
            </w:r>
            <w:r>
              <w:rPr>
                <w:rFonts w:hint="eastAsia" w:ascii="宋体" w:hAnsi="宋体" w:eastAsia="宋体" w:cs="宋体"/>
                <w:color w:val="auto"/>
                <w:spacing w:val="11"/>
                <w:position w:val="14"/>
                <w:sz w:val="21"/>
                <w:szCs w:val="21"/>
                <w:highlight w:val="none"/>
              </w:rPr>
              <w:t>×</w:t>
            </w:r>
            <w:r>
              <w:rPr>
                <w:rFonts w:hint="eastAsia" w:ascii="宋体" w:hAnsi="宋体" w:eastAsia="宋体" w:cs="宋体"/>
                <w:color w:val="auto"/>
                <w:position w:val="14"/>
                <w:sz w:val="21"/>
                <w:szCs w:val="21"/>
                <w:highlight w:val="none"/>
              </w:rPr>
              <w:t>K</w:t>
            </w:r>
            <w:r>
              <w:rPr>
                <w:rFonts w:hint="eastAsia" w:ascii="宋体" w:hAnsi="宋体" w:eastAsia="宋体" w:cs="宋体"/>
                <w:color w:val="auto"/>
                <w:spacing w:val="11"/>
                <w:position w:val="14"/>
                <w:sz w:val="21"/>
                <w:szCs w:val="21"/>
                <w:highlight w:val="none"/>
              </w:rPr>
              <w:t>+</w:t>
            </w:r>
            <w:r>
              <w:rPr>
                <w:rFonts w:hint="eastAsia" w:ascii="宋体" w:hAnsi="宋体" w:eastAsia="宋体" w:cs="宋体"/>
                <w:color w:val="auto"/>
                <w:position w:val="14"/>
                <w:sz w:val="21"/>
                <w:szCs w:val="21"/>
                <w:highlight w:val="none"/>
              </w:rPr>
              <w:t>B</w:t>
            </w:r>
            <w:r>
              <w:rPr>
                <w:rFonts w:hint="eastAsia" w:ascii="宋体" w:hAnsi="宋体" w:eastAsia="宋体" w:cs="宋体"/>
                <w:color w:val="auto"/>
                <w:spacing w:val="11"/>
                <w:position w:val="14"/>
                <w:sz w:val="21"/>
                <w:szCs w:val="21"/>
                <w:highlight w:val="none"/>
              </w:rPr>
              <w:t>×(1-</w:t>
            </w:r>
            <w:r>
              <w:rPr>
                <w:rFonts w:hint="eastAsia" w:ascii="宋体" w:hAnsi="宋体" w:eastAsia="宋体" w:cs="宋体"/>
                <w:color w:val="auto"/>
                <w:position w:val="14"/>
                <w:sz w:val="21"/>
                <w:szCs w:val="21"/>
                <w:highlight w:val="none"/>
              </w:rPr>
              <w:t>K</w:t>
            </w:r>
            <w:r>
              <w:rPr>
                <w:rFonts w:hint="eastAsia" w:ascii="宋体" w:hAnsi="宋体" w:eastAsia="宋体" w:cs="宋体"/>
                <w:color w:val="auto"/>
                <w:spacing w:val="11"/>
                <w:position w:val="14"/>
                <w:sz w:val="21"/>
                <w:szCs w:val="21"/>
                <w:highlight w:val="none"/>
              </w:rPr>
              <w:t>))(100-</w:t>
            </w:r>
            <w:r>
              <w:rPr>
                <w:rFonts w:hint="eastAsia" w:ascii="宋体" w:hAnsi="宋体" w:eastAsia="宋体" w:cs="宋体"/>
                <w:color w:val="auto"/>
                <w:position w:val="14"/>
                <w:sz w:val="21"/>
                <w:szCs w:val="21"/>
                <w:highlight w:val="none"/>
              </w:rPr>
              <w:t>i</w:t>
            </w:r>
            <w:r>
              <w:rPr>
                <w:rFonts w:hint="eastAsia" w:ascii="宋体" w:hAnsi="宋体" w:eastAsia="宋体" w:cs="宋体"/>
                <w:color w:val="auto"/>
                <w:spacing w:val="11"/>
                <w:position w:val="14"/>
                <w:sz w:val="21"/>
                <w:szCs w:val="21"/>
                <w:highlight w:val="none"/>
              </w:rPr>
              <w:t>)</w:t>
            </w:r>
            <w:r>
              <w:rPr>
                <w:rFonts w:hint="eastAsia" w:ascii="宋体" w:hAnsi="宋体" w:eastAsia="宋体" w:cs="宋体"/>
                <w:color w:val="auto"/>
                <w:spacing w:val="11"/>
                <w:position w:val="14"/>
                <w:sz w:val="21"/>
                <w:szCs w:val="21"/>
                <w:highlight w:val="none"/>
                <w:lang w:val="en-US" w:eastAsia="zh-CN"/>
              </w:rPr>
              <w:t>/</w:t>
            </w:r>
            <w:r>
              <w:rPr>
                <w:rFonts w:hint="eastAsia" w:ascii="宋体" w:hAnsi="宋体" w:eastAsia="宋体" w:cs="宋体"/>
                <w:color w:val="auto"/>
                <w:spacing w:val="11"/>
                <w:position w:val="14"/>
                <w:sz w:val="21"/>
                <w:szCs w:val="21"/>
                <w:highlight w:val="none"/>
              </w:rPr>
              <w:t>100</w:t>
            </w:r>
          </w:p>
          <w:p>
            <w:pPr>
              <w:keepNext w:val="0"/>
              <w:keepLines w:val="0"/>
              <w:pageBreakBefore w:val="0"/>
              <w:widowControl/>
              <w:kinsoku/>
              <w:wordWrap/>
              <w:overflowPunct/>
              <w:topLinePunct w:val="0"/>
              <w:autoSpaceDE w:val="0"/>
              <w:autoSpaceDN w:val="0"/>
              <w:bidi w:val="0"/>
              <w:adjustRightInd w:val="0"/>
              <w:snapToGrid w:val="0"/>
              <w:spacing w:line="360" w:lineRule="auto"/>
              <w:ind w:firstLine="388"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式</w:t>
            </w:r>
            <w:r>
              <w:rPr>
                <w:rFonts w:hint="eastAsia" w:ascii="宋体" w:hAnsi="宋体" w:eastAsia="宋体" w:cs="宋体"/>
                <w:color w:val="auto"/>
                <w:spacing w:val="-6"/>
                <w:sz w:val="21"/>
                <w:szCs w:val="21"/>
                <w:highlight w:val="none"/>
              </w:rPr>
              <w:t>中：</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w:t>
            </w:r>
            <w:r>
              <w:rPr>
                <w:rFonts w:hint="eastAsia" w:ascii="宋体" w:hAnsi="宋体" w:eastAsia="宋体" w:cs="宋体"/>
                <w:color w:val="auto"/>
                <w:spacing w:val="8"/>
                <w:sz w:val="21"/>
                <w:szCs w:val="21"/>
                <w:highlight w:val="none"/>
              </w:rPr>
              <w:t>为评标基准价</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 为招标人的最高投标限价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pacing w:val="24"/>
                <w:sz w:val="21"/>
                <w:szCs w:val="21"/>
                <w:highlight w:val="none"/>
              </w:rPr>
              <w:t>最</w:t>
            </w:r>
            <w:r>
              <w:rPr>
                <w:rFonts w:hint="eastAsia" w:ascii="宋体" w:hAnsi="宋体" w:eastAsia="宋体" w:cs="宋体"/>
                <w:color w:val="auto"/>
                <w:spacing w:val="17"/>
                <w:sz w:val="21"/>
                <w:szCs w:val="21"/>
                <w:highlight w:val="none"/>
              </w:rPr>
              <w:t>高投标限价</w:t>
            </w:r>
            <w:r>
              <w:rPr>
                <w:rFonts w:hint="eastAsia" w:ascii="宋体" w:hAnsi="宋体" w:cs="宋体"/>
                <w:color w:val="auto"/>
                <w:spacing w:val="17"/>
                <w:sz w:val="21"/>
                <w:szCs w:val="21"/>
                <w:highlight w:val="none"/>
                <w:lang w:val="en-US" w:eastAsia="zh-CN"/>
              </w:rPr>
              <w:t>=（招标人报审计中心备案</w:t>
            </w:r>
            <w:r>
              <w:rPr>
                <w:rFonts w:hint="eastAsia" w:ascii="宋体" w:hAnsi="宋体" w:eastAsia="宋体" w:cs="宋体"/>
                <w:color w:val="auto"/>
                <w:spacing w:val="17"/>
                <w:sz w:val="21"/>
                <w:szCs w:val="21"/>
                <w:highlight w:val="none"/>
              </w:rPr>
              <w:t>后</w:t>
            </w:r>
            <w:r>
              <w:rPr>
                <w:rFonts w:hint="eastAsia" w:ascii="宋体" w:hAnsi="宋体" w:eastAsia="宋体" w:cs="宋体"/>
                <w:color w:val="auto"/>
                <w:spacing w:val="9"/>
                <w:sz w:val="21"/>
                <w:szCs w:val="21"/>
                <w:highlight w:val="none"/>
              </w:rPr>
              <w:t>的工程量清单预算</w:t>
            </w:r>
            <w:r>
              <w:rPr>
                <w:rFonts w:hint="eastAsia" w:ascii="宋体" w:hAnsi="宋体" w:cs="宋体"/>
                <w:color w:val="auto"/>
                <w:spacing w:val="9"/>
                <w:sz w:val="21"/>
                <w:szCs w:val="21"/>
                <w:highlight w:val="none"/>
                <w:lang w:val="en-US" w:eastAsia="zh-CN"/>
              </w:rPr>
              <w:t>-不下浮部分）*</w:t>
            </w:r>
            <w:r>
              <w:rPr>
                <w:rFonts w:hint="eastAsia" w:ascii="宋体" w:hAnsi="宋体" w:eastAsia="宋体" w:cs="宋体"/>
                <w:color w:val="auto"/>
                <w:spacing w:val="9"/>
                <w:sz w:val="21"/>
                <w:szCs w:val="21"/>
                <w:highlight w:val="none"/>
              </w:rPr>
              <w:t>调</w:t>
            </w:r>
            <w:r>
              <w:rPr>
                <w:rFonts w:hint="eastAsia" w:ascii="宋体" w:hAnsi="宋体" w:eastAsia="宋体" w:cs="宋体"/>
                <w:color w:val="auto"/>
                <w:spacing w:val="5"/>
                <w:sz w:val="21"/>
                <w:szCs w:val="21"/>
                <w:highlight w:val="none"/>
              </w:rPr>
              <w:t>整系数</w:t>
            </w:r>
            <w:r>
              <w:rPr>
                <w:rFonts w:hint="eastAsia" w:ascii="宋体" w:hAnsi="宋体" w:cs="宋体"/>
                <w:color w:val="auto"/>
                <w:spacing w:val="5"/>
                <w:sz w:val="21"/>
                <w:szCs w:val="21"/>
                <w:highlight w:val="none"/>
                <w:lang w:val="en-US" w:eastAsia="zh-CN"/>
              </w:rPr>
              <w:t>+不下浮部分</w:t>
            </w:r>
            <w:r>
              <w:rPr>
                <w:rFonts w:hint="eastAsia" w:ascii="宋体" w:hAnsi="宋体" w:eastAsia="宋体" w:cs="宋体"/>
                <w:color w:val="auto"/>
                <w:sz w:val="21"/>
                <w:szCs w:val="21"/>
                <w:highlight w:val="none"/>
              </w:rPr>
              <w:t>。三个连续值(0.94、0.95、0.96 )，开标时随机抽取其中一值为调整系数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A=（175760508-8560024）*调整系数+8560024</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K</w:t>
            </w:r>
            <w:r>
              <w:rPr>
                <w:rFonts w:hint="eastAsia" w:ascii="宋体" w:hAnsi="宋体" w:eastAsia="宋体" w:cs="宋体"/>
                <w:color w:val="auto"/>
                <w:spacing w:val="4"/>
                <w:sz w:val="21"/>
                <w:szCs w:val="21"/>
                <w:highlight w:val="none"/>
              </w:rPr>
              <w:t xml:space="preserve"> 为复合系数(开标时从 0.30、0.35、0.40三值中随机抽取</w:t>
            </w:r>
            <w:r>
              <w:rPr>
                <w:rFonts w:hint="eastAsia" w:ascii="宋体" w:hAnsi="宋体" w:eastAsia="宋体" w:cs="宋体"/>
                <w:color w:val="auto"/>
                <w:spacing w:val="1"/>
                <w:sz w:val="21"/>
                <w:szCs w:val="21"/>
                <w:highlight w:val="none"/>
              </w:rPr>
              <w:t>一</w:t>
            </w:r>
            <w:r>
              <w:rPr>
                <w:rFonts w:hint="eastAsia" w:ascii="宋体" w:hAnsi="宋体" w:eastAsia="宋体" w:cs="宋体"/>
                <w:color w:val="auto"/>
                <w:spacing w:val="8"/>
                <w:sz w:val="21"/>
                <w:szCs w:val="21"/>
                <w:highlight w:val="none"/>
              </w:rPr>
              <w:t>个</w:t>
            </w:r>
            <w:r>
              <w:rPr>
                <w:rFonts w:hint="eastAsia" w:ascii="宋体" w:hAnsi="宋体" w:eastAsia="宋体" w:cs="宋体"/>
                <w:color w:val="auto"/>
                <w:spacing w:val="7"/>
                <w:sz w:val="21"/>
                <w:szCs w:val="21"/>
                <w:highlight w:val="none"/>
              </w:rPr>
              <w:t>值</w:t>
            </w:r>
            <w:r>
              <w:rPr>
                <w:rFonts w:hint="eastAsia" w:ascii="宋体" w:hAnsi="宋体" w:eastAsia="宋体" w:cs="宋体"/>
                <w:color w:val="auto"/>
                <w:spacing w:val="4"/>
                <w:sz w:val="21"/>
                <w:szCs w:val="21"/>
                <w:highlight w:val="none"/>
              </w:rPr>
              <w:t>)；</w:t>
            </w:r>
            <w:r>
              <w:rPr>
                <w:rFonts w:hint="eastAsia" w:ascii="宋体" w:hAnsi="宋体" w:eastAsia="宋体" w:cs="宋体"/>
                <w:color w:val="auto"/>
                <w:sz w:val="21"/>
                <w:szCs w:val="21"/>
                <w:highlight w:val="none"/>
              </w:rPr>
              <w:t>i</w:t>
            </w:r>
            <w:r>
              <w:rPr>
                <w:rFonts w:hint="eastAsia" w:ascii="宋体" w:hAnsi="宋体" w:eastAsia="宋体" w:cs="宋体"/>
                <w:color w:val="auto"/>
                <w:spacing w:val="4"/>
                <w:sz w:val="21"/>
                <w:szCs w:val="21"/>
                <w:highlight w:val="none"/>
              </w:rPr>
              <w:t xml:space="preserve"> 为下浮系数 (开标时从</w:t>
            </w:r>
            <w:r>
              <w:rPr>
                <w:rFonts w:hint="eastAsia" w:ascii="宋体" w:hAnsi="宋体" w:eastAsia="宋体" w:cs="宋体"/>
                <w:color w:val="auto"/>
                <w:spacing w:val="4"/>
                <w:sz w:val="21"/>
                <w:szCs w:val="21"/>
                <w:highlight w:val="none"/>
                <w:lang w:val="en-US" w:eastAsia="zh-CN"/>
              </w:rPr>
              <w:t>2</w:t>
            </w:r>
            <w:r>
              <w:rPr>
                <w:rFonts w:hint="eastAsia"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val="en-US" w:eastAsia="zh-CN"/>
              </w:rPr>
              <w:t>2.5、3</w:t>
            </w:r>
            <w:r>
              <w:rPr>
                <w:rFonts w:hint="eastAsia" w:ascii="宋体" w:hAnsi="宋体" w:eastAsia="宋体" w:cs="宋体"/>
                <w:color w:val="auto"/>
                <w:spacing w:val="4"/>
                <w:sz w:val="21"/>
                <w:szCs w:val="21"/>
                <w:highlight w:val="none"/>
              </w:rPr>
              <w:t>三个连续值中随机抽</w:t>
            </w:r>
            <w:r>
              <w:rPr>
                <w:rFonts w:hint="eastAsia" w:ascii="宋体" w:hAnsi="宋体" w:eastAsia="宋体" w:cs="宋体"/>
                <w:color w:val="auto"/>
                <w:spacing w:val="20"/>
                <w:sz w:val="21"/>
                <w:szCs w:val="21"/>
                <w:highlight w:val="none"/>
              </w:rPr>
              <w:t>取</w:t>
            </w:r>
            <w:r>
              <w:rPr>
                <w:rFonts w:hint="eastAsia" w:ascii="宋体" w:hAnsi="宋体" w:eastAsia="宋体" w:cs="宋体"/>
                <w:color w:val="auto"/>
                <w:spacing w:val="19"/>
                <w:sz w:val="21"/>
                <w:szCs w:val="21"/>
                <w:highlight w:val="none"/>
              </w:rPr>
              <w:t>一个值)。</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32" w:firstLineChars="200"/>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spacing w:val="8"/>
                <w:sz w:val="20"/>
                <w:szCs w:val="20"/>
                <w:highlight w:val="none"/>
              </w:rPr>
              <w:t>B 值</w:t>
            </w:r>
            <w:r>
              <w:rPr>
                <w:rFonts w:hint="eastAsia" w:ascii="宋体" w:hAnsi="宋体" w:eastAsia="宋体" w:cs="宋体"/>
                <w:color w:val="auto"/>
                <w:spacing w:val="8"/>
                <w:sz w:val="20"/>
                <w:szCs w:val="20"/>
                <w:highlight w:val="none"/>
                <w:lang w:eastAsia="zh-CN"/>
              </w:rPr>
              <w:t>：</w:t>
            </w:r>
            <w:r>
              <w:rPr>
                <w:rFonts w:hint="eastAsia" w:ascii="宋体" w:hAnsi="宋体" w:eastAsia="宋体" w:cs="宋体"/>
                <w:color w:val="auto"/>
                <w:spacing w:val="8"/>
                <w:sz w:val="20"/>
                <w:szCs w:val="20"/>
                <w:highlight w:val="none"/>
                <w:lang w:val="en-US" w:eastAsia="zh-CN"/>
              </w:rPr>
              <w:t>开标时在下述两种方案中随机抽取：</w:t>
            </w:r>
          </w:p>
          <w:p>
            <w:pPr>
              <w:keepNext w:val="0"/>
              <w:keepLines w:val="0"/>
              <w:pageBreakBefore w:val="0"/>
              <w:widowControl/>
              <w:numPr>
                <w:ilvl w:val="0"/>
                <w:numId w:val="7"/>
              </w:numPr>
              <w:kinsoku/>
              <w:wordWrap/>
              <w:overflowPunct/>
              <w:topLinePunct w:val="0"/>
              <w:autoSpaceDE w:val="0"/>
              <w:autoSpaceDN w:val="0"/>
              <w:bidi w:val="0"/>
              <w:adjustRightInd w:val="0"/>
              <w:snapToGrid w:val="0"/>
              <w:spacing w:line="360" w:lineRule="auto"/>
              <w:ind w:left="0" w:right="0" w:firstLine="432" w:firstLineChars="200"/>
              <w:textAlignment w:val="baseline"/>
              <w:rPr>
                <w:rFonts w:hint="eastAsia" w:ascii="宋体" w:hAnsi="宋体" w:eastAsia="宋体" w:cs="宋体"/>
                <w:color w:val="auto"/>
                <w:spacing w:val="8"/>
                <w:sz w:val="20"/>
                <w:szCs w:val="20"/>
                <w:highlight w:val="none"/>
                <w:lang w:val="en-US" w:eastAsia="zh-CN"/>
              </w:rPr>
            </w:pPr>
            <w:r>
              <w:rPr>
                <w:rFonts w:hint="eastAsia" w:ascii="宋体" w:hAnsi="宋体" w:eastAsia="宋体" w:cs="宋体"/>
                <w:color w:val="auto"/>
                <w:spacing w:val="8"/>
                <w:sz w:val="20"/>
                <w:szCs w:val="20"/>
                <w:highlight w:val="none"/>
                <w:lang w:val="en-US" w:eastAsia="zh-CN"/>
              </w:rPr>
              <w:t>B值计算方案一</w:t>
            </w:r>
          </w:p>
          <w:p>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400" w:firstLineChars="200"/>
              <w:jc w:val="left"/>
              <w:textAlignment w:val="baseline"/>
              <w:rPr>
                <w:rFonts w:hint="eastAsia" w:ascii="宋体" w:hAnsi="宋体" w:eastAsia="宋体" w:cs="宋体"/>
                <w:color w:val="auto"/>
                <w:spacing w:val="8"/>
                <w:sz w:val="20"/>
                <w:szCs w:val="20"/>
                <w:highlight w:val="none"/>
              </w:rPr>
            </w:pPr>
            <w:r>
              <w:rPr>
                <w:rFonts w:hint="eastAsia" w:ascii="宋体" w:hAnsi="宋体" w:eastAsia="宋体" w:cs="宋体"/>
                <w:snapToGrid w:val="0"/>
                <w:color w:val="auto"/>
                <w:kern w:val="0"/>
                <w:sz w:val="20"/>
                <w:szCs w:val="20"/>
                <w:highlight w:val="none"/>
                <w:lang w:val="en-US" w:eastAsia="zh-CN" w:bidi="ar"/>
              </w:rPr>
              <w:t>所有通过第一个信封评审及第二个信封初步评审的投标人评标价，根据下述区段计算区段平均值（区段内各投标人评标段的算术平均值），再将计算得出的区段平均值进行加权平均，得出的投标人评标价二次平均值即为 B 值。</w:t>
            </w:r>
          </w:p>
          <w:tbl>
            <w:tblPr>
              <w:tblStyle w:val="19"/>
              <w:tblW w:w="61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0"/>
              <w:gridCol w:w="1561"/>
              <w:gridCol w:w="1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2950" w:type="dxa"/>
                  <w:vAlign w:val="center"/>
                </w:tcPr>
                <w:p>
                  <w:pPr>
                    <w:pStyle w:val="5"/>
                    <w:jc w:val="center"/>
                    <w:rPr>
                      <w:rFonts w:hint="eastAsia" w:ascii="宋体" w:hAnsi="宋体" w:eastAsia="宋体" w:cs="宋体"/>
                      <w:color w:val="auto"/>
                      <w:spacing w:val="8"/>
                      <w:sz w:val="20"/>
                      <w:szCs w:val="20"/>
                      <w:highlight w:val="none"/>
                      <w:vertAlign w:val="baseline"/>
                      <w:lang w:val="en-US" w:eastAsia="zh-CN"/>
                    </w:rPr>
                  </w:pPr>
                  <w:r>
                    <w:rPr>
                      <w:rFonts w:hint="eastAsia" w:ascii="宋体" w:hAnsi="宋体" w:eastAsia="宋体" w:cs="宋体"/>
                      <w:color w:val="auto"/>
                      <w:spacing w:val="8"/>
                      <w:sz w:val="20"/>
                      <w:szCs w:val="20"/>
                      <w:highlight w:val="none"/>
                      <w:vertAlign w:val="baseline"/>
                      <w:lang w:val="en-US" w:eastAsia="zh-CN"/>
                    </w:rPr>
                    <w:t>区段</w:t>
                  </w:r>
                </w:p>
              </w:tc>
              <w:tc>
                <w:tcPr>
                  <w:tcW w:w="1561" w:type="dxa"/>
                  <w:vAlign w:val="center"/>
                </w:tcPr>
                <w:p>
                  <w:pPr>
                    <w:pStyle w:val="5"/>
                    <w:jc w:val="center"/>
                    <w:rPr>
                      <w:rFonts w:hint="eastAsia" w:ascii="宋体" w:hAnsi="宋体" w:eastAsia="宋体" w:cs="宋体"/>
                      <w:color w:val="auto"/>
                      <w:spacing w:val="8"/>
                      <w:sz w:val="20"/>
                      <w:szCs w:val="20"/>
                      <w:highlight w:val="none"/>
                      <w:vertAlign w:val="baseline"/>
                      <w:lang w:val="en-US" w:eastAsia="zh-CN"/>
                    </w:rPr>
                  </w:pPr>
                  <w:r>
                    <w:rPr>
                      <w:rFonts w:hint="eastAsia" w:ascii="宋体" w:hAnsi="宋体" w:eastAsia="宋体" w:cs="宋体"/>
                      <w:color w:val="auto"/>
                      <w:spacing w:val="8"/>
                      <w:sz w:val="20"/>
                      <w:szCs w:val="20"/>
                      <w:highlight w:val="none"/>
                      <w:vertAlign w:val="baseline"/>
                      <w:lang w:val="en-US" w:eastAsia="zh-CN"/>
                    </w:rPr>
                    <w:t>区段平均值</w:t>
                  </w:r>
                </w:p>
              </w:tc>
              <w:tc>
                <w:tcPr>
                  <w:tcW w:w="1647" w:type="dxa"/>
                  <w:vAlign w:val="center"/>
                </w:tcPr>
                <w:p>
                  <w:pPr>
                    <w:pStyle w:val="5"/>
                    <w:jc w:val="center"/>
                    <w:rPr>
                      <w:rFonts w:hint="eastAsia" w:ascii="宋体" w:hAnsi="宋体" w:eastAsia="宋体" w:cs="宋体"/>
                      <w:color w:val="auto"/>
                      <w:spacing w:val="8"/>
                      <w:sz w:val="20"/>
                      <w:szCs w:val="20"/>
                      <w:highlight w:val="none"/>
                      <w:vertAlign w:val="baseline"/>
                      <w:lang w:val="en-US" w:eastAsia="zh-CN"/>
                    </w:rPr>
                  </w:pPr>
                  <w:r>
                    <w:rPr>
                      <w:rFonts w:hint="eastAsia" w:ascii="宋体" w:hAnsi="宋体" w:eastAsia="宋体" w:cs="宋体"/>
                      <w:color w:val="auto"/>
                      <w:spacing w:val="8"/>
                      <w:sz w:val="20"/>
                      <w:szCs w:val="20"/>
                      <w:highlight w:val="none"/>
                      <w:vertAlign w:val="baseline"/>
                      <w:lang w:val="en-US" w:eastAsia="zh-CN"/>
                    </w:rPr>
                    <w:t>二次平均值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50"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rPr>
                  </w:pPr>
                  <w:r>
                    <w:rPr>
                      <w:rFonts w:hint="eastAsia" w:ascii="宋体" w:hAnsi="宋体" w:eastAsia="宋体" w:cs="宋体"/>
                      <w:snapToGrid w:val="0"/>
                      <w:color w:val="auto"/>
                      <w:kern w:val="0"/>
                      <w:sz w:val="20"/>
                      <w:szCs w:val="20"/>
                      <w:highlight w:val="none"/>
                      <w:lang w:val="en-US" w:eastAsia="zh-CN" w:bidi="ar"/>
                    </w:rPr>
                    <w:t>A*0.97&lt;投标人评标价≤A</w:t>
                  </w:r>
                </w:p>
              </w:tc>
              <w:tc>
                <w:tcPr>
                  <w:tcW w:w="1561"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lang w:val="en-US" w:eastAsia="zh-CN"/>
                    </w:rPr>
                  </w:pPr>
                  <w:r>
                    <w:rPr>
                      <w:rFonts w:hint="eastAsia" w:ascii="宋体" w:hAnsi="宋体" w:eastAsia="宋体" w:cs="宋体"/>
                      <w:color w:val="auto"/>
                      <w:spacing w:val="8"/>
                      <w:kern w:val="2"/>
                      <w:sz w:val="18"/>
                      <w:szCs w:val="18"/>
                      <w:highlight w:val="none"/>
                      <w:vertAlign w:val="baseline"/>
                      <w:lang w:val="en-US" w:eastAsia="zh-CN"/>
                    </w:rPr>
                    <w:t>A1</w:t>
                  </w:r>
                </w:p>
              </w:tc>
              <w:tc>
                <w:tcPr>
                  <w:tcW w:w="1647" w:type="dxa"/>
                  <w:vMerge w:val="restart"/>
                  <w:vAlign w:val="center"/>
                </w:tcPr>
                <w:p>
                  <w:pPr>
                    <w:keepNext w:val="0"/>
                    <w:keepLines w:val="0"/>
                    <w:widowControl/>
                    <w:suppressLineNumbers w:val="0"/>
                    <w:jc w:val="left"/>
                    <w:rPr>
                      <w:rFonts w:hint="eastAsia" w:ascii="宋体" w:hAnsi="宋体" w:eastAsia="宋体" w:cs="宋体"/>
                      <w:color w:val="auto"/>
                      <w:kern w:val="2"/>
                      <w:highlight w:val="none"/>
                    </w:rPr>
                  </w:pPr>
                  <w:r>
                    <w:rPr>
                      <w:rFonts w:hint="eastAsia" w:ascii="宋体" w:hAnsi="宋体" w:eastAsia="宋体" w:cs="宋体"/>
                      <w:snapToGrid w:val="0"/>
                      <w:color w:val="auto"/>
                      <w:kern w:val="0"/>
                      <w:sz w:val="20"/>
                      <w:szCs w:val="20"/>
                      <w:highlight w:val="none"/>
                      <w:lang w:val="en-US" w:eastAsia="zh-CN" w:bidi="ar"/>
                    </w:rPr>
                    <w:t xml:space="preserve">B 为 A1~A15 的 </w:t>
                  </w:r>
                </w:p>
                <w:p>
                  <w:pPr>
                    <w:keepNext w:val="0"/>
                    <w:keepLines w:val="0"/>
                    <w:widowControl/>
                    <w:suppressLineNumbers w:val="0"/>
                    <w:jc w:val="left"/>
                    <w:rPr>
                      <w:rFonts w:hint="eastAsia" w:ascii="宋体" w:hAnsi="宋体" w:eastAsia="宋体" w:cs="宋体"/>
                      <w:color w:val="auto"/>
                      <w:kern w:val="2"/>
                      <w:highlight w:val="none"/>
                    </w:rPr>
                  </w:pPr>
                  <w:r>
                    <w:rPr>
                      <w:rFonts w:hint="eastAsia" w:ascii="宋体" w:hAnsi="宋体" w:eastAsia="宋体" w:cs="宋体"/>
                      <w:snapToGrid w:val="0"/>
                      <w:color w:val="auto"/>
                      <w:kern w:val="0"/>
                      <w:sz w:val="20"/>
                      <w:szCs w:val="20"/>
                      <w:highlight w:val="none"/>
                      <w:lang w:val="en-US" w:eastAsia="zh-CN" w:bidi="ar"/>
                    </w:rPr>
                    <w:t xml:space="preserve">加权平均值（A1 </w:t>
                  </w:r>
                </w:p>
                <w:p>
                  <w:pPr>
                    <w:keepNext w:val="0"/>
                    <w:keepLines w:val="0"/>
                    <w:widowControl/>
                    <w:suppressLineNumbers w:val="0"/>
                    <w:jc w:val="left"/>
                    <w:rPr>
                      <w:rFonts w:hint="eastAsia" w:ascii="宋体" w:hAnsi="宋体" w:eastAsia="宋体" w:cs="宋体"/>
                      <w:color w:val="auto"/>
                      <w:kern w:val="2"/>
                      <w:highlight w:val="none"/>
                    </w:rPr>
                  </w:pPr>
                  <w:r>
                    <w:rPr>
                      <w:rFonts w:hint="eastAsia" w:ascii="宋体" w:hAnsi="宋体" w:eastAsia="宋体" w:cs="宋体"/>
                      <w:snapToGrid w:val="0"/>
                      <w:color w:val="auto"/>
                      <w:kern w:val="0"/>
                      <w:sz w:val="20"/>
                      <w:szCs w:val="20"/>
                      <w:highlight w:val="none"/>
                      <w:lang w:val="en-US" w:eastAsia="zh-CN" w:bidi="ar"/>
                    </w:rPr>
                    <w:t>和 A15 权重为</w:t>
                  </w:r>
                </w:p>
                <w:p>
                  <w:pPr>
                    <w:keepNext w:val="0"/>
                    <w:keepLines w:val="0"/>
                    <w:widowControl/>
                    <w:suppressLineNumbers w:val="0"/>
                    <w:jc w:val="left"/>
                    <w:rPr>
                      <w:rFonts w:hint="eastAsia" w:ascii="宋体" w:hAnsi="宋体" w:eastAsia="宋体" w:cs="宋体"/>
                      <w:color w:val="auto"/>
                      <w:kern w:val="2"/>
                      <w:highlight w:val="none"/>
                    </w:rPr>
                  </w:pPr>
                  <w:r>
                    <w:rPr>
                      <w:rFonts w:hint="eastAsia" w:ascii="宋体" w:hAnsi="宋体" w:eastAsia="宋体" w:cs="宋体"/>
                      <w:snapToGrid w:val="0"/>
                      <w:color w:val="auto"/>
                      <w:kern w:val="0"/>
                      <w:sz w:val="20"/>
                      <w:szCs w:val="20"/>
                      <w:highlight w:val="none"/>
                      <w:lang w:val="en-US" w:eastAsia="zh-CN" w:bidi="ar"/>
                    </w:rPr>
                    <w:t xml:space="preserve">0.3，其余权重为 1.0）。 </w:t>
                  </w:r>
                </w:p>
                <w:p>
                  <w:pPr>
                    <w:keepNext w:val="0"/>
                    <w:keepLines w:val="0"/>
                    <w:widowControl/>
                    <w:suppressLineNumbers w:val="0"/>
                    <w:jc w:val="left"/>
                    <w:rPr>
                      <w:rFonts w:hint="eastAsia" w:ascii="宋体" w:hAnsi="宋体" w:eastAsia="宋体" w:cs="宋体"/>
                      <w:color w:val="auto"/>
                      <w:kern w:val="2"/>
                      <w:highlight w:val="none"/>
                    </w:rPr>
                  </w:pPr>
                  <w:r>
                    <w:rPr>
                      <w:rFonts w:hint="eastAsia" w:ascii="宋体" w:hAnsi="宋体" w:eastAsia="宋体" w:cs="宋体"/>
                      <w:snapToGrid w:val="0"/>
                      <w:color w:val="auto"/>
                      <w:kern w:val="0"/>
                      <w:sz w:val="20"/>
                      <w:szCs w:val="20"/>
                      <w:highlight w:val="none"/>
                      <w:lang w:val="en-US" w:eastAsia="zh-CN" w:bidi="ar"/>
                    </w:rPr>
                    <w:t xml:space="preserve">若某区段无投标人评标价，则 </w:t>
                  </w:r>
                </w:p>
                <w:p>
                  <w:pPr>
                    <w:keepNext w:val="0"/>
                    <w:keepLines w:val="0"/>
                    <w:widowControl/>
                    <w:suppressLineNumbers w:val="0"/>
                    <w:jc w:val="left"/>
                    <w:rPr>
                      <w:rFonts w:hint="eastAsia" w:ascii="宋体" w:hAnsi="宋体" w:eastAsia="宋体" w:cs="宋体"/>
                      <w:color w:val="auto"/>
                      <w:kern w:val="2"/>
                      <w:highlight w:val="none"/>
                    </w:rPr>
                  </w:pPr>
                  <w:r>
                    <w:rPr>
                      <w:rFonts w:hint="eastAsia" w:ascii="宋体" w:hAnsi="宋体" w:eastAsia="宋体" w:cs="宋体"/>
                      <w:snapToGrid w:val="0"/>
                      <w:color w:val="auto"/>
                      <w:kern w:val="0"/>
                      <w:sz w:val="20"/>
                      <w:szCs w:val="20"/>
                      <w:highlight w:val="none"/>
                      <w:lang w:val="en-US" w:eastAsia="zh-CN" w:bidi="ar"/>
                    </w:rPr>
                    <w:t xml:space="preserve">该区段不计区 </w:t>
                  </w:r>
                </w:p>
                <w:p>
                  <w:pPr>
                    <w:keepNext w:val="0"/>
                    <w:keepLines w:val="0"/>
                    <w:widowControl/>
                    <w:suppressLineNumbers w:val="0"/>
                    <w:jc w:val="left"/>
                    <w:rPr>
                      <w:rFonts w:hint="eastAsia" w:ascii="宋体" w:hAnsi="宋体" w:eastAsia="宋体" w:cs="宋体"/>
                      <w:color w:val="auto"/>
                      <w:kern w:val="2"/>
                      <w:highlight w:val="none"/>
                    </w:rPr>
                  </w:pPr>
                  <w:r>
                    <w:rPr>
                      <w:rFonts w:hint="eastAsia" w:ascii="宋体" w:hAnsi="宋体" w:eastAsia="宋体" w:cs="宋体"/>
                      <w:snapToGrid w:val="0"/>
                      <w:color w:val="auto"/>
                      <w:kern w:val="0"/>
                      <w:sz w:val="20"/>
                      <w:szCs w:val="20"/>
                      <w:highlight w:val="none"/>
                      <w:lang w:val="en-US" w:eastAsia="zh-CN" w:bidi="ar"/>
                    </w:rPr>
                    <w:t xml:space="preserve">段平均值。 </w:t>
                  </w:r>
                </w:p>
                <w:p>
                  <w:pPr>
                    <w:pStyle w:val="5"/>
                    <w:rPr>
                      <w:rFonts w:hint="eastAsia" w:ascii="宋体" w:hAnsi="宋体" w:eastAsia="宋体" w:cs="宋体"/>
                      <w:color w:val="auto"/>
                      <w:spacing w:val="8"/>
                      <w:sz w:val="20"/>
                      <w:szCs w:val="20"/>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50"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rPr>
                  </w:pPr>
                  <w:r>
                    <w:rPr>
                      <w:rFonts w:hint="eastAsia" w:ascii="宋体" w:hAnsi="宋体" w:eastAsia="宋体" w:cs="宋体"/>
                      <w:snapToGrid w:val="0"/>
                      <w:color w:val="auto"/>
                      <w:kern w:val="0"/>
                      <w:sz w:val="20"/>
                      <w:szCs w:val="20"/>
                      <w:highlight w:val="none"/>
                      <w:lang w:val="en-US" w:eastAsia="zh-CN" w:bidi="ar"/>
                    </w:rPr>
                    <w:t>A*0.95&lt;投标人评标价≤A*0.97</w:t>
                  </w:r>
                </w:p>
              </w:tc>
              <w:tc>
                <w:tcPr>
                  <w:tcW w:w="1561"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lang w:val="en-US" w:eastAsia="zh-CN"/>
                    </w:rPr>
                  </w:pPr>
                  <w:r>
                    <w:rPr>
                      <w:rFonts w:hint="eastAsia" w:ascii="宋体" w:hAnsi="宋体" w:eastAsia="宋体" w:cs="宋体"/>
                      <w:color w:val="auto"/>
                      <w:spacing w:val="8"/>
                      <w:kern w:val="2"/>
                      <w:sz w:val="18"/>
                      <w:szCs w:val="18"/>
                      <w:highlight w:val="none"/>
                      <w:vertAlign w:val="baseline"/>
                      <w:lang w:val="en-US" w:eastAsia="zh-CN"/>
                    </w:rPr>
                    <w:t>A2</w:t>
                  </w:r>
                </w:p>
              </w:tc>
              <w:tc>
                <w:tcPr>
                  <w:tcW w:w="1647" w:type="dxa"/>
                  <w:vMerge w:val="continue"/>
                </w:tcPr>
                <w:p>
                  <w:pPr>
                    <w:pStyle w:val="5"/>
                    <w:rPr>
                      <w:rFonts w:hint="eastAsia" w:ascii="宋体" w:hAnsi="宋体" w:eastAsia="宋体" w:cs="宋体"/>
                      <w:color w:val="auto"/>
                      <w:spacing w:val="8"/>
                      <w:sz w:val="20"/>
                      <w:szCs w:val="20"/>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50"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rPr>
                  </w:pPr>
                  <w:r>
                    <w:rPr>
                      <w:rFonts w:hint="eastAsia" w:ascii="宋体" w:hAnsi="宋体" w:eastAsia="宋体" w:cs="宋体"/>
                      <w:snapToGrid w:val="0"/>
                      <w:color w:val="auto"/>
                      <w:kern w:val="0"/>
                      <w:sz w:val="20"/>
                      <w:szCs w:val="20"/>
                      <w:highlight w:val="none"/>
                      <w:lang w:val="en-US" w:eastAsia="zh-CN" w:bidi="ar"/>
                    </w:rPr>
                    <w:t>A*0.94&lt;投标人评标价≤A*0.95</w:t>
                  </w:r>
                </w:p>
              </w:tc>
              <w:tc>
                <w:tcPr>
                  <w:tcW w:w="1561"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lang w:val="en-US" w:eastAsia="zh-CN"/>
                    </w:rPr>
                  </w:pPr>
                  <w:r>
                    <w:rPr>
                      <w:rFonts w:hint="eastAsia" w:ascii="宋体" w:hAnsi="宋体" w:eastAsia="宋体" w:cs="宋体"/>
                      <w:color w:val="auto"/>
                      <w:spacing w:val="8"/>
                      <w:kern w:val="2"/>
                      <w:sz w:val="18"/>
                      <w:szCs w:val="18"/>
                      <w:highlight w:val="none"/>
                      <w:vertAlign w:val="baseline"/>
                      <w:lang w:val="en-US" w:eastAsia="zh-CN"/>
                    </w:rPr>
                    <w:t>A3</w:t>
                  </w:r>
                </w:p>
              </w:tc>
              <w:tc>
                <w:tcPr>
                  <w:tcW w:w="1647" w:type="dxa"/>
                  <w:vMerge w:val="continue"/>
                </w:tcPr>
                <w:p>
                  <w:pPr>
                    <w:pStyle w:val="5"/>
                    <w:rPr>
                      <w:rFonts w:hint="eastAsia" w:ascii="宋体" w:hAnsi="宋体" w:eastAsia="宋体" w:cs="宋体"/>
                      <w:color w:val="auto"/>
                      <w:spacing w:val="8"/>
                      <w:sz w:val="20"/>
                      <w:szCs w:val="20"/>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50"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rPr>
                  </w:pPr>
                  <w:r>
                    <w:rPr>
                      <w:rFonts w:hint="eastAsia" w:ascii="宋体" w:hAnsi="宋体" w:eastAsia="宋体" w:cs="宋体"/>
                      <w:snapToGrid w:val="0"/>
                      <w:color w:val="auto"/>
                      <w:kern w:val="0"/>
                      <w:sz w:val="20"/>
                      <w:szCs w:val="20"/>
                      <w:highlight w:val="none"/>
                      <w:lang w:val="en-US" w:eastAsia="zh-CN" w:bidi="ar"/>
                    </w:rPr>
                    <w:t>A*0.93&lt;投标人评标价≤A*0.94</w:t>
                  </w:r>
                </w:p>
              </w:tc>
              <w:tc>
                <w:tcPr>
                  <w:tcW w:w="1561"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lang w:val="en-US" w:eastAsia="zh-CN"/>
                    </w:rPr>
                  </w:pPr>
                  <w:r>
                    <w:rPr>
                      <w:rFonts w:hint="eastAsia" w:ascii="宋体" w:hAnsi="宋体" w:eastAsia="宋体" w:cs="宋体"/>
                      <w:color w:val="auto"/>
                      <w:spacing w:val="8"/>
                      <w:kern w:val="2"/>
                      <w:sz w:val="18"/>
                      <w:szCs w:val="18"/>
                      <w:highlight w:val="none"/>
                      <w:vertAlign w:val="baseline"/>
                      <w:lang w:val="en-US" w:eastAsia="zh-CN"/>
                    </w:rPr>
                    <w:t>A4</w:t>
                  </w:r>
                </w:p>
              </w:tc>
              <w:tc>
                <w:tcPr>
                  <w:tcW w:w="1647" w:type="dxa"/>
                  <w:vMerge w:val="continue"/>
                </w:tcPr>
                <w:p>
                  <w:pPr>
                    <w:pStyle w:val="5"/>
                    <w:rPr>
                      <w:rFonts w:hint="eastAsia" w:ascii="宋体" w:hAnsi="宋体" w:eastAsia="宋体" w:cs="宋体"/>
                      <w:color w:val="auto"/>
                      <w:spacing w:val="8"/>
                      <w:sz w:val="20"/>
                      <w:szCs w:val="20"/>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50"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rPr>
                  </w:pPr>
                  <w:r>
                    <w:rPr>
                      <w:rFonts w:hint="eastAsia" w:ascii="宋体" w:hAnsi="宋体" w:eastAsia="宋体" w:cs="宋体"/>
                      <w:snapToGrid w:val="0"/>
                      <w:color w:val="auto"/>
                      <w:kern w:val="0"/>
                      <w:sz w:val="20"/>
                      <w:szCs w:val="20"/>
                      <w:highlight w:val="none"/>
                      <w:lang w:val="en-US" w:eastAsia="zh-CN" w:bidi="ar"/>
                    </w:rPr>
                    <w:t>A*0.92&lt;投标人评标价≤A*0.93</w:t>
                  </w:r>
                </w:p>
              </w:tc>
              <w:tc>
                <w:tcPr>
                  <w:tcW w:w="1561"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lang w:val="en-US" w:eastAsia="zh-CN"/>
                    </w:rPr>
                  </w:pPr>
                  <w:r>
                    <w:rPr>
                      <w:rFonts w:hint="eastAsia" w:ascii="宋体" w:hAnsi="宋体" w:eastAsia="宋体" w:cs="宋体"/>
                      <w:color w:val="auto"/>
                      <w:spacing w:val="8"/>
                      <w:kern w:val="2"/>
                      <w:sz w:val="18"/>
                      <w:szCs w:val="18"/>
                      <w:highlight w:val="none"/>
                      <w:vertAlign w:val="baseline"/>
                      <w:lang w:val="en-US" w:eastAsia="zh-CN"/>
                    </w:rPr>
                    <w:t>A5</w:t>
                  </w:r>
                </w:p>
              </w:tc>
              <w:tc>
                <w:tcPr>
                  <w:tcW w:w="1647" w:type="dxa"/>
                  <w:vMerge w:val="continue"/>
                </w:tcPr>
                <w:p>
                  <w:pPr>
                    <w:pStyle w:val="5"/>
                    <w:rPr>
                      <w:rFonts w:hint="eastAsia" w:ascii="宋体" w:hAnsi="宋体" w:eastAsia="宋体" w:cs="宋体"/>
                      <w:color w:val="auto"/>
                      <w:spacing w:val="8"/>
                      <w:sz w:val="20"/>
                      <w:szCs w:val="20"/>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50"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rPr>
                  </w:pPr>
                  <w:r>
                    <w:rPr>
                      <w:rFonts w:hint="eastAsia" w:ascii="宋体" w:hAnsi="宋体" w:eastAsia="宋体" w:cs="宋体"/>
                      <w:snapToGrid w:val="0"/>
                      <w:color w:val="auto"/>
                      <w:kern w:val="0"/>
                      <w:sz w:val="20"/>
                      <w:szCs w:val="20"/>
                      <w:highlight w:val="none"/>
                      <w:lang w:val="en-US" w:eastAsia="zh-CN" w:bidi="ar"/>
                    </w:rPr>
                    <w:t>A*0.91&lt;投标人评标价≤A*0.92</w:t>
                  </w:r>
                </w:p>
              </w:tc>
              <w:tc>
                <w:tcPr>
                  <w:tcW w:w="1561"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lang w:val="en-US" w:eastAsia="zh-CN"/>
                    </w:rPr>
                  </w:pPr>
                  <w:r>
                    <w:rPr>
                      <w:rFonts w:hint="eastAsia" w:ascii="宋体" w:hAnsi="宋体" w:eastAsia="宋体" w:cs="宋体"/>
                      <w:color w:val="auto"/>
                      <w:spacing w:val="8"/>
                      <w:kern w:val="2"/>
                      <w:sz w:val="18"/>
                      <w:szCs w:val="18"/>
                      <w:highlight w:val="none"/>
                      <w:vertAlign w:val="baseline"/>
                      <w:lang w:val="en-US" w:eastAsia="zh-CN"/>
                    </w:rPr>
                    <w:t>A6</w:t>
                  </w:r>
                </w:p>
              </w:tc>
              <w:tc>
                <w:tcPr>
                  <w:tcW w:w="1647" w:type="dxa"/>
                  <w:vMerge w:val="continue"/>
                </w:tcPr>
                <w:p>
                  <w:pPr>
                    <w:pStyle w:val="5"/>
                    <w:rPr>
                      <w:rFonts w:hint="eastAsia" w:ascii="宋体" w:hAnsi="宋体" w:eastAsia="宋体" w:cs="宋体"/>
                      <w:color w:val="auto"/>
                      <w:spacing w:val="8"/>
                      <w:sz w:val="20"/>
                      <w:szCs w:val="20"/>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50"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rPr>
                  </w:pPr>
                  <w:r>
                    <w:rPr>
                      <w:rFonts w:hint="eastAsia" w:ascii="宋体" w:hAnsi="宋体" w:eastAsia="宋体" w:cs="宋体"/>
                      <w:snapToGrid w:val="0"/>
                      <w:color w:val="auto"/>
                      <w:kern w:val="0"/>
                      <w:sz w:val="20"/>
                      <w:szCs w:val="20"/>
                      <w:highlight w:val="none"/>
                      <w:lang w:val="en-US" w:eastAsia="zh-CN" w:bidi="ar"/>
                    </w:rPr>
                    <w:t>A*0.90&lt;投标人评标价≤A*0.91</w:t>
                  </w:r>
                </w:p>
              </w:tc>
              <w:tc>
                <w:tcPr>
                  <w:tcW w:w="1561"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lang w:val="en-US" w:eastAsia="zh-CN"/>
                    </w:rPr>
                  </w:pPr>
                  <w:r>
                    <w:rPr>
                      <w:rFonts w:hint="eastAsia" w:ascii="宋体" w:hAnsi="宋体" w:eastAsia="宋体" w:cs="宋体"/>
                      <w:color w:val="auto"/>
                      <w:spacing w:val="8"/>
                      <w:kern w:val="2"/>
                      <w:sz w:val="18"/>
                      <w:szCs w:val="18"/>
                      <w:highlight w:val="none"/>
                      <w:vertAlign w:val="baseline"/>
                      <w:lang w:val="en-US" w:eastAsia="zh-CN"/>
                    </w:rPr>
                    <w:t>A7</w:t>
                  </w:r>
                </w:p>
              </w:tc>
              <w:tc>
                <w:tcPr>
                  <w:tcW w:w="1647" w:type="dxa"/>
                  <w:vMerge w:val="continue"/>
                </w:tcPr>
                <w:p>
                  <w:pPr>
                    <w:pStyle w:val="5"/>
                    <w:rPr>
                      <w:rFonts w:hint="eastAsia" w:ascii="宋体" w:hAnsi="宋体" w:eastAsia="宋体" w:cs="宋体"/>
                      <w:color w:val="auto"/>
                      <w:spacing w:val="8"/>
                      <w:sz w:val="20"/>
                      <w:szCs w:val="20"/>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50"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rPr>
                  </w:pPr>
                  <w:r>
                    <w:rPr>
                      <w:rFonts w:hint="eastAsia" w:ascii="宋体" w:hAnsi="宋体" w:eastAsia="宋体" w:cs="宋体"/>
                      <w:snapToGrid w:val="0"/>
                      <w:color w:val="auto"/>
                      <w:kern w:val="0"/>
                      <w:sz w:val="20"/>
                      <w:szCs w:val="20"/>
                      <w:highlight w:val="none"/>
                      <w:lang w:val="en-US" w:eastAsia="zh-CN" w:bidi="ar"/>
                    </w:rPr>
                    <w:t>A*0.89&lt;投标人评标价≤A*0.90</w:t>
                  </w:r>
                </w:p>
              </w:tc>
              <w:tc>
                <w:tcPr>
                  <w:tcW w:w="1561"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lang w:val="en-US" w:eastAsia="zh-CN"/>
                    </w:rPr>
                  </w:pPr>
                  <w:r>
                    <w:rPr>
                      <w:rFonts w:hint="eastAsia" w:ascii="宋体" w:hAnsi="宋体" w:eastAsia="宋体" w:cs="宋体"/>
                      <w:color w:val="auto"/>
                      <w:spacing w:val="8"/>
                      <w:kern w:val="2"/>
                      <w:sz w:val="18"/>
                      <w:szCs w:val="18"/>
                      <w:highlight w:val="none"/>
                      <w:vertAlign w:val="baseline"/>
                      <w:lang w:val="en-US" w:eastAsia="zh-CN"/>
                    </w:rPr>
                    <w:t>A8</w:t>
                  </w:r>
                </w:p>
              </w:tc>
              <w:tc>
                <w:tcPr>
                  <w:tcW w:w="1647" w:type="dxa"/>
                  <w:vMerge w:val="continue"/>
                </w:tcPr>
                <w:p>
                  <w:pPr>
                    <w:pStyle w:val="5"/>
                    <w:rPr>
                      <w:rFonts w:hint="eastAsia" w:ascii="宋体" w:hAnsi="宋体" w:eastAsia="宋体" w:cs="宋体"/>
                      <w:color w:val="auto"/>
                      <w:spacing w:val="8"/>
                      <w:sz w:val="20"/>
                      <w:szCs w:val="20"/>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50"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rPr>
                  </w:pPr>
                  <w:r>
                    <w:rPr>
                      <w:rFonts w:hint="eastAsia" w:ascii="宋体" w:hAnsi="宋体" w:eastAsia="宋体" w:cs="宋体"/>
                      <w:snapToGrid w:val="0"/>
                      <w:color w:val="auto"/>
                      <w:kern w:val="0"/>
                      <w:sz w:val="20"/>
                      <w:szCs w:val="20"/>
                      <w:highlight w:val="none"/>
                      <w:lang w:val="en-US" w:eastAsia="zh-CN" w:bidi="ar"/>
                    </w:rPr>
                    <w:t>A*0.88&lt;投标人评标价≤A*0.89</w:t>
                  </w:r>
                </w:p>
              </w:tc>
              <w:tc>
                <w:tcPr>
                  <w:tcW w:w="1561"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lang w:val="en-US" w:eastAsia="zh-CN"/>
                    </w:rPr>
                  </w:pPr>
                  <w:r>
                    <w:rPr>
                      <w:rFonts w:hint="eastAsia" w:ascii="宋体" w:hAnsi="宋体" w:eastAsia="宋体" w:cs="宋体"/>
                      <w:color w:val="auto"/>
                      <w:spacing w:val="8"/>
                      <w:kern w:val="2"/>
                      <w:sz w:val="18"/>
                      <w:szCs w:val="18"/>
                      <w:highlight w:val="none"/>
                      <w:vertAlign w:val="baseline"/>
                      <w:lang w:val="en-US" w:eastAsia="zh-CN"/>
                    </w:rPr>
                    <w:t>A9</w:t>
                  </w:r>
                </w:p>
              </w:tc>
              <w:tc>
                <w:tcPr>
                  <w:tcW w:w="1647" w:type="dxa"/>
                  <w:vMerge w:val="continue"/>
                </w:tcPr>
                <w:p>
                  <w:pPr>
                    <w:pStyle w:val="5"/>
                    <w:rPr>
                      <w:rFonts w:hint="eastAsia" w:ascii="宋体" w:hAnsi="宋体" w:eastAsia="宋体" w:cs="宋体"/>
                      <w:color w:val="auto"/>
                      <w:spacing w:val="8"/>
                      <w:sz w:val="20"/>
                      <w:szCs w:val="20"/>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50"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rPr>
                  </w:pPr>
                  <w:r>
                    <w:rPr>
                      <w:rFonts w:hint="eastAsia" w:ascii="宋体" w:hAnsi="宋体" w:eastAsia="宋体" w:cs="宋体"/>
                      <w:snapToGrid w:val="0"/>
                      <w:color w:val="auto"/>
                      <w:kern w:val="0"/>
                      <w:sz w:val="20"/>
                      <w:szCs w:val="20"/>
                      <w:highlight w:val="none"/>
                      <w:lang w:val="en-US" w:eastAsia="zh-CN" w:bidi="ar"/>
                    </w:rPr>
                    <w:t>A*0.87&lt;投标人评标价≤A*0.88</w:t>
                  </w:r>
                </w:p>
              </w:tc>
              <w:tc>
                <w:tcPr>
                  <w:tcW w:w="1561"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lang w:val="en-US" w:eastAsia="zh-CN"/>
                    </w:rPr>
                  </w:pPr>
                  <w:r>
                    <w:rPr>
                      <w:rFonts w:hint="eastAsia" w:ascii="宋体" w:hAnsi="宋体" w:eastAsia="宋体" w:cs="宋体"/>
                      <w:color w:val="auto"/>
                      <w:spacing w:val="8"/>
                      <w:kern w:val="2"/>
                      <w:sz w:val="18"/>
                      <w:szCs w:val="18"/>
                      <w:highlight w:val="none"/>
                      <w:vertAlign w:val="baseline"/>
                      <w:lang w:val="en-US" w:eastAsia="zh-CN"/>
                    </w:rPr>
                    <w:t>A10</w:t>
                  </w:r>
                </w:p>
              </w:tc>
              <w:tc>
                <w:tcPr>
                  <w:tcW w:w="1647" w:type="dxa"/>
                  <w:vMerge w:val="continue"/>
                </w:tcPr>
                <w:p>
                  <w:pPr>
                    <w:pStyle w:val="5"/>
                    <w:rPr>
                      <w:rFonts w:hint="eastAsia" w:ascii="宋体" w:hAnsi="宋体" w:eastAsia="宋体" w:cs="宋体"/>
                      <w:color w:val="auto"/>
                      <w:spacing w:val="8"/>
                      <w:sz w:val="20"/>
                      <w:szCs w:val="20"/>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50"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rPr>
                  </w:pPr>
                  <w:r>
                    <w:rPr>
                      <w:rFonts w:hint="eastAsia" w:ascii="宋体" w:hAnsi="宋体" w:eastAsia="宋体" w:cs="宋体"/>
                      <w:snapToGrid w:val="0"/>
                      <w:color w:val="auto"/>
                      <w:kern w:val="0"/>
                      <w:sz w:val="20"/>
                      <w:szCs w:val="20"/>
                      <w:highlight w:val="none"/>
                      <w:lang w:val="en-US" w:eastAsia="zh-CN" w:bidi="ar"/>
                    </w:rPr>
                    <w:t>A*0.86&lt;投标人评标价≤A*0.87</w:t>
                  </w:r>
                </w:p>
              </w:tc>
              <w:tc>
                <w:tcPr>
                  <w:tcW w:w="1561"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lang w:val="en-US" w:eastAsia="zh-CN"/>
                    </w:rPr>
                  </w:pPr>
                  <w:r>
                    <w:rPr>
                      <w:rFonts w:hint="eastAsia" w:ascii="宋体" w:hAnsi="宋体" w:eastAsia="宋体" w:cs="宋体"/>
                      <w:color w:val="auto"/>
                      <w:spacing w:val="8"/>
                      <w:kern w:val="2"/>
                      <w:sz w:val="18"/>
                      <w:szCs w:val="18"/>
                      <w:highlight w:val="none"/>
                      <w:vertAlign w:val="baseline"/>
                      <w:lang w:val="en-US" w:eastAsia="zh-CN"/>
                    </w:rPr>
                    <w:t>A11</w:t>
                  </w:r>
                </w:p>
              </w:tc>
              <w:tc>
                <w:tcPr>
                  <w:tcW w:w="1647" w:type="dxa"/>
                  <w:vMerge w:val="continue"/>
                </w:tcPr>
                <w:p>
                  <w:pPr>
                    <w:pStyle w:val="5"/>
                    <w:rPr>
                      <w:rFonts w:hint="eastAsia" w:ascii="宋体" w:hAnsi="宋体" w:eastAsia="宋体" w:cs="宋体"/>
                      <w:color w:val="auto"/>
                      <w:spacing w:val="8"/>
                      <w:sz w:val="20"/>
                      <w:szCs w:val="20"/>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50"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rPr>
                  </w:pPr>
                  <w:r>
                    <w:rPr>
                      <w:rFonts w:hint="eastAsia" w:ascii="宋体" w:hAnsi="宋体" w:eastAsia="宋体" w:cs="宋体"/>
                      <w:snapToGrid w:val="0"/>
                      <w:color w:val="auto"/>
                      <w:kern w:val="0"/>
                      <w:sz w:val="20"/>
                      <w:szCs w:val="20"/>
                      <w:highlight w:val="none"/>
                      <w:lang w:val="en-US" w:eastAsia="zh-CN" w:bidi="ar"/>
                    </w:rPr>
                    <w:t>A*0.85&lt;投标人评标价≤A*0.86</w:t>
                  </w:r>
                </w:p>
              </w:tc>
              <w:tc>
                <w:tcPr>
                  <w:tcW w:w="1561"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lang w:val="en-US" w:eastAsia="zh-CN"/>
                    </w:rPr>
                  </w:pPr>
                  <w:r>
                    <w:rPr>
                      <w:rFonts w:hint="eastAsia" w:ascii="宋体" w:hAnsi="宋体" w:eastAsia="宋体" w:cs="宋体"/>
                      <w:color w:val="auto"/>
                      <w:spacing w:val="8"/>
                      <w:kern w:val="2"/>
                      <w:sz w:val="18"/>
                      <w:szCs w:val="18"/>
                      <w:highlight w:val="none"/>
                      <w:vertAlign w:val="baseline"/>
                      <w:lang w:val="en-US" w:eastAsia="zh-CN"/>
                    </w:rPr>
                    <w:t>A12</w:t>
                  </w:r>
                </w:p>
              </w:tc>
              <w:tc>
                <w:tcPr>
                  <w:tcW w:w="1647" w:type="dxa"/>
                  <w:vMerge w:val="continue"/>
                </w:tcPr>
                <w:p>
                  <w:pPr>
                    <w:pStyle w:val="5"/>
                    <w:rPr>
                      <w:rFonts w:hint="eastAsia" w:ascii="宋体" w:hAnsi="宋体" w:eastAsia="宋体" w:cs="宋体"/>
                      <w:color w:val="auto"/>
                      <w:spacing w:val="8"/>
                      <w:sz w:val="20"/>
                      <w:szCs w:val="20"/>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50"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rPr>
                  </w:pPr>
                  <w:r>
                    <w:rPr>
                      <w:rFonts w:hint="eastAsia" w:ascii="宋体" w:hAnsi="宋体" w:eastAsia="宋体" w:cs="宋体"/>
                      <w:snapToGrid w:val="0"/>
                      <w:color w:val="auto"/>
                      <w:kern w:val="0"/>
                      <w:sz w:val="20"/>
                      <w:szCs w:val="20"/>
                      <w:highlight w:val="none"/>
                      <w:lang w:val="en-US" w:eastAsia="zh-CN" w:bidi="ar"/>
                    </w:rPr>
                    <w:t>A*0.83&lt;投标人评标价≤A*0.85</w:t>
                  </w:r>
                </w:p>
              </w:tc>
              <w:tc>
                <w:tcPr>
                  <w:tcW w:w="1561"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lang w:val="en-US" w:eastAsia="zh-CN"/>
                    </w:rPr>
                  </w:pPr>
                  <w:r>
                    <w:rPr>
                      <w:rFonts w:hint="eastAsia" w:ascii="宋体" w:hAnsi="宋体" w:eastAsia="宋体" w:cs="宋体"/>
                      <w:color w:val="auto"/>
                      <w:spacing w:val="8"/>
                      <w:kern w:val="2"/>
                      <w:sz w:val="18"/>
                      <w:szCs w:val="18"/>
                      <w:highlight w:val="none"/>
                      <w:vertAlign w:val="baseline"/>
                      <w:lang w:val="en-US" w:eastAsia="zh-CN"/>
                    </w:rPr>
                    <w:t>A13</w:t>
                  </w:r>
                </w:p>
              </w:tc>
              <w:tc>
                <w:tcPr>
                  <w:tcW w:w="1647" w:type="dxa"/>
                  <w:vMerge w:val="continue"/>
                </w:tcPr>
                <w:p>
                  <w:pPr>
                    <w:pStyle w:val="5"/>
                    <w:rPr>
                      <w:rFonts w:hint="eastAsia" w:ascii="宋体" w:hAnsi="宋体" w:eastAsia="宋体" w:cs="宋体"/>
                      <w:color w:val="auto"/>
                      <w:spacing w:val="8"/>
                      <w:sz w:val="20"/>
                      <w:szCs w:val="20"/>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50"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rPr>
                  </w:pPr>
                  <w:r>
                    <w:rPr>
                      <w:rFonts w:hint="eastAsia" w:ascii="宋体" w:hAnsi="宋体" w:eastAsia="宋体" w:cs="宋体"/>
                      <w:snapToGrid w:val="0"/>
                      <w:color w:val="auto"/>
                      <w:kern w:val="0"/>
                      <w:sz w:val="20"/>
                      <w:szCs w:val="20"/>
                      <w:highlight w:val="none"/>
                      <w:lang w:val="en-US" w:eastAsia="zh-CN" w:bidi="ar"/>
                    </w:rPr>
                    <w:t>A*0.80&lt;投标人评标价≤A*0.83</w:t>
                  </w:r>
                </w:p>
              </w:tc>
              <w:tc>
                <w:tcPr>
                  <w:tcW w:w="1561"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lang w:val="en-US" w:eastAsia="zh-CN"/>
                    </w:rPr>
                  </w:pPr>
                  <w:r>
                    <w:rPr>
                      <w:rFonts w:hint="eastAsia" w:ascii="宋体" w:hAnsi="宋体" w:eastAsia="宋体" w:cs="宋体"/>
                      <w:color w:val="auto"/>
                      <w:spacing w:val="8"/>
                      <w:kern w:val="2"/>
                      <w:sz w:val="18"/>
                      <w:szCs w:val="18"/>
                      <w:highlight w:val="none"/>
                      <w:vertAlign w:val="baseline"/>
                      <w:lang w:val="en-US" w:eastAsia="zh-CN"/>
                    </w:rPr>
                    <w:t>A14</w:t>
                  </w:r>
                </w:p>
              </w:tc>
              <w:tc>
                <w:tcPr>
                  <w:tcW w:w="1647" w:type="dxa"/>
                  <w:vMerge w:val="continue"/>
                </w:tcPr>
                <w:p>
                  <w:pPr>
                    <w:pStyle w:val="5"/>
                    <w:rPr>
                      <w:rFonts w:hint="eastAsia" w:ascii="宋体" w:hAnsi="宋体" w:eastAsia="宋体" w:cs="宋体"/>
                      <w:color w:val="auto"/>
                      <w:spacing w:val="8"/>
                      <w:sz w:val="20"/>
                      <w:szCs w:val="20"/>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trPr>
              <w:tc>
                <w:tcPr>
                  <w:tcW w:w="2950"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rPr>
                  </w:pPr>
                  <w:r>
                    <w:rPr>
                      <w:rFonts w:hint="eastAsia" w:ascii="宋体" w:hAnsi="宋体" w:eastAsia="宋体" w:cs="宋体"/>
                      <w:snapToGrid w:val="0"/>
                      <w:color w:val="auto"/>
                      <w:kern w:val="0"/>
                      <w:sz w:val="20"/>
                      <w:szCs w:val="20"/>
                      <w:highlight w:val="none"/>
                      <w:lang w:val="en-US" w:eastAsia="zh-CN" w:bidi="ar"/>
                    </w:rPr>
                    <w:t>投标人评标价≤A*0.80</w:t>
                  </w:r>
                </w:p>
              </w:tc>
              <w:tc>
                <w:tcPr>
                  <w:tcW w:w="1561" w:type="dxa"/>
                  <w:vAlign w:val="center"/>
                </w:tcPr>
                <w:p>
                  <w:pPr>
                    <w:keepNext w:val="0"/>
                    <w:keepLines w:val="0"/>
                    <w:widowControl/>
                    <w:suppressLineNumbers w:val="0"/>
                    <w:jc w:val="center"/>
                    <w:rPr>
                      <w:rFonts w:hint="eastAsia" w:ascii="宋体" w:hAnsi="宋体" w:eastAsia="宋体" w:cs="宋体"/>
                      <w:color w:val="auto"/>
                      <w:spacing w:val="8"/>
                      <w:kern w:val="2"/>
                      <w:sz w:val="18"/>
                      <w:szCs w:val="18"/>
                      <w:highlight w:val="none"/>
                      <w:vertAlign w:val="baseline"/>
                      <w:lang w:val="en-US" w:eastAsia="zh-CN"/>
                    </w:rPr>
                  </w:pPr>
                  <w:r>
                    <w:rPr>
                      <w:rFonts w:hint="eastAsia" w:ascii="宋体" w:hAnsi="宋体" w:eastAsia="宋体" w:cs="宋体"/>
                      <w:color w:val="auto"/>
                      <w:spacing w:val="8"/>
                      <w:kern w:val="2"/>
                      <w:sz w:val="18"/>
                      <w:szCs w:val="18"/>
                      <w:highlight w:val="none"/>
                      <w:vertAlign w:val="baseline"/>
                      <w:lang w:val="en-US" w:eastAsia="zh-CN"/>
                    </w:rPr>
                    <w:t>A15</w:t>
                  </w:r>
                </w:p>
              </w:tc>
              <w:tc>
                <w:tcPr>
                  <w:tcW w:w="1647" w:type="dxa"/>
                  <w:vMerge w:val="continue"/>
                </w:tcPr>
                <w:p>
                  <w:pPr>
                    <w:pStyle w:val="5"/>
                    <w:rPr>
                      <w:rFonts w:hint="eastAsia" w:ascii="宋体" w:hAnsi="宋体" w:eastAsia="宋体" w:cs="宋体"/>
                      <w:color w:val="auto"/>
                      <w:spacing w:val="8"/>
                      <w:sz w:val="20"/>
                      <w:szCs w:val="20"/>
                      <w:highlight w:val="none"/>
                      <w:vertAlign w:val="baseline"/>
                    </w:rPr>
                  </w:pPr>
                </w:p>
              </w:tc>
            </w:tr>
          </w:tbl>
          <w:p>
            <w:pPr>
              <w:keepNext w:val="0"/>
              <w:keepLines w:val="0"/>
              <w:pageBreakBefore w:val="0"/>
              <w:widowControl/>
              <w:numPr>
                <w:ilvl w:val="0"/>
                <w:numId w:val="7"/>
              </w:numPr>
              <w:kinsoku w:val="0"/>
              <w:wordWrap/>
              <w:overflowPunct/>
              <w:topLinePunct w:val="0"/>
              <w:autoSpaceDE w:val="0"/>
              <w:autoSpaceDN w:val="0"/>
              <w:bidi w:val="0"/>
              <w:adjustRightInd w:val="0"/>
              <w:snapToGrid w:val="0"/>
              <w:spacing w:line="360" w:lineRule="exact"/>
              <w:ind w:left="0" w:right="0" w:firstLine="432" w:firstLineChars="200"/>
              <w:textAlignment w:val="baseline"/>
              <w:rPr>
                <w:rFonts w:hint="eastAsia" w:ascii="宋体" w:hAnsi="宋体" w:eastAsia="宋体" w:cs="宋体"/>
                <w:color w:val="auto"/>
                <w:spacing w:val="8"/>
                <w:sz w:val="20"/>
                <w:szCs w:val="20"/>
                <w:highlight w:val="none"/>
                <w:lang w:val="en-US" w:eastAsia="zh-CN"/>
              </w:rPr>
            </w:pPr>
            <w:r>
              <w:rPr>
                <w:rFonts w:hint="eastAsia" w:ascii="宋体" w:hAnsi="宋体" w:eastAsia="宋体" w:cs="宋体"/>
                <w:color w:val="auto"/>
                <w:spacing w:val="8"/>
                <w:sz w:val="20"/>
                <w:szCs w:val="20"/>
                <w:highlight w:val="none"/>
                <w:lang w:val="en-US" w:eastAsia="zh-CN"/>
              </w:rPr>
              <w:t xml:space="preserve"> B值计算方案二：</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32" w:firstLineChars="200"/>
              <w:textAlignment w:val="baseline"/>
              <w:rPr>
                <w:rFonts w:hint="eastAsia" w:ascii="宋体" w:hAnsi="宋体" w:eastAsia="宋体" w:cs="宋体"/>
                <w:color w:val="auto"/>
                <w:spacing w:val="8"/>
                <w:sz w:val="20"/>
                <w:szCs w:val="20"/>
                <w:highlight w:val="none"/>
              </w:rPr>
            </w:pPr>
            <w:r>
              <w:rPr>
                <w:rFonts w:hint="eastAsia" w:ascii="宋体" w:hAnsi="宋体" w:eastAsia="宋体" w:cs="宋体"/>
                <w:color w:val="auto"/>
                <w:spacing w:val="8"/>
                <w:sz w:val="20"/>
                <w:szCs w:val="20"/>
                <w:highlight w:val="none"/>
              </w:rPr>
              <w:t>所有通过第一个信封评审及第二个信封初步评审的投标人评标价从高到低排序，最高投标限价97%(含)以上和最高投标限价80%(含)以下的评标价各计算一个算术平均值，再与其余投标人评标价计算算术平均值。</w:t>
            </w:r>
          </w:p>
          <w:p>
            <w:pPr>
              <w:keepNext w:val="0"/>
              <w:keepLines w:val="0"/>
              <w:pageBreakBefore w:val="0"/>
              <w:widowControl/>
              <w:kinsoku w:val="0"/>
              <w:wordWrap/>
              <w:overflowPunct/>
              <w:topLinePunct w:val="0"/>
              <w:autoSpaceDE w:val="0"/>
              <w:autoSpaceDN w:val="0"/>
              <w:bidi w:val="0"/>
              <w:adjustRightInd w:val="0"/>
              <w:snapToGrid w:val="0"/>
              <w:spacing w:before="161" w:line="360" w:lineRule="exact"/>
              <w:ind w:right="5" w:firstLine="43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0"/>
                <w:szCs w:val="20"/>
                <w:highlight w:val="none"/>
              </w:rPr>
              <w:t>即：评标价≥0.97*A 的投标人评标价计算算术平均值 A0</w:t>
            </w:r>
            <w:r>
              <w:rPr>
                <w:rFonts w:hint="eastAsia" w:ascii="宋体" w:hAnsi="宋体" w:eastAsia="宋体" w:cs="宋体"/>
                <w:color w:val="auto"/>
                <w:spacing w:val="8"/>
                <w:sz w:val="20"/>
                <w:szCs w:val="20"/>
                <w:highlight w:val="none"/>
                <w:lang w:eastAsia="zh-CN"/>
              </w:rPr>
              <w:t>，</w:t>
            </w:r>
            <w:r>
              <w:rPr>
                <w:rFonts w:hint="eastAsia" w:ascii="宋体" w:hAnsi="宋体" w:eastAsia="宋体" w:cs="宋体"/>
                <w:color w:val="auto"/>
                <w:spacing w:val="8"/>
                <w:sz w:val="20"/>
                <w:szCs w:val="20"/>
                <w:highlight w:val="none"/>
              </w:rPr>
              <w:t>评标价≤0.80*A的投标人评标价计算算术平均值 A1，将 A0、A1 和其余投标人评标价计算算术平均值即为 B值。若 A0或 A1计算区间为空，则相应的 A0 或 A1 值不参与 B 值计算。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rPr>
        <w:tc>
          <w:tcPr>
            <w:tcW w:w="875" w:type="dxa"/>
            <w:tcBorders>
              <w:left w:val="single" w:color="000000" w:sz="10" w:space="0"/>
              <w:right w:val="single" w:color="000000" w:sz="4" w:space="0"/>
            </w:tcBorders>
            <w:vAlign w:val="center"/>
          </w:tcPr>
          <w:p>
            <w:pPr>
              <w:spacing w:before="281" w:line="195" w:lineRule="auto"/>
              <w:ind w:left="216" w:leftChars="0"/>
              <w:jc w:val="both"/>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2.2.</w:t>
            </w:r>
            <w:r>
              <w:rPr>
                <w:rFonts w:hint="eastAsia" w:ascii="宋体" w:hAnsi="宋体" w:eastAsia="宋体" w:cs="宋体"/>
                <w:color w:val="auto"/>
                <w:spacing w:val="4"/>
                <w:sz w:val="21"/>
                <w:szCs w:val="21"/>
                <w:highlight w:val="none"/>
                <w:lang w:val="en-US" w:eastAsia="zh-CN"/>
              </w:rPr>
              <w:t>3</w:t>
            </w:r>
          </w:p>
        </w:tc>
        <w:tc>
          <w:tcPr>
            <w:tcW w:w="1887" w:type="dxa"/>
            <w:tcBorders>
              <w:left w:val="single" w:color="000000" w:sz="4" w:space="0"/>
              <w:right w:val="single" w:color="000000" w:sz="4" w:space="0"/>
            </w:tcBorders>
            <w:vAlign w:val="center"/>
          </w:tcPr>
          <w:p>
            <w:pPr>
              <w:spacing w:line="227" w:lineRule="auto"/>
              <w:ind w:left="5" w:leftChars="0"/>
              <w:jc w:val="center"/>
              <w:rPr>
                <w:rFonts w:hint="eastAsia" w:ascii="宋体" w:hAnsi="宋体" w:eastAsia="宋体" w:cs="宋体"/>
                <w:color w:val="auto"/>
                <w:spacing w:val="9"/>
                <w:sz w:val="21"/>
                <w:szCs w:val="21"/>
                <w:highlight w:val="none"/>
              </w:rPr>
            </w:pPr>
          </w:p>
          <w:p>
            <w:pPr>
              <w:spacing w:line="227" w:lineRule="auto"/>
              <w:ind w:left="5" w:leftChars="0"/>
              <w:jc w:val="center"/>
              <w:rPr>
                <w:rFonts w:hint="eastAsia" w:ascii="宋体" w:hAnsi="宋体" w:eastAsia="宋体" w:cs="宋体"/>
                <w:color w:val="auto"/>
                <w:spacing w:val="9"/>
                <w:sz w:val="21"/>
                <w:szCs w:val="21"/>
                <w:highlight w:val="none"/>
              </w:rPr>
            </w:pPr>
          </w:p>
          <w:p>
            <w:pPr>
              <w:spacing w:line="227" w:lineRule="auto"/>
              <w:ind w:left="5" w:leftChars="0"/>
              <w:jc w:val="center"/>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rPr>
              <w:t>评标价的偏差率计算</w:t>
            </w:r>
            <w:r>
              <w:rPr>
                <w:rFonts w:hint="eastAsia" w:ascii="宋体" w:hAnsi="宋体" w:eastAsia="宋体" w:cs="宋体"/>
                <w:color w:val="auto"/>
                <w:spacing w:val="9"/>
                <w:sz w:val="21"/>
                <w:szCs w:val="21"/>
                <w:highlight w:val="none"/>
                <w:lang w:val="en-US" w:eastAsia="zh-CN"/>
              </w:rPr>
              <w:t>公式</w:t>
            </w:r>
          </w:p>
          <w:p>
            <w:pPr>
              <w:spacing w:line="227" w:lineRule="auto"/>
              <w:ind w:left="5" w:leftChars="0"/>
              <w:jc w:val="center"/>
              <w:rPr>
                <w:rFonts w:hint="eastAsia" w:ascii="宋体" w:hAnsi="宋体" w:eastAsia="宋体" w:cs="宋体"/>
                <w:color w:val="auto"/>
                <w:spacing w:val="9"/>
                <w:sz w:val="21"/>
                <w:szCs w:val="21"/>
                <w:highlight w:val="none"/>
              </w:rPr>
            </w:pPr>
          </w:p>
        </w:tc>
        <w:tc>
          <w:tcPr>
            <w:tcW w:w="6476" w:type="dxa"/>
            <w:tcBorders>
              <w:left w:val="single" w:color="000000" w:sz="4"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205" w:line="280" w:lineRule="exact"/>
              <w:ind w:left="4" w:leftChars="0"/>
              <w:jc w:val="center"/>
              <w:textAlignment w:val="baseline"/>
              <w:rPr>
                <w:rFonts w:hint="eastAsia" w:ascii="宋体" w:hAnsi="宋体" w:eastAsia="宋体" w:cs="宋体"/>
                <w:color w:val="auto"/>
                <w:spacing w:val="16"/>
                <w:sz w:val="21"/>
                <w:szCs w:val="21"/>
                <w:highlight w:val="none"/>
              </w:rPr>
            </w:pPr>
            <w:r>
              <w:rPr>
                <w:rFonts w:hint="eastAsia" w:ascii="宋体" w:hAnsi="宋体" w:eastAsia="宋体" w:cs="宋体"/>
                <w:color w:val="auto"/>
                <w:spacing w:val="8"/>
                <w:position w:val="1"/>
                <w:sz w:val="21"/>
                <w:szCs w:val="21"/>
                <w:highlight w:val="none"/>
              </w:rPr>
              <w:t>偏差率=100%×(投标人评标价－评标基准价)</w:t>
            </w:r>
            <w:r>
              <w:rPr>
                <w:rFonts w:hint="eastAsia" w:ascii="宋体" w:hAnsi="宋体" w:eastAsia="宋体" w:cs="宋体"/>
                <w:color w:val="auto"/>
                <w:spacing w:val="8"/>
                <w:position w:val="1"/>
                <w:sz w:val="21"/>
                <w:szCs w:val="21"/>
                <w:highlight w:val="none"/>
                <w:lang w:val="en-US" w:eastAsia="zh-CN"/>
              </w:rPr>
              <w:t>/</w:t>
            </w:r>
            <w:r>
              <w:rPr>
                <w:rFonts w:hint="eastAsia" w:ascii="宋体" w:hAnsi="宋体" w:eastAsia="宋体" w:cs="宋体"/>
                <w:color w:val="auto"/>
                <w:spacing w:val="8"/>
                <w:position w:val="1"/>
                <w:sz w:val="21"/>
                <w:szCs w:val="21"/>
                <w:highlight w:val="none"/>
              </w:rPr>
              <w:t>评标基准</w:t>
            </w:r>
            <w:r>
              <w:rPr>
                <w:rFonts w:hint="eastAsia" w:ascii="宋体" w:hAnsi="宋体" w:eastAsia="宋体" w:cs="宋体"/>
                <w:color w:val="auto"/>
                <w:spacing w:val="5"/>
                <w:position w:val="1"/>
                <w:sz w:val="21"/>
                <w:szCs w:val="21"/>
                <w:highlight w:val="none"/>
              </w:rPr>
              <w:t>价</w:t>
            </w:r>
          </w:p>
        </w:tc>
      </w:tr>
    </w:tbl>
    <w:p>
      <w:pPr>
        <w:rPr>
          <w:rFonts w:hint="eastAsia" w:ascii="宋体" w:hAnsi="宋体" w:eastAsia="宋体" w:cs="宋体"/>
          <w:color w:val="auto"/>
          <w:highlight w:val="none"/>
        </w:rPr>
        <w:sectPr>
          <w:pgSz w:w="11900" w:h="16840"/>
          <w:pgMar w:top="1160" w:right="1304" w:bottom="1448" w:left="1363" w:header="883" w:footer="1234" w:gutter="0"/>
          <w:pgNumType w:fmt="decimal"/>
          <w:cols w:space="720" w:num="1"/>
        </w:sectPr>
      </w:pPr>
      <w:bookmarkStart w:id="107" w:name="_bookmark53"/>
      <w:bookmarkEnd w:id="107"/>
    </w:p>
    <w:p>
      <w:pPr>
        <w:rPr>
          <w:rFonts w:hint="eastAsia" w:ascii="宋体" w:hAnsi="宋体" w:eastAsia="宋体" w:cs="宋体"/>
          <w:color w:val="auto"/>
          <w:highlight w:val="none"/>
        </w:rPr>
      </w:pPr>
    </w:p>
    <w:p>
      <w:pPr>
        <w:spacing w:line="17" w:lineRule="exact"/>
        <w:rPr>
          <w:rFonts w:hint="eastAsia" w:ascii="宋体" w:hAnsi="宋体" w:eastAsia="宋体" w:cs="宋体"/>
          <w:color w:val="auto"/>
          <w:highlight w:val="none"/>
        </w:rPr>
      </w:pPr>
    </w:p>
    <w:tbl>
      <w:tblPr>
        <w:tblStyle w:val="26"/>
        <w:tblW w:w="9207"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3"/>
        <w:gridCol w:w="2250"/>
        <w:gridCol w:w="608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873" w:type="dxa"/>
            <w:tcBorders>
              <w:left w:val="single" w:color="000000" w:sz="10" w:space="0"/>
              <w:right w:val="single" w:color="000000" w:sz="4" w:space="0"/>
            </w:tcBorders>
            <w:vAlign w:val="top"/>
          </w:tcPr>
          <w:p>
            <w:pPr>
              <w:spacing w:before="173" w:line="228" w:lineRule="auto"/>
              <w:ind w:left="116"/>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条款号</w:t>
            </w:r>
          </w:p>
        </w:tc>
        <w:tc>
          <w:tcPr>
            <w:tcW w:w="2250" w:type="dxa"/>
            <w:tcBorders>
              <w:left w:val="single" w:color="000000" w:sz="4" w:space="0"/>
              <w:right w:val="single" w:color="000000" w:sz="4" w:space="0"/>
            </w:tcBorders>
            <w:vAlign w:val="top"/>
          </w:tcPr>
          <w:p>
            <w:pPr>
              <w:spacing w:before="173" w:line="228" w:lineRule="auto"/>
              <w:ind w:left="700"/>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条款内</w:t>
            </w:r>
            <w:r>
              <w:rPr>
                <w:rFonts w:hint="eastAsia" w:ascii="宋体" w:hAnsi="宋体" w:eastAsia="宋体" w:cs="宋体"/>
                <w:color w:val="auto"/>
                <w:spacing w:val="6"/>
                <w:sz w:val="21"/>
                <w:szCs w:val="21"/>
                <w:highlight w:val="none"/>
              </w:rPr>
              <w:t>容</w:t>
            </w:r>
          </w:p>
        </w:tc>
        <w:tc>
          <w:tcPr>
            <w:tcW w:w="6084" w:type="dxa"/>
            <w:tcBorders>
              <w:left w:val="single" w:color="000000" w:sz="4" w:space="0"/>
              <w:right w:val="single" w:color="000000" w:sz="10" w:space="0"/>
            </w:tcBorders>
            <w:vAlign w:val="top"/>
          </w:tcPr>
          <w:p>
            <w:pPr>
              <w:spacing w:before="173" w:line="228" w:lineRule="auto"/>
              <w:ind w:left="2619"/>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编列内</w:t>
            </w:r>
            <w:r>
              <w:rPr>
                <w:rFonts w:hint="eastAsia" w:ascii="宋体" w:hAnsi="宋体" w:eastAsia="宋体" w:cs="宋体"/>
                <w:color w:val="auto"/>
                <w:spacing w:val="6"/>
                <w:sz w:val="21"/>
                <w:szCs w:val="21"/>
                <w:highlight w:val="none"/>
              </w:rPr>
              <w:t>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873" w:type="dxa"/>
            <w:tcBorders>
              <w:left w:val="single" w:color="000000" w:sz="10" w:space="0"/>
              <w:right w:val="single" w:color="000000" w:sz="4" w:space="0"/>
            </w:tcBorders>
            <w:vAlign w:val="center"/>
          </w:tcPr>
          <w:p>
            <w:pPr>
              <w:spacing w:before="281" w:line="195" w:lineRule="auto"/>
              <w:jc w:val="center"/>
              <w:rPr>
                <w:rFonts w:hint="eastAsia" w:ascii="宋体" w:hAnsi="宋体" w:eastAsia="宋体" w:cs="宋体"/>
                <w:color w:val="auto"/>
                <w:spacing w:val="3"/>
                <w:position w:val="1"/>
                <w:sz w:val="21"/>
                <w:szCs w:val="21"/>
                <w:highlight w:val="none"/>
                <w:lang w:val="en-US" w:eastAsia="zh-CN"/>
              </w:rPr>
            </w:pPr>
            <w:r>
              <w:rPr>
                <w:rFonts w:hint="eastAsia" w:ascii="宋体" w:hAnsi="宋体" w:eastAsia="宋体" w:cs="宋体"/>
                <w:color w:val="auto"/>
                <w:spacing w:val="3"/>
                <w:position w:val="1"/>
                <w:sz w:val="21"/>
                <w:szCs w:val="21"/>
                <w:highlight w:val="none"/>
              </w:rPr>
              <w:t>2.2.</w:t>
            </w:r>
            <w:r>
              <w:rPr>
                <w:rFonts w:hint="eastAsia" w:ascii="宋体" w:hAnsi="宋体" w:eastAsia="宋体" w:cs="宋体"/>
                <w:color w:val="auto"/>
                <w:spacing w:val="3"/>
                <w:position w:val="1"/>
                <w:sz w:val="21"/>
                <w:szCs w:val="21"/>
                <w:highlight w:val="none"/>
                <w:lang w:val="en-US" w:eastAsia="zh-CN"/>
              </w:rPr>
              <w:t>4</w:t>
            </w:r>
          </w:p>
          <w:p>
            <w:pPr>
              <w:spacing w:before="281" w:line="195" w:lineRule="auto"/>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3"/>
                <w:position w:val="1"/>
                <w:sz w:val="21"/>
                <w:szCs w:val="21"/>
                <w:highlight w:val="none"/>
              </w:rPr>
              <w:t>(1)</w:t>
            </w:r>
          </w:p>
        </w:tc>
        <w:tc>
          <w:tcPr>
            <w:tcW w:w="2250" w:type="dxa"/>
            <w:tcBorders>
              <w:left w:val="single" w:color="000000" w:sz="4" w:space="0"/>
              <w:right w:val="single" w:color="000000" w:sz="4" w:space="0"/>
            </w:tcBorders>
            <w:vAlign w:val="center"/>
          </w:tcPr>
          <w:p>
            <w:pPr>
              <w:spacing w:before="65" w:line="227" w:lineRule="auto"/>
              <w:jc w:val="center"/>
              <w:rPr>
                <w:rFonts w:hint="eastAsia" w:ascii="宋体" w:hAnsi="宋体" w:eastAsia="宋体" w:cs="宋体"/>
                <w:color w:val="auto"/>
                <w:spacing w:val="7"/>
                <w:sz w:val="21"/>
                <w:szCs w:val="21"/>
                <w:highlight w:val="none"/>
                <w:lang w:val="en-US" w:eastAsia="zh-CN"/>
              </w:rPr>
            </w:pPr>
            <w:r>
              <w:rPr>
                <w:rFonts w:hint="eastAsia" w:ascii="宋体" w:hAnsi="宋体" w:eastAsia="宋体" w:cs="宋体"/>
                <w:color w:val="auto"/>
                <w:spacing w:val="7"/>
                <w:sz w:val="21"/>
                <w:szCs w:val="21"/>
                <w:highlight w:val="none"/>
                <w:lang w:val="en-US" w:eastAsia="zh-CN"/>
              </w:rPr>
              <w:t>施工组织设计</w:t>
            </w:r>
          </w:p>
          <w:p>
            <w:pPr>
              <w:spacing w:before="65" w:line="227"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lang w:eastAsia="zh-CN"/>
              </w:rPr>
              <w:t>（</w:t>
            </w:r>
            <w:r>
              <w:rPr>
                <w:rFonts w:hint="eastAsia" w:ascii="宋体" w:hAnsi="宋体" w:eastAsia="宋体" w:cs="宋体"/>
                <w:color w:val="auto"/>
                <w:spacing w:val="7"/>
                <w:sz w:val="21"/>
                <w:szCs w:val="21"/>
                <w:highlight w:val="none"/>
                <w:lang w:val="en-US" w:eastAsia="zh-CN"/>
              </w:rPr>
              <w:t>通过制</w:t>
            </w:r>
            <w:r>
              <w:rPr>
                <w:rFonts w:hint="eastAsia" w:ascii="宋体" w:hAnsi="宋体" w:eastAsia="宋体" w:cs="宋体"/>
                <w:color w:val="auto"/>
                <w:spacing w:val="7"/>
                <w:sz w:val="21"/>
                <w:szCs w:val="21"/>
                <w:highlight w:val="none"/>
                <w:lang w:eastAsia="zh-CN"/>
              </w:rPr>
              <w:t>）</w:t>
            </w:r>
          </w:p>
        </w:tc>
        <w:tc>
          <w:tcPr>
            <w:tcW w:w="6084"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8"/>
                <w:sz w:val="21"/>
                <w:szCs w:val="21"/>
                <w:highlight w:val="none"/>
                <w:lang w:val="en-US" w:eastAsia="zh-CN"/>
              </w:rPr>
            </w:pPr>
            <w:r>
              <w:rPr>
                <w:rFonts w:hint="eastAsia" w:ascii="宋体" w:hAnsi="宋体" w:eastAsia="宋体" w:cs="宋体"/>
                <w:color w:val="auto"/>
                <w:spacing w:val="8"/>
                <w:sz w:val="21"/>
                <w:szCs w:val="21"/>
                <w:highlight w:val="none"/>
                <w:lang w:val="en-US" w:eastAsia="zh-CN"/>
              </w:rPr>
              <w:t>（1）具有总体施工组织布置及规划的，通过；否则，不通过。</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8"/>
                <w:sz w:val="21"/>
                <w:szCs w:val="21"/>
                <w:highlight w:val="none"/>
                <w:lang w:val="en-US" w:eastAsia="zh-CN"/>
              </w:rPr>
            </w:pPr>
            <w:r>
              <w:rPr>
                <w:rFonts w:hint="eastAsia" w:ascii="宋体" w:hAnsi="宋体" w:eastAsia="宋体" w:cs="宋体"/>
                <w:color w:val="auto"/>
                <w:spacing w:val="8"/>
                <w:sz w:val="21"/>
                <w:szCs w:val="21"/>
                <w:highlight w:val="none"/>
                <w:lang w:val="en-US" w:eastAsia="zh-CN"/>
              </w:rPr>
              <w:t xml:space="preserve">（2）工程的施工方案具有重点、关键和难点分析的，通过；否则，不通过。 </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8"/>
                <w:sz w:val="21"/>
                <w:szCs w:val="21"/>
                <w:highlight w:val="none"/>
                <w:lang w:val="en-US" w:eastAsia="zh-CN"/>
              </w:rPr>
            </w:pPr>
            <w:r>
              <w:rPr>
                <w:rFonts w:hint="eastAsia" w:ascii="宋体" w:hAnsi="宋体" w:eastAsia="宋体" w:cs="宋体"/>
                <w:color w:val="auto"/>
                <w:spacing w:val="8"/>
                <w:sz w:val="21"/>
                <w:szCs w:val="21"/>
                <w:highlight w:val="none"/>
                <w:lang w:val="en-US" w:eastAsia="zh-CN"/>
              </w:rPr>
              <w:t xml:space="preserve">（3）具有工期关键线路图及保证措施的，通过；否则，不通过。 </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8"/>
                <w:sz w:val="21"/>
                <w:szCs w:val="21"/>
                <w:highlight w:val="none"/>
                <w:lang w:val="en-US" w:eastAsia="zh-CN"/>
              </w:rPr>
            </w:pPr>
            <w:r>
              <w:rPr>
                <w:rFonts w:hint="eastAsia" w:ascii="宋体" w:hAnsi="宋体" w:eastAsia="宋体" w:cs="宋体"/>
                <w:color w:val="auto"/>
                <w:spacing w:val="8"/>
                <w:sz w:val="21"/>
                <w:szCs w:val="21"/>
                <w:highlight w:val="none"/>
                <w:lang w:val="en-US" w:eastAsia="zh-CN"/>
              </w:rPr>
              <w:t xml:space="preserve">（4）具有关键工程质量保证措施的，通过；否则，不通过。 </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8"/>
                <w:sz w:val="21"/>
                <w:szCs w:val="21"/>
                <w:highlight w:val="none"/>
                <w:lang w:val="en-US" w:eastAsia="zh-CN"/>
              </w:rPr>
            </w:pPr>
            <w:r>
              <w:rPr>
                <w:rFonts w:hint="eastAsia" w:ascii="宋体" w:hAnsi="宋体" w:eastAsia="宋体" w:cs="宋体"/>
                <w:color w:val="auto"/>
                <w:spacing w:val="8"/>
                <w:sz w:val="21"/>
                <w:szCs w:val="21"/>
                <w:highlight w:val="none"/>
                <w:lang w:val="en-US" w:eastAsia="zh-CN"/>
              </w:rPr>
              <w:t>（5）具有安全保证措施的，通过；否则，不通过。</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8"/>
                <w:sz w:val="21"/>
                <w:szCs w:val="21"/>
                <w:highlight w:val="none"/>
                <w:lang w:val="en-US" w:eastAsia="zh-CN"/>
              </w:rPr>
            </w:pPr>
            <w:r>
              <w:rPr>
                <w:rFonts w:hint="eastAsia" w:ascii="宋体" w:hAnsi="宋体" w:eastAsia="宋体" w:cs="宋体"/>
                <w:color w:val="auto"/>
                <w:spacing w:val="8"/>
                <w:sz w:val="21"/>
                <w:szCs w:val="21"/>
                <w:highlight w:val="none"/>
                <w:lang w:val="en-US" w:eastAsia="zh-CN"/>
              </w:rPr>
              <w:t>（6）具有环境保护、水土保持、文明施工、文物保护保证措施的，通过；否则，不通过。</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8"/>
                <w:position w:val="1"/>
                <w:sz w:val="21"/>
                <w:szCs w:val="21"/>
                <w:highlight w:val="none"/>
              </w:rPr>
            </w:pPr>
            <w:r>
              <w:rPr>
                <w:rFonts w:hint="eastAsia" w:ascii="宋体" w:hAnsi="宋体" w:eastAsia="宋体" w:cs="宋体"/>
                <w:color w:val="auto"/>
                <w:spacing w:val="8"/>
                <w:sz w:val="21"/>
                <w:szCs w:val="21"/>
                <w:highlight w:val="none"/>
                <w:lang w:val="en-US" w:eastAsia="zh-CN"/>
              </w:rPr>
              <w:t>（7）具有项目风险预测与防范，事故应急预案的，通过；否则，不通过。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9" w:hRule="atLeast"/>
        </w:trPr>
        <w:tc>
          <w:tcPr>
            <w:tcW w:w="873" w:type="dxa"/>
            <w:tcBorders>
              <w:left w:val="single" w:color="000000" w:sz="10" w:space="0"/>
              <w:right w:val="single" w:color="000000" w:sz="4" w:space="0"/>
            </w:tcBorders>
            <w:vAlign w:val="center"/>
          </w:tcPr>
          <w:p>
            <w:pPr>
              <w:spacing w:line="293" w:lineRule="auto"/>
              <w:jc w:val="both"/>
              <w:rPr>
                <w:rFonts w:hint="eastAsia" w:ascii="宋体" w:hAnsi="宋体" w:eastAsia="宋体" w:cs="宋体"/>
                <w:color w:val="auto"/>
                <w:sz w:val="21"/>
                <w:szCs w:val="21"/>
                <w:highlight w:val="none"/>
              </w:rPr>
            </w:pPr>
          </w:p>
          <w:p>
            <w:pPr>
              <w:spacing w:before="57" w:line="275" w:lineRule="exact"/>
              <w:ind w:left="96"/>
              <w:jc w:val="center"/>
              <w:rPr>
                <w:rFonts w:hint="eastAsia" w:ascii="宋体" w:hAnsi="宋体" w:eastAsia="宋体" w:cs="宋体"/>
                <w:color w:val="auto"/>
                <w:spacing w:val="3"/>
                <w:position w:val="1"/>
                <w:sz w:val="21"/>
                <w:szCs w:val="21"/>
                <w:highlight w:val="none"/>
                <w:lang w:val="en-US" w:eastAsia="zh-CN"/>
              </w:rPr>
            </w:pPr>
            <w:r>
              <w:rPr>
                <w:rFonts w:hint="eastAsia" w:ascii="宋体" w:hAnsi="宋体" w:eastAsia="宋体" w:cs="宋体"/>
                <w:color w:val="auto"/>
                <w:spacing w:val="6"/>
                <w:position w:val="1"/>
                <w:sz w:val="21"/>
                <w:szCs w:val="21"/>
                <w:highlight w:val="none"/>
              </w:rPr>
              <w:t>2</w:t>
            </w:r>
            <w:r>
              <w:rPr>
                <w:rFonts w:hint="eastAsia" w:ascii="宋体" w:hAnsi="宋体" w:eastAsia="宋体" w:cs="宋体"/>
                <w:color w:val="auto"/>
                <w:spacing w:val="5"/>
                <w:position w:val="1"/>
                <w:sz w:val="21"/>
                <w:szCs w:val="21"/>
                <w:highlight w:val="none"/>
              </w:rPr>
              <w:t>.</w:t>
            </w:r>
            <w:r>
              <w:rPr>
                <w:rFonts w:hint="eastAsia" w:ascii="宋体" w:hAnsi="宋体" w:eastAsia="宋体" w:cs="宋体"/>
                <w:color w:val="auto"/>
                <w:spacing w:val="3"/>
                <w:position w:val="1"/>
                <w:sz w:val="21"/>
                <w:szCs w:val="21"/>
                <w:highlight w:val="none"/>
              </w:rPr>
              <w:t>2.</w:t>
            </w:r>
            <w:r>
              <w:rPr>
                <w:rFonts w:hint="eastAsia" w:ascii="宋体" w:hAnsi="宋体" w:eastAsia="宋体" w:cs="宋体"/>
                <w:color w:val="auto"/>
                <w:spacing w:val="3"/>
                <w:position w:val="1"/>
                <w:sz w:val="21"/>
                <w:szCs w:val="21"/>
                <w:highlight w:val="none"/>
                <w:lang w:val="en-US" w:eastAsia="zh-CN"/>
              </w:rPr>
              <w:t>4</w:t>
            </w:r>
          </w:p>
          <w:p>
            <w:pPr>
              <w:spacing w:before="57" w:line="275" w:lineRule="exact"/>
              <w:ind w:left="96"/>
              <w:jc w:val="center"/>
              <w:rPr>
                <w:rFonts w:hint="eastAsia" w:ascii="宋体" w:hAnsi="宋体" w:eastAsia="宋体" w:cs="宋体"/>
                <w:color w:val="auto"/>
                <w:sz w:val="21"/>
                <w:szCs w:val="21"/>
                <w:highlight w:val="none"/>
              </w:rPr>
            </w:pPr>
            <w:r>
              <w:rPr>
                <w:rFonts w:hint="eastAsia" w:ascii="宋体" w:hAnsi="宋体" w:eastAsia="宋体" w:cs="宋体"/>
                <w:color w:val="auto"/>
                <w:spacing w:val="3"/>
                <w:position w:val="1"/>
                <w:sz w:val="21"/>
                <w:szCs w:val="21"/>
                <w:highlight w:val="none"/>
              </w:rPr>
              <w:t>(2)</w:t>
            </w:r>
          </w:p>
        </w:tc>
        <w:tc>
          <w:tcPr>
            <w:tcW w:w="2250" w:type="dxa"/>
            <w:tcBorders>
              <w:left w:val="single" w:color="000000" w:sz="4" w:space="0"/>
              <w:right w:val="single" w:color="000000" w:sz="4" w:space="0"/>
            </w:tcBorders>
            <w:vAlign w:val="center"/>
          </w:tcPr>
          <w:p>
            <w:pPr>
              <w:spacing w:line="297" w:lineRule="auto"/>
              <w:jc w:val="center"/>
              <w:rPr>
                <w:rFonts w:hint="eastAsia" w:ascii="宋体" w:hAnsi="宋体" w:eastAsia="宋体" w:cs="宋体"/>
                <w:color w:val="auto"/>
                <w:sz w:val="21"/>
                <w:szCs w:val="21"/>
                <w:highlight w:val="none"/>
              </w:rPr>
            </w:pPr>
          </w:p>
          <w:p>
            <w:pPr>
              <w:spacing w:before="65" w:line="227"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评标价</w:t>
            </w:r>
          </w:p>
        </w:tc>
        <w:tc>
          <w:tcPr>
            <w:tcW w:w="6084"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评</w:t>
            </w:r>
            <w:r>
              <w:rPr>
                <w:rFonts w:hint="eastAsia" w:ascii="宋体" w:hAnsi="宋体" w:eastAsia="宋体" w:cs="宋体"/>
                <w:color w:val="auto"/>
                <w:spacing w:val="5"/>
                <w:sz w:val="21"/>
                <w:szCs w:val="21"/>
                <w:highlight w:val="none"/>
              </w:rPr>
              <w:t>标价 (</w:t>
            </w:r>
            <w:r>
              <w:rPr>
                <w:rFonts w:hint="eastAsia" w:ascii="宋体" w:hAnsi="宋体" w:eastAsia="宋体" w:cs="宋体"/>
                <w:color w:val="auto"/>
                <w:spacing w:val="5"/>
                <w:sz w:val="21"/>
                <w:szCs w:val="21"/>
                <w:highlight w:val="none"/>
                <w:u w:val="single" w:color="auto"/>
              </w:rPr>
              <w:t xml:space="preserve">98.5 </w:t>
            </w:r>
            <w:r>
              <w:rPr>
                <w:rFonts w:hint="eastAsia" w:ascii="宋体" w:hAnsi="宋体" w:eastAsia="宋体" w:cs="宋体"/>
                <w:color w:val="auto"/>
                <w:spacing w:val="5"/>
                <w:sz w:val="21"/>
                <w:szCs w:val="21"/>
                <w:highlight w:val="none"/>
              </w:rPr>
              <w:t>分)</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4"/>
                <w:sz w:val="21"/>
                <w:szCs w:val="21"/>
                <w:highlight w:val="none"/>
              </w:rPr>
              <w:t>投</w:t>
            </w:r>
            <w:r>
              <w:rPr>
                <w:rFonts w:hint="eastAsia" w:ascii="宋体" w:hAnsi="宋体" w:eastAsia="宋体" w:cs="宋体"/>
                <w:color w:val="auto"/>
                <w:spacing w:val="8"/>
                <w:sz w:val="21"/>
                <w:szCs w:val="21"/>
                <w:highlight w:val="none"/>
              </w:rPr>
              <w:t>标人评标价得分的计算 (保留两位小数)</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29"/>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w:t>
            </w:r>
            <w:r>
              <w:rPr>
                <w:rFonts w:hint="eastAsia" w:ascii="宋体" w:hAnsi="宋体" w:eastAsia="宋体" w:cs="宋体"/>
                <w:color w:val="auto"/>
                <w:spacing w:val="10"/>
                <w:sz w:val="21"/>
                <w:szCs w:val="21"/>
                <w:highlight w:val="none"/>
              </w:rPr>
              <w:t>1)如果投标人的评标价＞评标基准价，则评标价得分＝</w:t>
            </w:r>
            <w:r>
              <w:rPr>
                <w:rFonts w:hint="eastAsia" w:ascii="宋体" w:hAnsi="宋体" w:eastAsia="宋体" w:cs="宋体"/>
                <w:color w:val="auto"/>
                <w:spacing w:val="10"/>
                <w:sz w:val="21"/>
                <w:szCs w:val="21"/>
                <w:highlight w:val="none"/>
                <w:u w:val="single" w:color="auto"/>
              </w:rPr>
              <w:t>98.5</w:t>
            </w:r>
            <w:r>
              <w:rPr>
                <w:rFonts w:hint="eastAsia" w:ascii="宋体" w:hAnsi="宋体" w:eastAsia="宋体" w:cs="宋体"/>
                <w:color w:val="auto"/>
                <w:spacing w:val="10"/>
                <w:sz w:val="21"/>
                <w:szCs w:val="21"/>
                <w:highlight w:val="none"/>
              </w:rPr>
              <w:t>－偏</w:t>
            </w:r>
            <w:r>
              <w:rPr>
                <w:rFonts w:hint="eastAsia" w:ascii="宋体" w:hAnsi="宋体" w:eastAsia="宋体" w:cs="宋体"/>
                <w:color w:val="auto"/>
                <w:spacing w:val="7"/>
                <w:sz w:val="21"/>
                <w:szCs w:val="21"/>
                <w:highlight w:val="none"/>
              </w:rPr>
              <w:t>差</w:t>
            </w:r>
            <w:r>
              <w:rPr>
                <w:rFonts w:hint="eastAsia" w:ascii="宋体" w:hAnsi="宋体" w:eastAsia="宋体" w:cs="宋体"/>
                <w:color w:val="auto"/>
                <w:spacing w:val="5"/>
                <w:sz w:val="21"/>
                <w:szCs w:val="21"/>
                <w:highlight w:val="none"/>
              </w:rPr>
              <w:t>率×100×</w:t>
            </w:r>
            <w:r>
              <w:rPr>
                <w:rFonts w:hint="eastAsia" w:ascii="宋体" w:hAnsi="宋体" w:eastAsia="宋体" w:cs="宋体"/>
                <w:color w:val="auto"/>
                <w:sz w:val="21"/>
                <w:szCs w:val="21"/>
                <w:highlight w:val="none"/>
              </w:rPr>
              <w:t>E</w:t>
            </w:r>
            <w:r>
              <w:rPr>
                <w:rFonts w:hint="eastAsia" w:ascii="宋体" w:hAnsi="宋体" w:eastAsia="宋体" w:cs="宋体"/>
                <w:color w:val="auto"/>
                <w:spacing w:val="5"/>
                <w:position w:val="-1"/>
                <w:sz w:val="21"/>
                <w:szCs w:val="21"/>
                <w:highlight w:val="none"/>
              </w:rPr>
              <w:t>1</w:t>
            </w:r>
            <w:r>
              <w:rPr>
                <w:rFonts w:hint="eastAsia" w:ascii="宋体" w:hAnsi="宋体" w:eastAsia="宋体" w:cs="宋体"/>
                <w:color w:val="auto"/>
                <w:spacing w:val="5"/>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4"/>
                <w:sz w:val="21"/>
                <w:szCs w:val="21"/>
                <w:highlight w:val="none"/>
              </w:rPr>
              <w:t>(2</w:t>
            </w:r>
            <w:r>
              <w:rPr>
                <w:rFonts w:hint="eastAsia" w:ascii="宋体" w:hAnsi="宋体" w:eastAsia="宋体" w:cs="宋体"/>
                <w:color w:val="auto"/>
                <w:spacing w:val="9"/>
                <w:sz w:val="21"/>
                <w:szCs w:val="21"/>
                <w:highlight w:val="none"/>
              </w:rPr>
              <w:t>)</w:t>
            </w:r>
            <w:r>
              <w:rPr>
                <w:rFonts w:hint="eastAsia" w:ascii="宋体" w:hAnsi="宋体" w:eastAsia="宋体" w:cs="宋体"/>
                <w:color w:val="auto"/>
                <w:spacing w:val="7"/>
                <w:sz w:val="21"/>
                <w:szCs w:val="21"/>
                <w:highlight w:val="none"/>
              </w:rPr>
              <w:t>如果投标人的评标价≤评标基准价，则评标价得分＝</w:t>
            </w:r>
            <w:r>
              <w:rPr>
                <w:rFonts w:hint="eastAsia" w:ascii="宋体" w:hAnsi="宋体" w:eastAsia="宋体" w:cs="宋体"/>
                <w:color w:val="auto"/>
                <w:spacing w:val="7"/>
                <w:sz w:val="21"/>
                <w:szCs w:val="21"/>
                <w:highlight w:val="none"/>
                <w:u w:val="single" w:color="auto"/>
              </w:rPr>
              <w:t>98.5</w:t>
            </w:r>
            <w:r>
              <w:rPr>
                <w:rFonts w:hint="eastAsia" w:ascii="宋体" w:hAnsi="宋体" w:eastAsia="宋体" w:cs="宋体"/>
                <w:color w:val="auto"/>
                <w:spacing w:val="7"/>
                <w:sz w:val="21"/>
                <w:szCs w:val="21"/>
                <w:highlight w:val="none"/>
              </w:rPr>
              <w:t>＋偏</w:t>
            </w:r>
            <w:r>
              <w:rPr>
                <w:rFonts w:hint="eastAsia" w:ascii="宋体" w:hAnsi="宋体" w:eastAsia="宋体" w:cs="宋体"/>
                <w:color w:val="auto"/>
                <w:spacing w:val="6"/>
                <w:sz w:val="21"/>
                <w:szCs w:val="21"/>
                <w:highlight w:val="none"/>
              </w:rPr>
              <w:t>差</w:t>
            </w:r>
            <w:r>
              <w:rPr>
                <w:rFonts w:hint="eastAsia" w:ascii="宋体" w:hAnsi="宋体" w:eastAsia="宋体" w:cs="宋体"/>
                <w:color w:val="auto"/>
                <w:spacing w:val="5"/>
                <w:sz w:val="21"/>
                <w:szCs w:val="21"/>
                <w:highlight w:val="none"/>
              </w:rPr>
              <w:t>率×100×</w:t>
            </w:r>
            <w:r>
              <w:rPr>
                <w:rFonts w:hint="eastAsia" w:ascii="宋体" w:hAnsi="宋体" w:eastAsia="宋体" w:cs="宋体"/>
                <w:color w:val="auto"/>
                <w:sz w:val="21"/>
                <w:szCs w:val="21"/>
                <w:highlight w:val="none"/>
              </w:rPr>
              <w:t>E</w:t>
            </w:r>
            <w:r>
              <w:rPr>
                <w:rFonts w:hint="eastAsia" w:ascii="宋体" w:hAnsi="宋体" w:eastAsia="宋体" w:cs="宋体"/>
                <w:color w:val="auto"/>
                <w:spacing w:val="5"/>
                <w:position w:val="-1"/>
                <w:sz w:val="21"/>
                <w:szCs w:val="21"/>
                <w:highlight w:val="none"/>
              </w:rPr>
              <w:t>2</w:t>
            </w:r>
            <w:r>
              <w:rPr>
                <w:rFonts w:hint="eastAsia" w:ascii="宋体" w:hAnsi="宋体" w:eastAsia="宋体" w:cs="宋体"/>
                <w:color w:val="auto"/>
                <w:spacing w:val="5"/>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5"/>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其中：</w:t>
            </w:r>
            <w:r>
              <w:rPr>
                <w:rFonts w:hint="eastAsia" w:ascii="宋体" w:hAnsi="宋体" w:eastAsia="宋体" w:cs="宋体"/>
                <w:color w:val="auto"/>
                <w:sz w:val="21"/>
                <w:szCs w:val="21"/>
                <w:highlight w:val="none"/>
              </w:rPr>
              <w:t>E</w:t>
            </w:r>
            <w:r>
              <w:rPr>
                <w:rFonts w:hint="eastAsia" w:ascii="宋体" w:hAnsi="宋体" w:eastAsia="宋体" w:cs="宋体"/>
                <w:color w:val="auto"/>
                <w:spacing w:val="-1"/>
                <w:position w:val="-1"/>
                <w:sz w:val="21"/>
                <w:szCs w:val="21"/>
                <w:highlight w:val="none"/>
              </w:rPr>
              <w:t>1</w:t>
            </w:r>
            <w:r>
              <w:rPr>
                <w:rFonts w:hint="eastAsia" w:ascii="宋体" w:hAnsi="宋体" w:eastAsia="宋体" w:cs="宋体"/>
                <w:color w:val="auto"/>
                <w:spacing w:val="-1"/>
                <w:sz w:val="21"/>
                <w:szCs w:val="21"/>
                <w:highlight w:val="none"/>
              </w:rPr>
              <w:t>＝</w:t>
            </w:r>
            <w:r>
              <w:rPr>
                <w:rFonts w:hint="eastAsia" w:ascii="宋体" w:hAnsi="宋体" w:eastAsia="宋体" w:cs="宋体"/>
                <w:color w:val="auto"/>
                <w:sz w:val="21"/>
                <w:szCs w:val="21"/>
                <w:highlight w:val="none"/>
                <w:u w:val="single" w:color="auto"/>
              </w:rPr>
              <w:t>1.5</w:t>
            </w:r>
            <w:r>
              <w:rPr>
                <w:rFonts w:hint="eastAsia" w:ascii="宋体" w:hAnsi="宋体" w:eastAsia="宋体" w:cs="宋体"/>
                <w:color w:val="auto"/>
                <w:sz w:val="21"/>
                <w:szCs w:val="21"/>
                <w:highlight w:val="none"/>
              </w:rPr>
              <w:t>；E</w:t>
            </w:r>
            <w:r>
              <w:rPr>
                <w:rFonts w:hint="eastAsia" w:ascii="宋体" w:hAnsi="宋体" w:eastAsia="宋体" w:cs="宋体"/>
                <w:color w:val="auto"/>
                <w:position w:val="-1"/>
                <w:sz w:val="21"/>
                <w:szCs w:val="21"/>
                <w:highlight w:val="none"/>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color="auto"/>
              </w:rPr>
              <w:t>1.0</w:t>
            </w:r>
            <w:r>
              <w:rPr>
                <w:rFonts w:hint="eastAsia" w:ascii="宋体" w:hAnsi="宋体" w:eastAsia="宋体" w:cs="宋体"/>
                <w:color w:val="auto"/>
                <w:sz w:val="21"/>
                <w:szCs w:val="21"/>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2" w:hRule="atLeast"/>
        </w:trPr>
        <w:tc>
          <w:tcPr>
            <w:tcW w:w="873" w:type="dxa"/>
            <w:tcBorders>
              <w:left w:val="single" w:color="000000" w:sz="10" w:space="0"/>
              <w:right w:val="single" w:color="000000" w:sz="4" w:space="0"/>
            </w:tcBorders>
            <w:vAlign w:val="center"/>
          </w:tcPr>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right="3"/>
              <w:jc w:val="center"/>
              <w:rPr>
                <w:rFonts w:hint="eastAsia" w:ascii="宋体" w:hAnsi="宋体" w:eastAsia="宋体" w:cs="宋体"/>
                <w:color w:val="auto"/>
                <w:spacing w:val="3"/>
                <w:position w:val="1"/>
                <w:sz w:val="21"/>
                <w:szCs w:val="21"/>
                <w:highlight w:val="none"/>
                <w:lang w:val="en-US" w:eastAsia="zh-CN"/>
              </w:rPr>
            </w:pPr>
            <w:r>
              <w:rPr>
                <w:rFonts w:hint="eastAsia" w:ascii="宋体" w:hAnsi="宋体" w:eastAsia="宋体" w:cs="宋体"/>
                <w:color w:val="auto"/>
                <w:spacing w:val="3"/>
                <w:position w:val="1"/>
                <w:sz w:val="21"/>
                <w:szCs w:val="21"/>
                <w:highlight w:val="none"/>
              </w:rPr>
              <w:t>2.2.</w:t>
            </w:r>
            <w:r>
              <w:rPr>
                <w:rFonts w:hint="eastAsia" w:ascii="宋体" w:hAnsi="宋体" w:eastAsia="宋体" w:cs="宋体"/>
                <w:color w:val="auto"/>
                <w:spacing w:val="3"/>
                <w:position w:val="1"/>
                <w:sz w:val="21"/>
                <w:szCs w:val="21"/>
                <w:highlight w:val="none"/>
                <w:lang w:val="en-US" w:eastAsia="zh-CN"/>
              </w:rPr>
              <w:t>4</w:t>
            </w:r>
          </w:p>
          <w:p>
            <w:pPr>
              <w:spacing w:line="385" w:lineRule="auto"/>
              <w:ind w:right="3"/>
              <w:jc w:val="center"/>
              <w:rPr>
                <w:rFonts w:hint="eastAsia" w:ascii="宋体" w:hAnsi="宋体" w:eastAsia="宋体" w:cs="宋体"/>
                <w:color w:val="auto"/>
                <w:spacing w:val="7"/>
                <w:sz w:val="21"/>
                <w:szCs w:val="21"/>
                <w:highlight w:val="none"/>
              </w:rPr>
            </w:pPr>
            <w:r>
              <w:rPr>
                <w:rFonts w:hint="eastAsia" w:ascii="宋体" w:hAnsi="宋体" w:eastAsia="宋体" w:cs="宋体"/>
                <w:color w:val="auto"/>
                <w:spacing w:val="3"/>
                <w:position w:val="1"/>
                <w:sz w:val="21"/>
                <w:szCs w:val="21"/>
                <w:highlight w:val="none"/>
              </w:rPr>
              <w:t>(3)</w:t>
            </w:r>
          </w:p>
        </w:tc>
        <w:tc>
          <w:tcPr>
            <w:tcW w:w="2250" w:type="dxa"/>
            <w:tcBorders>
              <w:left w:val="single" w:color="000000" w:sz="4" w:space="0"/>
              <w:right w:val="single" w:color="000000" w:sz="4" w:space="0"/>
            </w:tcBorders>
            <w:vAlign w:val="center"/>
          </w:tcPr>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left="6" w:right="3" w:firstLine="209"/>
              <w:jc w:val="center"/>
              <w:rPr>
                <w:rFonts w:hint="eastAsia" w:ascii="宋体" w:hAnsi="宋体" w:eastAsia="宋体" w:cs="宋体"/>
                <w:color w:val="auto"/>
                <w:spacing w:val="7"/>
                <w:sz w:val="21"/>
                <w:szCs w:val="21"/>
                <w:highlight w:val="none"/>
              </w:rPr>
            </w:pPr>
          </w:p>
          <w:p>
            <w:pPr>
              <w:spacing w:line="385" w:lineRule="auto"/>
              <w:ind w:left="6" w:right="3" w:firstLine="209"/>
              <w:jc w:val="center"/>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信誉</w:t>
            </w:r>
          </w:p>
        </w:tc>
        <w:tc>
          <w:tcPr>
            <w:tcW w:w="6084"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60" w:lineRule="exact"/>
              <w:ind w:left="6" w:right="6" w:firstLine="210"/>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 xml:space="preserve">信誉 </w:t>
            </w:r>
            <w:r>
              <w:rPr>
                <w:rFonts w:hint="eastAsia" w:ascii="宋体" w:hAnsi="宋体" w:eastAsia="宋体" w:cs="宋体"/>
                <w:color w:val="auto"/>
                <w:spacing w:val="7"/>
                <w:sz w:val="21"/>
                <w:szCs w:val="21"/>
                <w:highlight w:val="none"/>
                <w:u w:val="single"/>
              </w:rPr>
              <w:t xml:space="preserve"> 1.5</w:t>
            </w:r>
            <w:r>
              <w:rPr>
                <w:rFonts w:hint="eastAsia" w:ascii="宋体" w:hAnsi="宋体" w:eastAsia="宋体" w:cs="宋体"/>
                <w:color w:val="auto"/>
                <w:spacing w:val="7"/>
                <w:sz w:val="21"/>
                <w:szCs w:val="21"/>
                <w:highlight w:val="none"/>
              </w:rPr>
              <w:t xml:space="preserve"> 分</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6" w:right="6" w:firstLine="210"/>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12"/>
                <w:sz w:val="21"/>
                <w:szCs w:val="21"/>
                <w:highlight w:val="none"/>
                <w:lang w:eastAsia="zh-CN"/>
              </w:rPr>
              <w:t>☑</w:t>
            </w:r>
            <w:r>
              <w:rPr>
                <w:rFonts w:hint="eastAsia" w:ascii="宋体" w:hAnsi="宋体" w:eastAsia="宋体" w:cs="宋体"/>
                <w:color w:val="auto"/>
                <w:spacing w:val="7"/>
                <w:sz w:val="21"/>
                <w:szCs w:val="21"/>
                <w:highlight w:val="none"/>
              </w:rPr>
              <w:t>(1)人员信息公开得分：下列人员信息在浙江省交通运输信用综合管理服务系统中已全部公开，且投标文件中提供了带有系统水印的《主要人员信息一览表》打印件的，得0.5分：</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6" w:right="6" w:firstLine="210"/>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a.项目经理的职称证信息、建造师注册证书信息、有效期内的安全生产考核合格证书(B类)信息；</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6" w:right="6" w:firstLine="210"/>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b.项目技术负责人的职称证信息、有效期内的安全生产考核合格证书(B类)信息；</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6" w:right="3" w:firstLine="209"/>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c.安全负责人的有效期内的安全生产考核合格证书(C类)信息。</w:t>
            </w:r>
            <w:r>
              <w:rPr>
                <w:rFonts w:hint="eastAsia" w:ascii="宋体" w:hAnsi="宋体" w:eastAsia="宋体" w:cs="宋体"/>
                <w:color w:val="auto"/>
                <w:spacing w:val="12"/>
                <w:sz w:val="21"/>
                <w:szCs w:val="21"/>
                <w:highlight w:val="none"/>
                <w:lang w:eastAsia="zh-CN"/>
              </w:rPr>
              <w:t>☑</w:t>
            </w:r>
            <w:r>
              <w:rPr>
                <w:rFonts w:hint="eastAsia" w:ascii="宋体" w:hAnsi="宋体" w:eastAsia="宋体" w:cs="宋体"/>
                <w:color w:val="auto"/>
                <w:spacing w:val="7"/>
                <w:sz w:val="21"/>
                <w:szCs w:val="21"/>
                <w:highlight w:val="none"/>
              </w:rPr>
              <w:t>(2)企业信用评价结果得分：</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210" w:leftChars="100" w:right="0" w:firstLine="224" w:firstLineChars="100"/>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a. AA、A级投标人在投标中选择使用信用等级得分且有效的，信用等级得分为0.5分(无效或未使用的得0分) ；B级</w:t>
            </w:r>
            <w:r>
              <w:rPr>
                <w:rFonts w:hint="eastAsia" w:ascii="宋体" w:hAnsi="宋体" w:eastAsia="宋体" w:cs="宋体"/>
                <w:color w:val="auto"/>
                <w:spacing w:val="7"/>
                <w:sz w:val="21"/>
                <w:szCs w:val="21"/>
                <w:highlight w:val="none"/>
                <w:lang w:val="en-US" w:eastAsia="zh-CN"/>
              </w:rPr>
              <w:t>得分</w:t>
            </w:r>
            <w:r>
              <w:rPr>
                <w:rFonts w:hint="eastAsia" w:ascii="宋体" w:hAnsi="宋体" w:eastAsia="宋体" w:cs="宋体"/>
                <w:color w:val="auto"/>
                <w:spacing w:val="7"/>
                <w:sz w:val="21"/>
                <w:szCs w:val="21"/>
                <w:highlight w:val="none"/>
              </w:rPr>
              <w:t>为0分；C级得分为-0.5分；D级得分为-5分；</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210" w:leftChars="100" w:right="0" w:firstLine="224" w:firstLineChars="100"/>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b.当年未列入浙江省交通运输厅公路施工企业信用等级名单的投标人</w:t>
            </w:r>
            <w:r>
              <w:rPr>
                <w:rFonts w:hint="eastAsia" w:ascii="宋体" w:hAnsi="宋体" w:eastAsia="宋体" w:cs="宋体"/>
                <w:color w:val="auto"/>
                <w:spacing w:val="7"/>
                <w:sz w:val="21"/>
                <w:szCs w:val="21"/>
                <w:highlight w:val="none"/>
                <w:lang w:eastAsia="zh-CN"/>
              </w:rPr>
              <w:t>，</w:t>
            </w:r>
            <w:r>
              <w:rPr>
                <w:rFonts w:hint="eastAsia" w:ascii="宋体" w:hAnsi="宋体" w:eastAsia="宋体" w:cs="宋体"/>
                <w:color w:val="auto"/>
                <w:spacing w:val="7"/>
                <w:sz w:val="21"/>
                <w:szCs w:val="21"/>
                <w:highlight w:val="none"/>
              </w:rPr>
              <w:t>其信用等级得分按0分计算。</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210" w:leftChars="100" w:right="0" w:firstLine="224" w:firstLineChars="100"/>
              <w:textAlignment w:val="baseline"/>
              <w:rPr>
                <w:rFonts w:hint="eastAsia" w:ascii="宋体" w:hAnsi="宋体" w:eastAsia="宋体" w:cs="宋体"/>
                <w:color w:val="auto"/>
                <w:spacing w:val="7"/>
                <w:sz w:val="21"/>
                <w:szCs w:val="21"/>
                <w:highlight w:val="none"/>
                <w:lang w:eastAsia="zh-CN"/>
              </w:rPr>
            </w:pPr>
            <w:r>
              <w:rPr>
                <w:rFonts w:hint="eastAsia" w:ascii="宋体" w:hAnsi="宋体" w:eastAsia="宋体" w:cs="宋体"/>
                <w:color w:val="auto"/>
                <w:spacing w:val="7"/>
                <w:sz w:val="21"/>
                <w:szCs w:val="21"/>
                <w:highlight w:val="none"/>
              </w:rPr>
              <w:t>注：投标人选择使用AA、A级信用等级得分的，投标文件中须提供从浙江省交通运输信用综合管理服务系统中打印的《信用评价结果使用承诺书》(承诺书在“浙江省交通运输信用综合管理服务系统”中打印，</w:t>
            </w:r>
            <w:r>
              <w:rPr>
                <w:rFonts w:hint="eastAsia" w:ascii="宋体" w:hAnsi="宋体" w:eastAsia="宋体" w:cs="宋体"/>
                <w:color w:val="auto"/>
                <w:spacing w:val="7"/>
                <w:sz w:val="21"/>
                <w:szCs w:val="21"/>
                <w:highlight w:val="none"/>
                <w:lang w:val="en-US" w:eastAsia="zh-CN"/>
              </w:rPr>
              <w:t>打印时间为本项目招标公告发布之日起有效，</w:t>
            </w:r>
            <w:r>
              <w:rPr>
                <w:rFonts w:hint="eastAsia" w:ascii="宋体" w:hAnsi="宋体" w:eastAsia="宋体" w:cs="宋体"/>
                <w:color w:val="auto"/>
                <w:spacing w:val="7"/>
                <w:sz w:val="21"/>
                <w:szCs w:val="21"/>
                <w:highlight w:val="none"/>
              </w:rPr>
              <w:t>且含该系统水印)</w:t>
            </w:r>
            <w:r>
              <w:rPr>
                <w:rFonts w:hint="eastAsia" w:ascii="宋体" w:hAnsi="宋体" w:eastAsia="宋体" w:cs="宋体"/>
                <w:color w:val="auto"/>
                <w:spacing w:val="7"/>
                <w:sz w:val="21"/>
                <w:szCs w:val="21"/>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210" w:leftChars="100" w:right="0" w:firstLine="224" w:firstLineChars="100"/>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lang w:eastAsia="zh-CN"/>
              </w:rPr>
              <w:t>☑</w:t>
            </w:r>
            <w:r>
              <w:rPr>
                <w:rFonts w:hint="eastAsia" w:ascii="宋体" w:hAnsi="宋体" w:eastAsia="宋体" w:cs="宋体"/>
                <w:color w:val="auto"/>
                <w:spacing w:val="7"/>
                <w:sz w:val="21"/>
                <w:szCs w:val="21"/>
                <w:highlight w:val="none"/>
              </w:rPr>
              <w:t>(3)</w:t>
            </w:r>
            <w:r>
              <w:rPr>
                <w:rFonts w:hint="eastAsia" w:ascii="宋体" w:hAnsi="宋体" w:eastAsia="宋体" w:cs="宋体"/>
                <w:snapToGrid/>
                <w:color w:val="auto"/>
                <w:kern w:val="2"/>
                <w:sz w:val="21"/>
                <w:szCs w:val="21"/>
                <w:highlight w:val="none"/>
                <w:lang w:val="en-US" w:eastAsia="zh-CN" w:bidi="ar-SA"/>
              </w:rPr>
              <w:t>主要人员信用评价得分：</w:t>
            </w:r>
            <w:r>
              <w:rPr>
                <w:rFonts w:hint="eastAsia" w:ascii="宋体" w:hAnsi="宋体" w:eastAsia="宋体" w:cs="宋体"/>
                <w:color w:val="auto"/>
                <w:spacing w:val="8"/>
                <w:sz w:val="21"/>
                <w:szCs w:val="21"/>
                <w:highlight w:val="none"/>
              </w:rPr>
              <w:t>根据浙江省交通运输厅公布的信用评价结果，拟任项目经理为 AA 或 A 级的得 0.3 分，为 D 级的得</w:t>
            </w:r>
            <w:r>
              <w:rPr>
                <w:rFonts w:hint="eastAsia" w:ascii="宋体" w:hAnsi="宋体" w:eastAsia="宋体" w:cs="宋体"/>
                <w:color w:val="auto"/>
                <w:spacing w:val="8"/>
                <w:sz w:val="21"/>
                <w:szCs w:val="21"/>
                <w:highlight w:val="none"/>
                <w:lang w:val="en-US" w:eastAsia="zh-CN"/>
              </w:rPr>
              <w:t xml:space="preserve"> </w:t>
            </w:r>
            <w:r>
              <w:rPr>
                <w:rFonts w:hint="eastAsia" w:ascii="宋体" w:hAnsi="宋体" w:eastAsia="宋体" w:cs="宋体"/>
                <w:color w:val="auto"/>
                <w:spacing w:val="8"/>
                <w:sz w:val="21"/>
                <w:szCs w:val="21"/>
                <w:highlight w:val="none"/>
              </w:rPr>
              <w:t>-2 分，其余等级或未参加的得 0 分；拟任项目技术负责人为 AA 或 A 级的得 0.1 分，为 D 级 的得- 1 分，其余等级或未参加的得 0 分；拟任安全负责人为 AA 或 A 级的得 0.1 分，为 D 级的得- 1 分，其余等级或未参加的得 0 分</w:t>
            </w:r>
            <w:r>
              <w:rPr>
                <w:rFonts w:hint="eastAsia" w:ascii="宋体" w:hAnsi="宋体" w:eastAsia="宋体" w:cs="宋体"/>
                <w:color w:val="auto"/>
                <w:spacing w:val="7"/>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210" w:leftChars="100" w:right="0" w:firstLine="224" w:firstLineChars="100"/>
              <w:textAlignment w:val="baseline"/>
              <w:rPr>
                <w:rFonts w:hint="default" w:ascii="宋体" w:hAnsi="宋体" w:eastAsia="宋体" w:cs="宋体"/>
                <w:color w:val="auto"/>
                <w:spacing w:val="7"/>
                <w:sz w:val="21"/>
                <w:szCs w:val="21"/>
                <w:highlight w:val="none"/>
                <w:lang w:val="en-US" w:eastAsia="zh-CN"/>
              </w:rPr>
            </w:pPr>
            <w:r>
              <w:rPr>
                <w:rFonts w:hint="eastAsia" w:ascii="宋体" w:hAnsi="宋体" w:eastAsia="宋体" w:cs="宋体"/>
                <w:color w:val="auto"/>
                <w:spacing w:val="7"/>
                <w:sz w:val="21"/>
                <w:szCs w:val="21"/>
                <w:highlight w:val="none"/>
              </w:rPr>
              <w:t>(4)</w:t>
            </w:r>
            <w:r>
              <w:rPr>
                <w:rFonts w:hint="eastAsia" w:ascii="宋体" w:hAnsi="宋体" w:eastAsia="宋体" w:cs="宋体"/>
                <w:color w:val="auto"/>
                <w:spacing w:val="6"/>
                <w:sz w:val="21"/>
                <w:szCs w:val="21"/>
                <w:highlight w:val="none"/>
              </w:rPr>
              <w:t>近一年(</w:t>
            </w:r>
            <w:r>
              <w:rPr>
                <w:rFonts w:hint="eastAsia" w:ascii="宋体" w:hAnsi="宋体" w:eastAsia="宋体" w:cs="宋体"/>
                <w:color w:val="auto"/>
                <w:spacing w:val="6"/>
                <w:sz w:val="21"/>
                <w:szCs w:val="21"/>
                <w:highlight w:val="none"/>
                <w:lang w:val="en-US" w:eastAsia="zh-CN"/>
              </w:rPr>
              <w:t>2022</w:t>
            </w:r>
            <w:r>
              <w:rPr>
                <w:rFonts w:hint="eastAsia" w:ascii="宋体" w:hAnsi="宋体" w:eastAsia="宋体" w:cs="宋体"/>
                <w:color w:val="auto"/>
                <w:spacing w:val="6"/>
                <w:sz w:val="21"/>
                <w:szCs w:val="21"/>
                <w:highlight w:val="none"/>
              </w:rPr>
              <w:t>年</w:t>
            </w:r>
            <w:r>
              <w:rPr>
                <w:rFonts w:hint="eastAsia" w:ascii="宋体" w:hAnsi="宋体" w:eastAsia="宋体" w:cs="宋体"/>
                <w:color w:val="auto"/>
                <w:spacing w:val="6"/>
                <w:sz w:val="21"/>
                <w:szCs w:val="21"/>
                <w:highlight w:val="none"/>
                <w:lang w:val="en-US" w:eastAsia="zh-CN"/>
              </w:rPr>
              <w:t>1</w:t>
            </w:r>
            <w:r>
              <w:rPr>
                <w:rFonts w:hint="eastAsia" w:ascii="宋体" w:hAnsi="宋体" w:eastAsia="宋体" w:cs="宋体"/>
                <w:color w:val="auto"/>
                <w:spacing w:val="6"/>
                <w:sz w:val="21"/>
                <w:szCs w:val="21"/>
                <w:highlight w:val="none"/>
              </w:rPr>
              <w:t>月1日以来)</w:t>
            </w:r>
            <w:r>
              <w:rPr>
                <w:rFonts w:hint="eastAsia" w:ascii="宋体" w:hAnsi="宋体" w:eastAsia="宋体" w:cs="宋体"/>
                <w:color w:val="auto"/>
                <w:spacing w:val="7"/>
                <w:sz w:val="21"/>
                <w:szCs w:val="21"/>
                <w:highlight w:val="none"/>
              </w:rPr>
              <w:t>，被交通运输部、浙江省交通 运输厅、浙江省发展和改革委员会三部门以外的省级及以上单位(部门)书面通报限制投标，并在处罚期内的，如实填报的扣1分，隐瞒不报的一经查实，作否决投标处理，并视为投标人提供虚假资料，按投标人须知第3.5.11项处理；</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210" w:leftChars="100" w:right="0" w:firstLine="224" w:firstLineChars="100"/>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(5)</w:t>
            </w:r>
            <w:r>
              <w:rPr>
                <w:rFonts w:hint="eastAsia" w:ascii="宋体" w:hAnsi="宋体" w:eastAsia="宋体" w:cs="宋体"/>
                <w:color w:val="auto"/>
                <w:spacing w:val="10"/>
                <w:sz w:val="21"/>
                <w:szCs w:val="21"/>
                <w:highlight w:val="none"/>
              </w:rPr>
              <w:t>近三年</w:t>
            </w:r>
            <w:r>
              <w:rPr>
                <w:rFonts w:hint="eastAsia" w:ascii="宋体" w:hAnsi="宋体" w:eastAsia="宋体" w:cs="宋体"/>
                <w:color w:val="auto"/>
                <w:spacing w:val="5"/>
                <w:sz w:val="21"/>
                <w:szCs w:val="21"/>
                <w:highlight w:val="none"/>
              </w:rPr>
              <w:t>(</w:t>
            </w:r>
            <w:r>
              <w:rPr>
                <w:rFonts w:hint="eastAsia" w:ascii="宋体" w:hAnsi="宋体" w:eastAsia="宋体" w:cs="宋体"/>
                <w:color w:val="auto"/>
                <w:spacing w:val="5"/>
                <w:sz w:val="21"/>
                <w:szCs w:val="21"/>
                <w:highlight w:val="none"/>
                <w:lang w:val="en-US" w:eastAsia="zh-CN"/>
              </w:rPr>
              <w:t>2020</w:t>
            </w:r>
            <w:r>
              <w:rPr>
                <w:rFonts w:hint="eastAsia" w:ascii="宋体" w:hAnsi="宋体" w:eastAsia="宋体" w:cs="宋体"/>
                <w:color w:val="auto"/>
                <w:spacing w:val="5"/>
                <w:sz w:val="21"/>
                <w:szCs w:val="21"/>
                <w:highlight w:val="none"/>
              </w:rPr>
              <w:t>年</w:t>
            </w:r>
            <w:r>
              <w:rPr>
                <w:rFonts w:hint="eastAsia" w:ascii="宋体" w:hAnsi="宋体" w:eastAsia="宋体" w:cs="宋体"/>
                <w:color w:val="auto"/>
                <w:spacing w:val="5"/>
                <w:sz w:val="21"/>
                <w:szCs w:val="21"/>
                <w:highlight w:val="none"/>
                <w:lang w:val="en-US" w:eastAsia="zh-CN"/>
              </w:rPr>
              <w:t>1</w:t>
            </w:r>
            <w:r>
              <w:rPr>
                <w:rFonts w:hint="eastAsia" w:ascii="宋体" w:hAnsi="宋体" w:eastAsia="宋体" w:cs="宋体"/>
                <w:color w:val="auto"/>
                <w:spacing w:val="5"/>
                <w:sz w:val="21"/>
                <w:szCs w:val="21"/>
                <w:highlight w:val="none"/>
              </w:rPr>
              <w:t>月1日以来)</w:t>
            </w:r>
            <w:r>
              <w:rPr>
                <w:rFonts w:hint="eastAsia" w:ascii="宋体" w:hAnsi="宋体" w:eastAsia="宋体" w:cs="宋体"/>
                <w:color w:val="auto"/>
                <w:spacing w:val="7"/>
                <w:sz w:val="21"/>
                <w:szCs w:val="21"/>
                <w:highlight w:val="none"/>
              </w:rPr>
              <w:t>，投标人或拟委任的项目经理在工程建设领域中，有行贿行为未构成犯罪的，如实填报的扣1分，隐瞒不报的一经查实，作否决投标处理，并视为投标人提供虚假资料，按投标人须知第3.5.11项处理；</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210" w:leftChars="100" w:right="0" w:firstLine="224" w:firstLineChars="100"/>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(6)投标人列入失信黑名单( 以“信用中国” (</w:t>
            </w:r>
            <w:r>
              <w:rPr>
                <w:rFonts w:hint="eastAsia" w:ascii="宋体" w:hAnsi="宋体" w:eastAsia="宋体" w:cs="宋体"/>
                <w:color w:val="auto"/>
                <w:spacing w:val="7"/>
                <w:sz w:val="21"/>
                <w:szCs w:val="21"/>
                <w:highlight w:val="none"/>
              </w:rPr>
              <w:fldChar w:fldCharType="begin"/>
            </w:r>
            <w:r>
              <w:rPr>
                <w:rFonts w:hint="eastAsia" w:ascii="宋体" w:hAnsi="宋体" w:eastAsia="宋体" w:cs="宋体"/>
                <w:color w:val="auto"/>
                <w:spacing w:val="7"/>
                <w:sz w:val="21"/>
                <w:szCs w:val="21"/>
                <w:highlight w:val="none"/>
              </w:rPr>
              <w:instrText xml:space="preserve"> HYPERLINK "http://www.creditchina.gov.cn/" </w:instrText>
            </w:r>
            <w:r>
              <w:rPr>
                <w:rFonts w:hint="eastAsia" w:ascii="宋体" w:hAnsi="宋体" w:eastAsia="宋体" w:cs="宋体"/>
                <w:color w:val="auto"/>
                <w:spacing w:val="7"/>
                <w:sz w:val="21"/>
                <w:szCs w:val="21"/>
                <w:highlight w:val="none"/>
              </w:rPr>
              <w:fldChar w:fldCharType="separate"/>
            </w:r>
            <w:r>
              <w:rPr>
                <w:rFonts w:hint="eastAsia" w:ascii="宋体" w:hAnsi="宋体" w:eastAsia="宋体" w:cs="宋体"/>
                <w:color w:val="auto"/>
                <w:spacing w:val="7"/>
                <w:sz w:val="21"/>
                <w:szCs w:val="21"/>
                <w:highlight w:val="none"/>
              </w:rPr>
              <w:t>http://www.creditchina.gov.cn/</w:t>
            </w:r>
            <w:r>
              <w:rPr>
                <w:rFonts w:hint="eastAsia" w:ascii="宋体" w:hAnsi="宋体" w:eastAsia="宋体" w:cs="宋体"/>
                <w:color w:val="auto"/>
                <w:spacing w:val="7"/>
                <w:sz w:val="21"/>
                <w:szCs w:val="21"/>
                <w:highlight w:val="none"/>
              </w:rPr>
              <w:fldChar w:fldCharType="end"/>
            </w:r>
            <w:r>
              <w:rPr>
                <w:rFonts w:hint="eastAsia" w:ascii="宋体" w:hAnsi="宋体" w:eastAsia="宋体" w:cs="宋体"/>
                <w:color w:val="auto"/>
                <w:spacing w:val="7"/>
                <w:sz w:val="21"/>
                <w:szCs w:val="21"/>
                <w:highlight w:val="none"/>
              </w:rPr>
              <w:t>)联合惩戒栏目中失信人黑名单查询结果为准) 但未被限制投标的，如实填报扣1分，隐瞒不报的一经查实，作否决投标处理，并视为投标人提供虚假资料，按投标人须知第3.5.11项处理。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7" w:hRule="atLeast"/>
        </w:trPr>
        <w:tc>
          <w:tcPr>
            <w:tcW w:w="9207" w:type="dxa"/>
            <w:gridSpan w:val="3"/>
            <w:tcBorders>
              <w:left w:val="single" w:color="000000" w:sz="10" w:space="0"/>
              <w:right w:val="single" w:color="000000" w:sz="10" w:space="0"/>
            </w:tcBorders>
            <w:vAlign w:val="center"/>
          </w:tcPr>
          <w:p>
            <w:pPr>
              <w:spacing w:before="36" w:line="226" w:lineRule="auto"/>
              <w:ind w:left="112"/>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需要补充的其他内容：</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7"/>
                <w:sz w:val="21"/>
                <w:szCs w:val="21"/>
                <w:highlight w:val="none"/>
              </w:rPr>
            </w:pPr>
            <w:r>
              <w:rPr>
                <w:rFonts w:ascii="Times New Roman" w:hAnsi="Times New Roman" w:eastAsia="Times New Roman" w:cs="Times New Roman"/>
                <w:color w:val="auto"/>
                <w:spacing w:val="5"/>
                <w:position w:val="5"/>
                <w:sz w:val="20"/>
                <w:szCs w:val="20"/>
                <w:highlight w:val="none"/>
              </w:rPr>
              <w:t>___________________</w:t>
            </w:r>
            <w:r>
              <w:rPr>
                <w:rFonts w:hint="eastAsia" w:ascii="Times New Roman" w:hAnsi="Times New Roman" w:eastAsia="宋体" w:cs="Times New Roman"/>
                <w:color w:val="auto"/>
                <w:spacing w:val="5"/>
                <w:position w:val="5"/>
                <w:sz w:val="20"/>
                <w:szCs w:val="20"/>
                <w:highlight w:val="none"/>
                <w:u w:val="single"/>
                <w:lang w:val="en-US" w:eastAsia="zh-CN"/>
              </w:rPr>
              <w:t>/</w:t>
            </w:r>
            <w:r>
              <w:rPr>
                <w:rFonts w:ascii="Times New Roman" w:hAnsi="Times New Roman" w:eastAsia="Times New Roman" w:cs="Times New Roman"/>
                <w:color w:val="auto"/>
                <w:spacing w:val="5"/>
                <w:position w:val="5"/>
                <w:sz w:val="20"/>
                <w:szCs w:val="20"/>
                <w:highlight w:val="none"/>
              </w:rPr>
              <w:t>____________________</w:t>
            </w:r>
          </w:p>
        </w:tc>
      </w:tr>
    </w:tbl>
    <w:p>
      <w:pPr>
        <w:spacing w:line="32" w:lineRule="exact"/>
        <w:rPr>
          <w:color w:val="auto"/>
          <w:highlight w:val="none"/>
        </w:rPr>
      </w:pPr>
    </w:p>
    <w:p>
      <w:pPr>
        <w:spacing w:line="268" w:lineRule="auto"/>
        <w:rPr>
          <w:rFonts w:ascii="Arial"/>
          <w:color w:val="auto"/>
          <w:sz w:val="21"/>
          <w:highlight w:val="none"/>
        </w:rPr>
      </w:pPr>
    </w:p>
    <w:p>
      <w:pPr>
        <w:spacing w:line="268" w:lineRule="auto"/>
        <w:rPr>
          <w:rFonts w:ascii="Arial"/>
          <w:color w:val="auto"/>
          <w:sz w:val="21"/>
          <w:highlight w:val="none"/>
        </w:rPr>
      </w:pPr>
    </w:p>
    <w:p>
      <w:pPr>
        <w:spacing w:line="268" w:lineRule="auto"/>
        <w:rPr>
          <w:rFonts w:ascii="Arial"/>
          <w:color w:val="auto"/>
          <w:sz w:val="21"/>
          <w:highlight w:val="none"/>
        </w:rPr>
      </w:pPr>
    </w:p>
    <w:p>
      <w:pPr>
        <w:rPr>
          <w:color w:val="auto"/>
          <w:highlight w:val="none"/>
        </w:rPr>
        <w:sectPr>
          <w:pgSz w:w="11900" w:h="16840"/>
          <w:pgMar w:top="1160" w:right="1304" w:bottom="1445" w:left="1363" w:header="883" w:footer="1234" w:gutter="0"/>
          <w:pgNumType w:fmt="decimal"/>
          <w:cols w:space="720" w:num="1"/>
        </w:sectPr>
      </w:pP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98" w:line="360" w:lineRule="auto"/>
        <w:textAlignment w:val="baseline"/>
        <w:outlineLvl w:val="1"/>
        <w:rPr>
          <w:rFonts w:hint="eastAsia" w:ascii="宋体" w:hAnsi="宋体" w:eastAsia="宋体" w:cs="宋体"/>
          <w:b/>
          <w:bCs/>
          <w:color w:val="auto"/>
          <w:spacing w:val="-4"/>
          <w:sz w:val="24"/>
          <w:szCs w:val="24"/>
          <w:highlight w:val="none"/>
        </w:rPr>
      </w:pPr>
      <w:bookmarkStart w:id="108" w:name="_Toc23771"/>
      <w:bookmarkStart w:id="109" w:name="_Toc6320"/>
      <w:r>
        <w:rPr>
          <w:rFonts w:hint="eastAsia" w:ascii="宋体" w:hAnsi="宋体" w:eastAsia="宋体" w:cs="宋体"/>
          <w:b/>
          <w:bCs/>
          <w:color w:val="auto"/>
          <w:spacing w:val="-4"/>
          <w:sz w:val="24"/>
          <w:szCs w:val="24"/>
          <w:highlight w:val="none"/>
          <w:lang w:val="en-US" w:eastAsia="zh-CN"/>
        </w:rPr>
        <w:t>1.</w:t>
      </w:r>
      <w:r>
        <w:rPr>
          <w:rFonts w:hint="eastAsia" w:ascii="宋体" w:hAnsi="宋体" w:eastAsia="宋体" w:cs="宋体"/>
          <w:b/>
          <w:bCs/>
          <w:color w:val="auto"/>
          <w:spacing w:val="-4"/>
          <w:sz w:val="24"/>
          <w:szCs w:val="24"/>
          <w:highlight w:val="none"/>
        </w:rPr>
        <w:t>评标方法</w:t>
      </w:r>
      <w:bookmarkEnd w:id="108"/>
      <w:bookmarkEnd w:id="109"/>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本次评标采用技术通过制的综合评估法 (合理低价法)。</w:t>
      </w:r>
    </w:p>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firstLine="42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highlight w:val="none"/>
        </w:rPr>
        <w:t>评标委员会对满足招标文件实质性要求的投标文件，按照本章第2.2款规定的评分标准进行打分，并按得分由高到低顺序推荐中标候选人，或根据招标人授权直接确定中标人，但投标报价低于其成本的除外。</w:t>
      </w:r>
      <w:r>
        <w:rPr>
          <w:rFonts w:hint="eastAsia" w:ascii="宋体" w:hAnsi="宋体" w:eastAsia="宋体" w:cs="宋体"/>
          <w:color w:val="auto"/>
          <w:spacing w:val="-2"/>
          <w:sz w:val="21"/>
          <w:szCs w:val="21"/>
          <w:highlight w:val="none"/>
        </w:rPr>
        <w:t>综合评分相等时，除评标办</w:t>
      </w:r>
      <w:r>
        <w:rPr>
          <w:rFonts w:hint="eastAsia" w:ascii="宋体" w:hAnsi="宋体" w:eastAsia="宋体" w:cs="宋体"/>
          <w:color w:val="auto"/>
          <w:spacing w:val="-1"/>
          <w:sz w:val="21"/>
          <w:szCs w:val="21"/>
          <w:highlight w:val="none"/>
        </w:rPr>
        <w:t>法前附表另有约定外，评标委员会应依照以下优先顺序推荐中标候选人或确定</w:t>
      </w:r>
      <w:r>
        <w:rPr>
          <w:rFonts w:hint="eastAsia" w:ascii="宋体" w:hAnsi="宋体" w:eastAsia="宋体" w:cs="宋体"/>
          <w:color w:val="auto"/>
          <w:sz w:val="21"/>
          <w:szCs w:val="21"/>
          <w:highlight w:val="none"/>
        </w:rPr>
        <w:t>中标人：</w:t>
      </w:r>
    </w:p>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firstLine="420"/>
        <w:jc w:val="both"/>
        <w:textAlignment w:val="baseline"/>
        <w:rPr>
          <w:rFonts w:hint="eastAsia"/>
          <w:color w:val="auto"/>
          <w:highlight w:val="none"/>
          <w:lang w:val="en-US" w:eastAsia="zh-CN"/>
        </w:rPr>
      </w:pPr>
      <w:r>
        <w:rPr>
          <w:rFonts w:hint="eastAsia"/>
          <w:color w:val="auto"/>
          <w:highlight w:val="none"/>
          <w:lang w:val="en-US" w:eastAsia="zh-CN"/>
        </w:rPr>
        <w:t>（1）评标价低的投标人优先；</w:t>
      </w:r>
    </w:p>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firstLine="420"/>
        <w:jc w:val="both"/>
        <w:textAlignment w:val="baseline"/>
        <w:rPr>
          <w:rFonts w:hint="eastAsia"/>
          <w:color w:val="auto"/>
          <w:highlight w:val="none"/>
          <w:lang w:val="en-US" w:eastAsia="zh-CN"/>
        </w:rPr>
      </w:pPr>
      <w:r>
        <w:rPr>
          <w:rFonts w:hint="eastAsia"/>
          <w:color w:val="auto"/>
          <w:highlight w:val="none"/>
          <w:lang w:val="en-US" w:eastAsia="zh-CN"/>
        </w:rPr>
        <w:t>（2）信誉得分高的投标人优先。</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360" w:lineRule="auto"/>
        <w:ind w:right="0" w:rightChars="0" w:firstLine="420" w:firstLineChars="200"/>
        <w:textAlignment w:val="baseline"/>
        <w:rPr>
          <w:rFonts w:hint="eastAsia"/>
          <w:color w:val="auto"/>
          <w:highlight w:val="none"/>
          <w:lang w:val="en-US" w:eastAsia="zh-CN"/>
        </w:rPr>
      </w:pPr>
      <w:r>
        <w:rPr>
          <w:rFonts w:hint="eastAsia"/>
          <w:color w:val="auto"/>
          <w:highlight w:val="none"/>
          <w:lang w:val="en-US" w:eastAsia="zh-CN"/>
        </w:rPr>
        <w:t>（3）评标价和信誉得分都相同时，由招标人现场随机抽取确定中标候选人。</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360" w:lineRule="auto"/>
        <w:ind w:right="0" w:rightChars="0" w:firstLine="412" w:firstLineChars="200"/>
        <w:textAlignment w:val="baseline"/>
        <w:rPr>
          <w:rFonts w:hint="eastAsia" w:ascii="宋体" w:hAnsi="宋体" w:eastAsia="宋体" w:cs="宋体"/>
          <w:color w:val="auto"/>
          <w:highlight w:val="none"/>
        </w:rPr>
      </w:pPr>
      <w:r>
        <w:rPr>
          <w:rFonts w:hint="eastAsia" w:ascii="宋体" w:hAnsi="宋体" w:eastAsia="宋体" w:cs="宋体"/>
          <w:color w:val="auto"/>
          <w:spacing w:val="-2"/>
          <w:sz w:val="21"/>
          <w:szCs w:val="21"/>
          <w:highlight w:val="none"/>
        </w:rPr>
        <w:t>若同一个投标人允许参加两个标段投标且</w:t>
      </w:r>
      <w:r>
        <w:rPr>
          <w:rFonts w:hint="eastAsia" w:ascii="宋体" w:hAnsi="宋体" w:eastAsia="宋体" w:cs="宋体"/>
          <w:color w:val="auto"/>
          <w:spacing w:val="-1"/>
          <w:sz w:val="21"/>
          <w:szCs w:val="21"/>
          <w:highlight w:val="none"/>
        </w:rPr>
        <w:t>两个标段的综合得分均为第一名时，取其评标价高的标</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段作为推荐中</w:t>
      </w:r>
      <w:r>
        <w:rPr>
          <w:rFonts w:hint="eastAsia" w:ascii="宋体" w:hAnsi="宋体" w:eastAsia="宋体" w:cs="宋体"/>
          <w:color w:val="auto"/>
          <w:sz w:val="21"/>
          <w:szCs w:val="21"/>
          <w:highlight w:val="none"/>
        </w:rPr>
        <w:t>标候选人，其它标段不再推荐。</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凡评标委员会拟作出否决投标决定的，应先向投标人进行询问核实。未进行询问核实程序的，不得做出否决投标决定(投标人所留联系方式无法联系上、在限定时间内投标人不参加询问核实或未出具答复意见的除外)。</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“评标办法”中规定的否决投标情形， 由评标委员会审核并经过询标程序，其投标文件作否决处理。除此之外招标文件中其他条款均不得作为否决投标的依据。</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lang w:eastAsia="zh-CN"/>
        </w:rPr>
      </w:pPr>
      <w:r>
        <w:rPr>
          <w:rFonts w:hint="eastAsia" w:ascii="宋体" w:hAnsi="宋体" w:eastAsia="宋体" w:cs="宋体"/>
          <w:color w:val="auto"/>
          <w:highlight w:val="none"/>
        </w:rPr>
        <w:t>由于评标标准和方法前后内容不一致或者部分条款存在易引起歧义、模糊的文字，导致难以界定投标文件偏差的性质，评标委员会应当按照有利于投标人的原则进行处理</w:t>
      </w:r>
      <w:r>
        <w:rPr>
          <w:rFonts w:hint="eastAsia" w:ascii="宋体" w:hAnsi="宋体" w:eastAsia="宋体" w:cs="宋体"/>
          <w:color w:val="auto"/>
          <w:highlight w:val="none"/>
          <w:lang w:eastAsia="zh-CN"/>
        </w:rPr>
        <w:t>。</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highlight w:val="none"/>
        </w:rPr>
        <w:t xml:space="preserve">评标委员会成员对需要共同认定的事项存在争议的，应当按照少数服从多数的原则作出结论。持不同意见的评标委员会成员应当在评标报告上以书面形式说明其不同意见和理由并签字确认。评标委员会成员拒绝在评标报告上签字又不书面说明其不同意见和理由的，视为同意评标结果。  </w:t>
      </w:r>
      <w:r>
        <w:rPr>
          <w:rFonts w:hint="eastAsia" w:ascii="宋体" w:hAnsi="宋体" w:eastAsia="宋体" w:cs="宋体"/>
          <w:color w:val="auto"/>
          <w:szCs w:val="21"/>
          <w:highlight w:val="none"/>
        </w:rPr>
        <w:t xml:space="preserve"> </w:t>
      </w:r>
      <w:r>
        <w:rPr>
          <w:rFonts w:hint="eastAsia" w:ascii="宋体" w:hAnsi="宋体" w:eastAsia="宋体" w:cs="宋体"/>
          <w:color w:val="auto"/>
          <w:sz w:val="21"/>
          <w:szCs w:val="21"/>
          <w:highlight w:val="none"/>
        </w:rPr>
        <w:t xml:space="preserve">     </w:t>
      </w:r>
    </w:p>
    <w:p>
      <w:pPr>
        <w:keepNext w:val="0"/>
        <w:keepLines w:val="0"/>
        <w:pageBreakBefore w:val="0"/>
        <w:widowControl/>
        <w:kinsoku/>
        <w:wordWrap/>
        <w:overflowPunct/>
        <w:topLinePunct w:val="0"/>
        <w:autoSpaceDE w:val="0"/>
        <w:autoSpaceDN w:val="0"/>
        <w:bidi w:val="0"/>
        <w:adjustRightInd w:val="0"/>
        <w:snapToGrid w:val="0"/>
        <w:spacing w:line="360" w:lineRule="auto"/>
        <w:ind w:right="58"/>
        <w:textAlignment w:val="baseline"/>
        <w:outlineLvl w:val="1"/>
        <w:rPr>
          <w:rFonts w:hint="eastAsia" w:ascii="宋体" w:hAnsi="宋体" w:eastAsia="宋体" w:cs="宋体"/>
          <w:b/>
          <w:bCs/>
          <w:color w:val="auto"/>
          <w:sz w:val="24"/>
          <w:szCs w:val="24"/>
          <w:highlight w:val="none"/>
        </w:rPr>
      </w:pPr>
      <w:bookmarkStart w:id="110" w:name="_Toc22600"/>
      <w:bookmarkStart w:id="111" w:name="_Toc18634"/>
      <w:r>
        <w:rPr>
          <w:rFonts w:hint="eastAsia" w:ascii="宋体" w:hAnsi="宋体" w:eastAsia="宋体" w:cs="宋体"/>
          <w:b/>
          <w:bCs/>
          <w:color w:val="auto"/>
          <w:spacing w:val="-1"/>
          <w:sz w:val="24"/>
          <w:szCs w:val="24"/>
          <w:highlight w:val="none"/>
        </w:rPr>
        <w:t>2.评审</w:t>
      </w:r>
      <w:r>
        <w:rPr>
          <w:rFonts w:hint="eastAsia" w:ascii="宋体" w:hAnsi="宋体" w:eastAsia="宋体" w:cs="宋体"/>
          <w:b/>
          <w:bCs/>
          <w:color w:val="auto"/>
          <w:sz w:val="24"/>
          <w:szCs w:val="24"/>
          <w:highlight w:val="none"/>
        </w:rPr>
        <w:t>标准</w:t>
      </w:r>
      <w:bookmarkEnd w:id="110"/>
      <w:bookmarkEnd w:id="111"/>
    </w:p>
    <w:p>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2</w:t>
      </w:r>
      <w:r>
        <w:rPr>
          <w:rFonts w:hint="eastAsia" w:ascii="宋体" w:hAnsi="宋体" w:eastAsia="宋体" w:cs="宋体"/>
          <w:color w:val="auto"/>
          <w:spacing w:val="6"/>
          <w:sz w:val="21"/>
          <w:szCs w:val="21"/>
          <w:highlight w:val="none"/>
        </w:rPr>
        <w:t>.1  初步评审标准</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2.1.1  形式评审标准：见评标办法前附表。</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2.1.2  资格评审标准：见评标办法前附表。</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2.1.3  响应性评审标准：见评标办法前附表。</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textAlignment w:val="baseline"/>
        <w:rPr>
          <w:rFonts w:hint="eastAsia" w:ascii="宋体" w:hAnsi="宋体" w:eastAsia="宋体" w:cs="宋体"/>
          <w:color w:val="auto"/>
          <w:highlight w:val="none"/>
        </w:rPr>
      </w:pPr>
      <w:r>
        <w:rPr>
          <w:rFonts w:hint="eastAsia" w:ascii="宋体" w:hAnsi="宋体" w:eastAsia="宋体" w:cs="宋体"/>
          <w:color w:val="auto"/>
          <w:highlight w:val="none"/>
        </w:rPr>
        <w:t>2.2 分值构成与评分标准</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2.2.1 分值构成</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评标价：见评标办法前附表；</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信誉：见评标办法前附表。</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2.2.2 评标基准价计算</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评标基准价计算方法：见评标办法前附表。</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2.2.3 评标价的偏差率计算</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468" w:firstLineChars="200"/>
        <w:textAlignment w:val="baseline"/>
        <w:rPr>
          <w:rFonts w:hint="eastAsia" w:ascii="宋体" w:hAnsi="宋体" w:eastAsia="宋体" w:cs="宋体"/>
          <w:color w:val="auto"/>
          <w:spacing w:val="9"/>
          <w:sz w:val="21"/>
          <w:szCs w:val="21"/>
          <w:highlight w:val="none"/>
        </w:rPr>
      </w:pPr>
      <w:r>
        <w:rPr>
          <w:rFonts w:hint="eastAsia" w:ascii="宋体" w:hAnsi="宋体" w:eastAsia="宋体" w:cs="宋体"/>
          <w:color w:val="auto"/>
          <w:spacing w:val="12"/>
          <w:sz w:val="21"/>
          <w:szCs w:val="21"/>
          <w:highlight w:val="none"/>
        </w:rPr>
        <w:t>评</w:t>
      </w:r>
      <w:r>
        <w:rPr>
          <w:rFonts w:hint="eastAsia" w:ascii="宋体" w:hAnsi="宋体" w:eastAsia="宋体" w:cs="宋体"/>
          <w:color w:val="auto"/>
          <w:spacing w:val="9"/>
          <w:sz w:val="21"/>
          <w:szCs w:val="21"/>
          <w:highlight w:val="none"/>
        </w:rPr>
        <w:t>标价的偏差率计算公式：见评标办法前附表。</w:t>
      </w:r>
      <w:bookmarkStart w:id="112" w:name="_bookmark56"/>
      <w:bookmarkEnd w:id="112"/>
      <w:bookmarkStart w:id="113" w:name="_bookmark57"/>
      <w:bookmarkEnd w:id="113"/>
      <w:bookmarkStart w:id="114" w:name="_bookmark60"/>
      <w:bookmarkEnd w:id="114"/>
      <w:bookmarkStart w:id="115" w:name="_bookmark55"/>
      <w:bookmarkEnd w:id="115"/>
      <w:bookmarkStart w:id="116" w:name="_bookmark58"/>
      <w:bookmarkEnd w:id="116"/>
      <w:bookmarkStart w:id="117" w:name="_bookmark59"/>
      <w:bookmarkEnd w:id="117"/>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2.2.4  评分标准</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施工组织设计</w:t>
      </w:r>
      <w:r>
        <w:rPr>
          <w:rFonts w:hint="eastAsia" w:ascii="宋体" w:hAnsi="宋体" w:eastAsia="宋体" w:cs="宋体"/>
          <w:color w:val="auto"/>
          <w:highlight w:val="none"/>
          <w:lang w:val="en-US" w:eastAsia="zh-CN"/>
        </w:rPr>
        <w:t>评审标准：</w:t>
      </w:r>
      <w:r>
        <w:rPr>
          <w:rFonts w:hint="eastAsia" w:ascii="宋体" w:hAnsi="宋体" w:eastAsia="宋体" w:cs="宋体"/>
          <w:color w:val="auto"/>
          <w:highlight w:val="none"/>
        </w:rPr>
        <w:t>见评标办法前附表；</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评标价评分标准：见评标办法前附表；</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信誉评分标准：见评标办法前附表。</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textAlignment w:val="baseline"/>
        <w:outlineLvl w:val="1"/>
        <w:rPr>
          <w:rFonts w:hint="eastAsia" w:ascii="宋体" w:hAnsi="宋体" w:eastAsia="宋体" w:cs="宋体"/>
          <w:b/>
          <w:bCs/>
          <w:color w:val="auto"/>
          <w:sz w:val="24"/>
          <w:szCs w:val="24"/>
          <w:highlight w:val="none"/>
        </w:rPr>
      </w:pPr>
      <w:bookmarkStart w:id="118" w:name="_Toc17719"/>
      <w:bookmarkStart w:id="119" w:name="_Toc9141"/>
      <w:r>
        <w:rPr>
          <w:rFonts w:hint="eastAsia" w:ascii="宋体" w:hAnsi="宋体" w:eastAsia="宋体" w:cs="宋体"/>
          <w:b/>
          <w:bCs/>
          <w:color w:val="auto"/>
          <w:sz w:val="24"/>
          <w:szCs w:val="24"/>
          <w:highlight w:val="none"/>
        </w:rPr>
        <w:t>3.评标程序</w:t>
      </w:r>
      <w:bookmarkEnd w:id="118"/>
      <w:bookmarkEnd w:id="119"/>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3.1  第一个信封初步评审</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 1.1 评标委员会依据本章第2.1款规定的标准对投标文件第一个信封 (商务及技术文件) 进行初 步评审。有一项不符合评审标准的，评标委员会应否决其投标。</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3.2  第一个信封详细评审</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3.2.1  评标委员会按本章第2.2.4项</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目规定的量化因素</w:t>
      </w:r>
      <w:r>
        <w:rPr>
          <w:rFonts w:hint="eastAsia" w:ascii="宋体" w:hAnsi="宋体" w:eastAsia="宋体" w:cs="宋体"/>
          <w:color w:val="auto"/>
          <w:highlight w:val="none"/>
          <w:lang w:val="en-US" w:eastAsia="zh-CN"/>
        </w:rPr>
        <w:t>对施工组织设计进行评审（对施工组织设计不通过的应否决其投标），并按本章第2.2.4项（</w:t>
      </w:r>
      <w:r>
        <w:rPr>
          <w:rFonts w:hint="eastAsia" w:cs="宋体"/>
          <w:color w:val="auto"/>
          <w:highlight w:val="none"/>
          <w:lang w:val="en-US" w:eastAsia="zh-CN"/>
        </w:rPr>
        <w:t>3</w:t>
      </w:r>
      <w:r>
        <w:rPr>
          <w:rFonts w:hint="eastAsia" w:ascii="宋体" w:hAnsi="宋体" w:eastAsia="宋体" w:cs="宋体"/>
          <w:color w:val="auto"/>
          <w:highlight w:val="none"/>
          <w:lang w:val="en-US" w:eastAsia="zh-CN"/>
        </w:rPr>
        <w:t>）目规定的量化因素</w:t>
      </w:r>
      <w:r>
        <w:rPr>
          <w:rFonts w:hint="eastAsia" w:ascii="宋体" w:hAnsi="宋体" w:eastAsia="宋体" w:cs="宋体"/>
          <w:color w:val="auto"/>
          <w:highlight w:val="none"/>
        </w:rPr>
        <w:t>和分值对信誉部分进行打分，并计算得</w:t>
      </w:r>
      <w:r>
        <w:rPr>
          <w:rFonts w:hint="eastAsia" w:ascii="宋体" w:hAnsi="宋体" w:eastAsia="宋体" w:cs="宋体"/>
          <w:color w:val="auto"/>
          <w:highlight w:val="none"/>
          <w:lang w:val="en-US" w:eastAsia="zh-CN"/>
        </w:rPr>
        <w:t>分。</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3.2.2  信誉得分分值计算保留小数点后两位，小数点后第三位“四舍五入”。</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3.2.3  投标人第一个信封得分=信誉得分。</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3.3  第二个信封开标</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第一个信封 (商务及技术文件) 评审结束后，招标人将按照第二章“投标人须知”第5.1款规定的时间和地点对投标文件第二个信封 (报价文件) 进行开标。</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3.4  第二个信封初步评审</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3.4.1 评标委员会依据本章第2.1款规定的评审标准对投标文件第二个信封 (报价文件) 进行初步评审。有一项不符合评审标准的，评标委员会应否决其投标。</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3.4.2  投标报价有算术错误的，评标委员会按以下原则对投标报价进行修正，或由招标人根据评 标委员会建议在发出中标通知书前对投标报价进行修正，修正的价格经投标人确认后具有约束力。投标人不接受修正价格的，其投标作否决处理。</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(1)投标文件中的大写金额与小写金额不一致的，以大写金额为准；</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(2)总价金额与依据单价计算出的结果不一致的，以单价金额为准修正总价，但单价金额小数点有 明显错误的除外；</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(3)当单价与数量相乘不等于合价时，以单价计算为准，如果单价有明显的小数点位置差错，应以 标出的合价为准，同时对单价予以修正；</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(4)当各子目的合价累计不等于总价时，应以各子目合价累计数为准，修正总价。</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(5)安全生产费、暂估价、暂列金额不满足招标文件规定的，按规定的金额修正。</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3.4.3  工程量清单中的投标报价有其他错误的，评标委员会按以下原则对投标报价进行修正，或 由招标人根据评标委员会建议在发出中标通知书前对投标报价进行修正，修正的价格经投标人确认后</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textAlignment w:val="baseline"/>
        <w:rPr>
          <w:rFonts w:hint="eastAsia" w:ascii="宋体" w:hAnsi="宋体" w:eastAsia="宋体" w:cs="宋体"/>
          <w:color w:val="auto"/>
          <w:highlight w:val="none"/>
        </w:rPr>
      </w:pPr>
      <w:r>
        <w:rPr>
          <w:rFonts w:hint="eastAsia" w:ascii="宋体" w:hAnsi="宋体" w:eastAsia="宋体" w:cs="宋体"/>
          <w:color w:val="auto"/>
          <w:highlight w:val="none"/>
        </w:rPr>
        <w:t>具有约束力。投标人不接受修正价格的，其投标作否决处理。</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(1)在招标人给定的工程量清单中漏报了某个工程子目的单价、合价或总额价，或所报单价、合价 或总额价减少了报价范围，则漏报的工程子目单价、合价和总额价或单价、合价和总额价中减少的报</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textAlignment w:val="baseline"/>
        <w:rPr>
          <w:rFonts w:hint="eastAsia" w:ascii="宋体" w:hAnsi="宋体" w:eastAsia="宋体" w:cs="宋体"/>
          <w:color w:val="auto"/>
          <w:highlight w:val="none"/>
        </w:rPr>
      </w:pPr>
      <w:r>
        <w:rPr>
          <w:rFonts w:hint="eastAsia" w:ascii="宋体" w:hAnsi="宋体" w:eastAsia="宋体" w:cs="宋体"/>
          <w:color w:val="auto"/>
          <w:highlight w:val="none"/>
        </w:rPr>
        <w:t>价内容视为已含入其他工程子目的单价、合价和总额价之中。</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bookmarkStart w:id="120" w:name="_bookmark63"/>
      <w:bookmarkEnd w:id="120"/>
      <w:bookmarkStart w:id="121" w:name="_bookmark62"/>
      <w:bookmarkEnd w:id="121"/>
      <w:bookmarkStart w:id="122" w:name="_bookmark61"/>
      <w:bookmarkEnd w:id="122"/>
      <w:r>
        <w:rPr>
          <w:rFonts w:hint="eastAsia" w:ascii="宋体" w:hAnsi="宋体" w:eastAsia="宋体" w:cs="宋体"/>
          <w:color w:val="auto"/>
          <w:highlight w:val="none"/>
        </w:rPr>
        <w:t>(2)在招标人给定的工程量清单中多报了某个工程子目的单价、合价或总额价，或所报单价、合价 或总额价增加了报价范围，则从投标报价中扣除多报的工程子目报价或工程子目报价中增加了报价范 围的部分报价。</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(3)当单价与数量的乘积与合价 (金额) 虽然一致，但投标人修改了该子目的工程数量， 则其合价 按招标人给定的工程数量乘以投标人所报单价予以修正。</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3.4.4  修正后的最终投标报价若超过最高投标限价，评标委员会应否决其投标。</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3.4.5  修正后的最终投标报价仅作为签订合同的一个依据，不参与评标价得分的计算。</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3.4.6  评标委员会发现投标人的报价明显低于其他投标报价，使得其投标报价可能低于其个别成 本的，应当要求该投标人作出说明并提供相应的证明材料。投标人不能合理说明或者不能提供相应证 明材料的，由评标委员会认定该投标人以低于成本报价竞标， 并否决其投标。</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3.5  第二个信封详细评审</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3.5.1  评标委员会按本章第2.2.4项(</w:t>
      </w:r>
      <w:r>
        <w:rPr>
          <w:rFonts w:hint="eastAsia" w:cs="宋体"/>
          <w:color w:val="auto"/>
          <w:highlight w:val="none"/>
          <w:lang w:val="en-US" w:eastAsia="zh-CN"/>
        </w:rPr>
        <w:t>2</w:t>
      </w:r>
      <w:r>
        <w:rPr>
          <w:rFonts w:hint="eastAsia" w:ascii="宋体" w:hAnsi="宋体" w:eastAsia="宋体" w:cs="宋体"/>
          <w:color w:val="auto"/>
          <w:highlight w:val="none"/>
        </w:rPr>
        <w:t>)目规定的评审因素和分值对评标价计算出得分。</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3.5.2  评标价得分分值计算保留小数点后两位，小数点后第三位“四舍五入”。</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3.5.3  投标人综合得分=投标人第一个信封得分+评标价得分</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3.6  投标文件相关信息的核查</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 xml:space="preserve">3.6.1 </w:t>
      </w:r>
      <w:r>
        <w:rPr>
          <w:rFonts w:hint="eastAsia" w:ascii="宋体" w:hAnsi="宋体" w:eastAsia="宋体" w:cs="宋体"/>
          <w:color w:val="auto"/>
          <w:spacing w:val="6"/>
          <w:sz w:val="20"/>
          <w:szCs w:val="20"/>
          <w:highlight w:val="none"/>
        </w:rPr>
        <w:t>投标人提供的任一项类似项目《主要业绩信息一览表》中涉及本次招标资格审核与投标文件所附的业绩证明材料不一致 (投标人须知 1.12.3 (4) 规定的细微偏差除外)的，资格审查不予通过，并报相应交通运输主管部门按有关规定进行处理。</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3.6.2  评标委员会应对在评标过程中发现的投标人与投标人之间、投标人与招标人之间存在的串 通投标的情形进行评审和认定。 投标人存在串通投标、弄虚作假、行贿等违法行为的，评标委员会应 否决其投标。</w:t>
      </w:r>
    </w:p>
    <w:p>
      <w:pPr>
        <w:pStyle w:val="6"/>
        <w:keepNext w:val="0"/>
        <w:keepLines w:val="0"/>
        <w:pageBreakBefore w:val="0"/>
        <w:widowControl/>
        <w:kinsoku w:val="0"/>
        <w:wordWrap/>
        <w:overflowPunct/>
        <w:topLinePunct w:val="0"/>
        <w:autoSpaceDE w:val="0"/>
        <w:autoSpaceDN w:val="0"/>
        <w:bidi w:val="0"/>
        <w:adjustRightInd w:val="0"/>
        <w:snapToGrid w:val="0"/>
        <w:spacing w:line="33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(1) 有下列情形之一的，属于投标人相互串通投标：</w:t>
      </w:r>
    </w:p>
    <w:p>
      <w:pPr>
        <w:pStyle w:val="6"/>
        <w:keepNext w:val="0"/>
        <w:keepLines w:val="0"/>
        <w:pageBreakBefore w:val="0"/>
        <w:widowControl/>
        <w:kinsoku w:val="0"/>
        <w:wordWrap/>
        <w:overflowPunct/>
        <w:topLinePunct w:val="0"/>
        <w:autoSpaceDE w:val="0"/>
        <w:autoSpaceDN w:val="0"/>
        <w:bidi w:val="0"/>
        <w:adjustRightInd w:val="0"/>
        <w:snapToGrid w:val="0"/>
        <w:spacing w:line="33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a.投标人之间协商投标报价等投标文件的实质性内容；</w:t>
      </w:r>
    </w:p>
    <w:p>
      <w:pPr>
        <w:pStyle w:val="6"/>
        <w:keepNext w:val="0"/>
        <w:keepLines w:val="0"/>
        <w:pageBreakBefore w:val="0"/>
        <w:widowControl/>
        <w:kinsoku w:val="0"/>
        <w:wordWrap/>
        <w:overflowPunct/>
        <w:topLinePunct w:val="0"/>
        <w:autoSpaceDE w:val="0"/>
        <w:autoSpaceDN w:val="0"/>
        <w:bidi w:val="0"/>
        <w:adjustRightInd w:val="0"/>
        <w:snapToGrid w:val="0"/>
        <w:spacing w:line="33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b.投标人之间约定中标人；</w:t>
      </w:r>
    </w:p>
    <w:p>
      <w:pPr>
        <w:pStyle w:val="6"/>
        <w:keepNext w:val="0"/>
        <w:keepLines w:val="0"/>
        <w:pageBreakBefore w:val="0"/>
        <w:widowControl/>
        <w:kinsoku w:val="0"/>
        <w:wordWrap/>
        <w:overflowPunct/>
        <w:topLinePunct w:val="0"/>
        <w:autoSpaceDE w:val="0"/>
        <w:autoSpaceDN w:val="0"/>
        <w:bidi w:val="0"/>
        <w:adjustRightInd w:val="0"/>
        <w:snapToGrid w:val="0"/>
        <w:spacing w:line="33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c.投标人之间约定部分投标人放弃投标或中标；</w:t>
      </w:r>
    </w:p>
    <w:p>
      <w:pPr>
        <w:pStyle w:val="6"/>
        <w:keepNext w:val="0"/>
        <w:keepLines w:val="0"/>
        <w:pageBreakBefore w:val="0"/>
        <w:widowControl/>
        <w:kinsoku w:val="0"/>
        <w:wordWrap/>
        <w:overflowPunct/>
        <w:topLinePunct w:val="0"/>
        <w:autoSpaceDE w:val="0"/>
        <w:autoSpaceDN w:val="0"/>
        <w:bidi w:val="0"/>
        <w:adjustRightInd w:val="0"/>
        <w:snapToGrid w:val="0"/>
        <w:spacing w:line="33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d.属于同一集团、协会、 商会等组织成员的投标人按照该组织要求协同投标；</w:t>
      </w:r>
    </w:p>
    <w:p>
      <w:pPr>
        <w:pStyle w:val="6"/>
        <w:keepNext w:val="0"/>
        <w:keepLines w:val="0"/>
        <w:pageBreakBefore w:val="0"/>
        <w:widowControl/>
        <w:kinsoku w:val="0"/>
        <w:wordWrap/>
        <w:overflowPunct/>
        <w:topLinePunct w:val="0"/>
        <w:autoSpaceDE w:val="0"/>
        <w:autoSpaceDN w:val="0"/>
        <w:bidi w:val="0"/>
        <w:adjustRightInd w:val="0"/>
        <w:snapToGrid w:val="0"/>
        <w:spacing w:line="33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e.投标人之间为谋取中标或排斥特定投标人而采取的其他联合行动。</w:t>
      </w:r>
    </w:p>
    <w:p>
      <w:pPr>
        <w:pStyle w:val="6"/>
        <w:keepNext w:val="0"/>
        <w:keepLines w:val="0"/>
        <w:pageBreakBefore w:val="0"/>
        <w:widowControl/>
        <w:kinsoku w:val="0"/>
        <w:wordWrap/>
        <w:overflowPunct/>
        <w:topLinePunct w:val="0"/>
        <w:autoSpaceDE w:val="0"/>
        <w:autoSpaceDN w:val="0"/>
        <w:bidi w:val="0"/>
        <w:adjustRightInd w:val="0"/>
        <w:snapToGrid w:val="0"/>
        <w:spacing w:line="33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(2) 有下列情形之一的，视为投标人相互串通投标：</w:t>
      </w:r>
    </w:p>
    <w:p>
      <w:pPr>
        <w:pStyle w:val="6"/>
        <w:keepNext w:val="0"/>
        <w:keepLines w:val="0"/>
        <w:pageBreakBefore w:val="0"/>
        <w:widowControl/>
        <w:kinsoku w:val="0"/>
        <w:wordWrap/>
        <w:overflowPunct/>
        <w:topLinePunct w:val="0"/>
        <w:autoSpaceDE w:val="0"/>
        <w:autoSpaceDN w:val="0"/>
        <w:bidi w:val="0"/>
        <w:adjustRightInd w:val="0"/>
        <w:snapToGrid w:val="0"/>
        <w:spacing w:line="33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a.不同投标人的投标文件由同一单位或个人编制；</w:t>
      </w:r>
    </w:p>
    <w:p>
      <w:pPr>
        <w:pStyle w:val="6"/>
        <w:keepNext w:val="0"/>
        <w:keepLines w:val="0"/>
        <w:pageBreakBefore w:val="0"/>
        <w:widowControl/>
        <w:kinsoku w:val="0"/>
        <w:wordWrap/>
        <w:overflowPunct/>
        <w:topLinePunct w:val="0"/>
        <w:autoSpaceDE w:val="0"/>
        <w:autoSpaceDN w:val="0"/>
        <w:bidi w:val="0"/>
        <w:adjustRightInd w:val="0"/>
        <w:snapToGrid w:val="0"/>
        <w:spacing w:line="33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b.不同投标人委托同一单位或个人办理投标事宜；</w:t>
      </w:r>
    </w:p>
    <w:p>
      <w:pPr>
        <w:pStyle w:val="6"/>
        <w:keepNext w:val="0"/>
        <w:keepLines w:val="0"/>
        <w:pageBreakBefore w:val="0"/>
        <w:widowControl/>
        <w:kinsoku w:val="0"/>
        <w:wordWrap/>
        <w:overflowPunct/>
        <w:topLinePunct w:val="0"/>
        <w:autoSpaceDE w:val="0"/>
        <w:autoSpaceDN w:val="0"/>
        <w:bidi w:val="0"/>
        <w:adjustRightInd w:val="0"/>
        <w:snapToGrid w:val="0"/>
        <w:spacing w:line="33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c.不同投标人的投标文件载明的项目管理成员为同一人；</w:t>
      </w:r>
    </w:p>
    <w:p>
      <w:pPr>
        <w:pStyle w:val="6"/>
        <w:keepNext w:val="0"/>
        <w:keepLines w:val="0"/>
        <w:pageBreakBefore w:val="0"/>
        <w:widowControl/>
        <w:kinsoku w:val="0"/>
        <w:wordWrap/>
        <w:overflowPunct/>
        <w:topLinePunct w:val="0"/>
        <w:autoSpaceDE w:val="0"/>
        <w:autoSpaceDN w:val="0"/>
        <w:bidi w:val="0"/>
        <w:adjustRightInd w:val="0"/>
        <w:snapToGrid w:val="0"/>
        <w:spacing w:line="33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d.不同投标人的投标文件异常一致或投标报价呈规律性差异；</w:t>
      </w:r>
    </w:p>
    <w:p>
      <w:pPr>
        <w:pStyle w:val="6"/>
        <w:keepNext w:val="0"/>
        <w:keepLines w:val="0"/>
        <w:pageBreakBefore w:val="0"/>
        <w:widowControl/>
        <w:kinsoku w:val="0"/>
        <w:wordWrap/>
        <w:overflowPunct/>
        <w:topLinePunct w:val="0"/>
        <w:autoSpaceDE w:val="0"/>
        <w:autoSpaceDN w:val="0"/>
        <w:bidi w:val="0"/>
        <w:adjustRightInd w:val="0"/>
        <w:snapToGrid w:val="0"/>
        <w:spacing w:line="33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e.不同投标人的投标文件相互混装；</w:t>
      </w:r>
    </w:p>
    <w:p>
      <w:pPr>
        <w:pStyle w:val="6"/>
        <w:keepNext w:val="0"/>
        <w:keepLines w:val="0"/>
        <w:pageBreakBefore w:val="0"/>
        <w:widowControl/>
        <w:kinsoku w:val="0"/>
        <w:wordWrap/>
        <w:overflowPunct/>
        <w:topLinePunct w:val="0"/>
        <w:autoSpaceDE w:val="0"/>
        <w:autoSpaceDN w:val="0"/>
        <w:bidi w:val="0"/>
        <w:adjustRightInd w:val="0"/>
        <w:snapToGrid w:val="0"/>
        <w:spacing w:line="33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f.不同投标人的投标保证金从同一单位或个人的账户转出。</w:t>
      </w:r>
    </w:p>
    <w:p>
      <w:pPr>
        <w:pStyle w:val="6"/>
        <w:keepNext w:val="0"/>
        <w:keepLines w:val="0"/>
        <w:pageBreakBefore w:val="0"/>
        <w:widowControl/>
        <w:kinsoku w:val="0"/>
        <w:wordWrap/>
        <w:overflowPunct/>
        <w:topLinePunct w:val="0"/>
        <w:autoSpaceDE w:val="0"/>
        <w:autoSpaceDN w:val="0"/>
        <w:bidi w:val="0"/>
        <w:adjustRightInd w:val="0"/>
        <w:snapToGrid w:val="0"/>
        <w:spacing w:line="34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 有下列情形之一的，属于招标人与投标人串通投标：</w:t>
      </w:r>
    </w:p>
    <w:p>
      <w:pPr>
        <w:pStyle w:val="6"/>
        <w:keepNext w:val="0"/>
        <w:keepLines w:val="0"/>
        <w:pageBreakBefore w:val="0"/>
        <w:widowControl/>
        <w:kinsoku w:val="0"/>
        <w:wordWrap/>
        <w:overflowPunct/>
        <w:topLinePunct w:val="0"/>
        <w:autoSpaceDE w:val="0"/>
        <w:autoSpaceDN w:val="0"/>
        <w:bidi w:val="0"/>
        <w:adjustRightInd w:val="0"/>
        <w:snapToGrid w:val="0"/>
        <w:spacing w:line="34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a.招标人在开标前开启投标文件并将有关信息泄露给其他投标人;</w:t>
      </w:r>
    </w:p>
    <w:p>
      <w:pPr>
        <w:pStyle w:val="6"/>
        <w:keepNext w:val="0"/>
        <w:keepLines w:val="0"/>
        <w:pageBreakBefore w:val="0"/>
        <w:widowControl/>
        <w:kinsoku w:val="0"/>
        <w:wordWrap/>
        <w:overflowPunct/>
        <w:topLinePunct w:val="0"/>
        <w:autoSpaceDE w:val="0"/>
        <w:autoSpaceDN w:val="0"/>
        <w:bidi w:val="0"/>
        <w:adjustRightInd w:val="0"/>
        <w:snapToGrid w:val="0"/>
        <w:spacing w:line="34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b.招标人直接或间接向投标人泄露标底、评标委员会成员等信息；</w:t>
      </w:r>
    </w:p>
    <w:p>
      <w:pPr>
        <w:pStyle w:val="6"/>
        <w:keepNext w:val="0"/>
        <w:keepLines w:val="0"/>
        <w:pageBreakBefore w:val="0"/>
        <w:widowControl/>
        <w:kinsoku w:val="0"/>
        <w:wordWrap/>
        <w:overflowPunct/>
        <w:topLinePunct w:val="0"/>
        <w:autoSpaceDE w:val="0"/>
        <w:autoSpaceDN w:val="0"/>
        <w:bidi w:val="0"/>
        <w:adjustRightInd w:val="0"/>
        <w:snapToGrid w:val="0"/>
        <w:spacing w:line="34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c.招标人明示或暗示投标人压低或抬高投标报价；</w:t>
      </w:r>
    </w:p>
    <w:p>
      <w:pPr>
        <w:pStyle w:val="6"/>
        <w:keepNext w:val="0"/>
        <w:keepLines w:val="0"/>
        <w:pageBreakBefore w:val="0"/>
        <w:widowControl/>
        <w:kinsoku w:val="0"/>
        <w:wordWrap/>
        <w:overflowPunct/>
        <w:topLinePunct w:val="0"/>
        <w:autoSpaceDE w:val="0"/>
        <w:autoSpaceDN w:val="0"/>
        <w:bidi w:val="0"/>
        <w:adjustRightInd w:val="0"/>
        <w:snapToGrid w:val="0"/>
        <w:spacing w:line="34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d.招标人授意投标人撤换、修改投标文件；</w:t>
      </w:r>
    </w:p>
    <w:p>
      <w:pPr>
        <w:pStyle w:val="6"/>
        <w:keepNext w:val="0"/>
        <w:keepLines w:val="0"/>
        <w:pageBreakBefore w:val="0"/>
        <w:widowControl/>
        <w:kinsoku w:val="0"/>
        <w:wordWrap/>
        <w:overflowPunct/>
        <w:topLinePunct w:val="0"/>
        <w:autoSpaceDE w:val="0"/>
        <w:autoSpaceDN w:val="0"/>
        <w:bidi w:val="0"/>
        <w:adjustRightInd w:val="0"/>
        <w:snapToGrid w:val="0"/>
        <w:spacing w:line="34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e.招标人明示或暗示投标人为特定投标人中标提供方便；</w:t>
      </w:r>
    </w:p>
    <w:p>
      <w:pPr>
        <w:pStyle w:val="6"/>
        <w:keepNext w:val="0"/>
        <w:keepLines w:val="0"/>
        <w:pageBreakBefore w:val="0"/>
        <w:widowControl/>
        <w:kinsoku w:val="0"/>
        <w:wordWrap/>
        <w:overflowPunct/>
        <w:topLinePunct w:val="0"/>
        <w:autoSpaceDE w:val="0"/>
        <w:autoSpaceDN w:val="0"/>
        <w:bidi w:val="0"/>
        <w:adjustRightInd w:val="0"/>
        <w:snapToGrid w:val="0"/>
        <w:spacing w:line="34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f.招标人与投标人为谋求特定投标人中标而采取的其他串通行为。</w:t>
      </w:r>
    </w:p>
    <w:p>
      <w:pPr>
        <w:pStyle w:val="6"/>
        <w:keepNext w:val="0"/>
        <w:keepLines w:val="0"/>
        <w:pageBreakBefore w:val="0"/>
        <w:widowControl/>
        <w:kinsoku w:val="0"/>
        <w:wordWrap/>
        <w:overflowPunct/>
        <w:topLinePunct w:val="0"/>
        <w:autoSpaceDE w:val="0"/>
        <w:autoSpaceDN w:val="0"/>
        <w:bidi w:val="0"/>
        <w:adjustRightInd w:val="0"/>
        <w:snapToGrid w:val="0"/>
        <w:spacing w:line="34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(4) 投标人有下列情形之一的，属于弄虚作假的行为：</w:t>
      </w:r>
    </w:p>
    <w:p>
      <w:pPr>
        <w:pStyle w:val="6"/>
        <w:keepNext w:val="0"/>
        <w:keepLines w:val="0"/>
        <w:pageBreakBefore w:val="0"/>
        <w:widowControl/>
        <w:kinsoku w:val="0"/>
        <w:wordWrap/>
        <w:overflowPunct/>
        <w:topLinePunct w:val="0"/>
        <w:autoSpaceDE w:val="0"/>
        <w:autoSpaceDN w:val="0"/>
        <w:bidi w:val="0"/>
        <w:adjustRightInd w:val="0"/>
        <w:snapToGrid w:val="0"/>
        <w:spacing w:line="34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a.使用通过受让或租借等方式获取的资格、资质证书投标；</w:t>
      </w:r>
    </w:p>
    <w:p>
      <w:pPr>
        <w:pStyle w:val="6"/>
        <w:keepNext w:val="0"/>
        <w:keepLines w:val="0"/>
        <w:pageBreakBefore w:val="0"/>
        <w:widowControl/>
        <w:kinsoku w:val="0"/>
        <w:wordWrap/>
        <w:overflowPunct/>
        <w:topLinePunct w:val="0"/>
        <w:autoSpaceDE w:val="0"/>
        <w:autoSpaceDN w:val="0"/>
        <w:bidi w:val="0"/>
        <w:adjustRightInd w:val="0"/>
        <w:snapToGrid w:val="0"/>
        <w:spacing w:line="34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b.使用伪造、变造的许可证件；</w:t>
      </w:r>
    </w:p>
    <w:p>
      <w:pPr>
        <w:pStyle w:val="6"/>
        <w:keepNext w:val="0"/>
        <w:keepLines w:val="0"/>
        <w:pageBreakBefore w:val="0"/>
        <w:widowControl/>
        <w:kinsoku w:val="0"/>
        <w:wordWrap/>
        <w:overflowPunct/>
        <w:topLinePunct w:val="0"/>
        <w:autoSpaceDE w:val="0"/>
        <w:autoSpaceDN w:val="0"/>
        <w:bidi w:val="0"/>
        <w:adjustRightInd w:val="0"/>
        <w:snapToGrid w:val="0"/>
        <w:spacing w:line="34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c.提供虚假的财务状况或业绩；</w:t>
      </w:r>
    </w:p>
    <w:p>
      <w:pPr>
        <w:pStyle w:val="6"/>
        <w:keepNext w:val="0"/>
        <w:keepLines w:val="0"/>
        <w:pageBreakBefore w:val="0"/>
        <w:widowControl/>
        <w:kinsoku w:val="0"/>
        <w:wordWrap/>
        <w:overflowPunct/>
        <w:topLinePunct w:val="0"/>
        <w:autoSpaceDE w:val="0"/>
        <w:autoSpaceDN w:val="0"/>
        <w:bidi w:val="0"/>
        <w:adjustRightInd w:val="0"/>
        <w:snapToGrid w:val="0"/>
        <w:spacing w:line="34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d.提供虚假的项目负责人或主要技术人员简历、劳动关系证明；</w:t>
      </w:r>
    </w:p>
    <w:p>
      <w:pPr>
        <w:pStyle w:val="6"/>
        <w:keepNext w:val="0"/>
        <w:keepLines w:val="0"/>
        <w:pageBreakBefore w:val="0"/>
        <w:widowControl/>
        <w:kinsoku w:val="0"/>
        <w:wordWrap/>
        <w:overflowPunct/>
        <w:topLinePunct w:val="0"/>
        <w:autoSpaceDE w:val="0"/>
        <w:autoSpaceDN w:val="0"/>
        <w:bidi w:val="0"/>
        <w:adjustRightInd w:val="0"/>
        <w:snapToGrid w:val="0"/>
        <w:spacing w:line="34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e.提供虚假的信用状况；</w:t>
      </w:r>
    </w:p>
    <w:p>
      <w:pPr>
        <w:pStyle w:val="6"/>
        <w:keepNext w:val="0"/>
        <w:keepLines w:val="0"/>
        <w:pageBreakBefore w:val="0"/>
        <w:widowControl/>
        <w:kinsoku w:val="0"/>
        <w:wordWrap/>
        <w:overflowPunct/>
        <w:topLinePunct w:val="0"/>
        <w:autoSpaceDE w:val="0"/>
        <w:autoSpaceDN w:val="0"/>
        <w:bidi w:val="0"/>
        <w:adjustRightInd w:val="0"/>
        <w:snapToGrid w:val="0"/>
        <w:spacing w:line="34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f.其他弄虚作假的行为。</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3.7  投标文件的澄清和说明</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3.7.1 在评标过程中，评标委员会可以通过“电子交易平台”要求投标人对所提交投标文件中含义不明确的内容、明显文字或计算错误进行书面澄清或说明。评标委员会不接受投标人主动提出的澄清、说明。投标人不按评标委员会要求澄清或说明的，评标委员会应否决其投标。</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3.7.2  澄清和说明不得超出投标文件的范围或改变投标文件的实质性内容 (算术性错误的修正除 外)。投标人的澄清、说明属于投标文件的组成部分。</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3.7.3  评标委员会不得暗示或诱导投标人作出澄清、说明，对投标人提交的澄清、说明有疑问的， 可以要求投标人进一步澄清、说明，直至满足评标委员会的要求。</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3.7.4  凡超出招标文件规定的或给发包人带来未曾要求的利益的变化、偏差或其他因素在评标时 不予考虑。</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3.8  不得否决投标的情形</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投标文件存在第二章“投标人须知”第1.12.3项所列情形的，均视为细微偏差，评标委员会不得否 决投标人的投标，应按照第二章“投标人须知”第1.12.4项规定的原则处理。</w:t>
      </w:r>
    </w:p>
    <w:p>
      <w:pPr>
        <w:pStyle w:val="6"/>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3.9  评标结果</w:t>
      </w:r>
    </w:p>
    <w:p>
      <w:pPr>
        <w:pStyle w:val="6"/>
        <w:keepNext w:val="0"/>
        <w:keepLines w:val="0"/>
        <w:pageBreakBefore w:val="0"/>
        <w:widowControl/>
        <w:kinsoku w:val="0"/>
        <w:wordWrap/>
        <w:overflowPunct/>
        <w:topLinePunct w:val="0"/>
        <w:autoSpaceDE w:val="0"/>
        <w:autoSpaceDN w:val="0"/>
        <w:bidi w:val="0"/>
        <w:adjustRightInd w:val="0"/>
        <w:snapToGrid w:val="0"/>
        <w:spacing w:line="34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3.9.1 除第二章“投标人须知”前附表授权直接确定中标人外，评标委员会按照综合得分由高到低的顺序推荐中标候选人。</w:t>
      </w:r>
    </w:p>
    <w:p>
      <w:pPr>
        <w:pStyle w:val="6"/>
        <w:keepNext w:val="0"/>
        <w:keepLines w:val="0"/>
        <w:pageBreakBefore w:val="0"/>
        <w:widowControl/>
        <w:kinsoku w:val="0"/>
        <w:wordWrap/>
        <w:overflowPunct/>
        <w:topLinePunct w:val="0"/>
        <w:autoSpaceDE w:val="0"/>
        <w:autoSpaceDN w:val="0"/>
        <w:bidi w:val="0"/>
        <w:adjustRightInd w:val="0"/>
        <w:snapToGrid w:val="0"/>
        <w:spacing w:line="340" w:lineRule="exact"/>
        <w:ind w:firstLine="396"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3.9.2 评标委员会完成评标后，应向招标人提交书面评标报告。</w:t>
      </w:r>
    </w:p>
    <w:p>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auto"/>
          <w:sz w:val="21"/>
          <w:szCs w:val="21"/>
          <w:highlight w:val="none"/>
        </w:rPr>
        <w:sectPr>
          <w:pgSz w:w="11900" w:h="16840"/>
          <w:pgMar w:top="1160" w:right="1300" w:bottom="1448" w:left="1363" w:header="883" w:footer="1234" w:gutter="0"/>
          <w:pgNumType w:fmt="decimal"/>
          <w:cols w:space="720" w:num="1"/>
        </w:sectPr>
      </w:pPr>
    </w:p>
    <w:p>
      <w:pPr>
        <w:spacing w:line="244" w:lineRule="auto"/>
        <w:rPr>
          <w:rFonts w:ascii="Arial"/>
          <w:color w:val="auto"/>
          <w:sz w:val="21"/>
          <w:highlight w:val="none"/>
        </w:rPr>
      </w:pPr>
    </w:p>
    <w:p>
      <w:pPr>
        <w:numPr>
          <w:ilvl w:val="0"/>
          <w:numId w:val="8"/>
        </w:numPr>
        <w:spacing w:before="156" w:line="222" w:lineRule="auto"/>
        <w:jc w:val="center"/>
        <w:outlineLvl w:val="0"/>
        <w:rPr>
          <w:rFonts w:hint="eastAsia" w:ascii="宋体" w:hAnsi="宋体" w:eastAsia="宋体" w:cs="宋体"/>
          <w:color w:val="auto"/>
          <w:spacing w:val="-1"/>
          <w:sz w:val="48"/>
          <w:szCs w:val="48"/>
          <w:highlight w:val="none"/>
          <w14:textOutline w14:w="8708" w14:cap="flat" w14:cmpd="sng">
            <w14:solidFill>
              <w14:srgbClr w14:val="000000"/>
            </w14:solidFill>
            <w14:prstDash w14:val="solid"/>
            <w14:miter w14:val="0"/>
          </w14:textOutline>
        </w:rPr>
      </w:pPr>
      <w:bookmarkStart w:id="123" w:name="_bookmark113"/>
      <w:bookmarkEnd w:id="123"/>
      <w:bookmarkStart w:id="124" w:name="_Toc20091"/>
      <w:bookmarkStart w:id="125" w:name="_Toc32504"/>
      <w:bookmarkStart w:id="126" w:name="_Toc2815"/>
      <w:r>
        <w:rPr>
          <w:rFonts w:hint="eastAsia" w:ascii="宋体" w:hAnsi="宋体" w:eastAsia="宋体" w:cs="宋体"/>
          <w:color w:val="auto"/>
          <w:spacing w:val="-1"/>
          <w:sz w:val="48"/>
          <w:szCs w:val="48"/>
          <w:highlight w:val="none"/>
          <w14:textOutline w14:w="8708" w14:cap="flat" w14:cmpd="sng">
            <w14:solidFill>
              <w14:srgbClr w14:val="000000"/>
            </w14:solidFill>
            <w14:prstDash w14:val="solid"/>
            <w14:miter w14:val="0"/>
          </w14:textOutline>
        </w:rPr>
        <w:t>合同条款及格式</w:t>
      </w:r>
      <w:bookmarkEnd w:id="124"/>
      <w:bookmarkEnd w:id="125"/>
      <w:bookmarkEnd w:id="126"/>
      <w:bookmarkStart w:id="127" w:name="_Toc13710"/>
    </w:p>
    <w:p>
      <w:pPr>
        <w:numPr>
          <w:ilvl w:val="0"/>
          <w:numId w:val="0"/>
        </w:numPr>
        <w:spacing w:before="156" w:line="222" w:lineRule="auto"/>
        <w:jc w:val="center"/>
        <w:outlineLvl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14:textOutline w14:w="5094" w14:cap="flat" w14:cmpd="sng">
            <w14:solidFill>
              <w14:srgbClr w14:val="000000"/>
            </w14:solidFill>
            <w14:prstDash w14:val="solid"/>
            <w14:miter w14:val="0"/>
          </w14:textOutline>
        </w:rPr>
        <w:t>第一节</w:t>
      </w: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14:textOutline w14:w="5094" w14:cap="flat" w14:cmpd="sng">
            <w14:solidFill>
              <w14:srgbClr w14:val="000000"/>
            </w14:solidFill>
            <w14:prstDash w14:val="solid"/>
            <w14:miter w14:val="0"/>
          </w14:textOutline>
        </w:rPr>
        <w:t>通用合同条款</w:t>
      </w:r>
      <w:bookmarkEnd w:id="127"/>
    </w:p>
    <w:p>
      <w:pPr>
        <w:spacing w:line="250" w:lineRule="auto"/>
        <w:rPr>
          <w:rFonts w:ascii="Arial"/>
          <w:color w:val="auto"/>
          <w:sz w:val="21"/>
          <w:highlight w:val="none"/>
        </w:rPr>
      </w:pPr>
    </w:p>
    <w:p>
      <w:pPr>
        <w:spacing w:line="250" w:lineRule="auto"/>
        <w:rPr>
          <w:rFonts w:ascii="Arial"/>
          <w:color w:val="auto"/>
          <w:sz w:val="21"/>
          <w:highlight w:val="none"/>
        </w:rPr>
      </w:pPr>
    </w:p>
    <w:p>
      <w:pPr>
        <w:spacing w:line="251" w:lineRule="auto"/>
        <w:rPr>
          <w:rFonts w:hint="eastAsia" w:ascii="宋体" w:hAnsi="宋体" w:eastAsia="宋体" w:cs="宋体"/>
          <w:color w:val="auto"/>
          <w:sz w:val="21"/>
          <w:szCs w:val="21"/>
          <w:highlight w:val="none"/>
        </w:rPr>
      </w:pPr>
    </w:p>
    <w:p>
      <w:pPr>
        <w:spacing w:before="65" w:line="228" w:lineRule="auto"/>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w:t>
      </w:r>
      <w:r>
        <w:rPr>
          <w:rFonts w:hint="eastAsia" w:ascii="宋体" w:hAnsi="宋体" w:eastAsia="宋体" w:cs="宋体"/>
          <w:color w:val="auto"/>
          <w:spacing w:val="7"/>
          <w:sz w:val="21"/>
          <w:szCs w:val="21"/>
          <w:highlight w:val="none"/>
        </w:rPr>
        <w:t>通用合同条款”采用 《标准施工招标文件》第四章第一节“通用合同条款”。</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28" w:name="_Toc184635098"/>
      <w:r>
        <w:rPr>
          <w:rFonts w:hint="eastAsia" w:ascii="宋体" w:hAnsi="宋体" w:eastAsia="宋体" w:cs="宋体"/>
          <w:i w:val="0"/>
          <w:iCs w:val="0"/>
          <w:caps w:val="0"/>
          <w:color w:val="auto"/>
          <w:spacing w:val="0"/>
          <w:sz w:val="21"/>
          <w:szCs w:val="21"/>
          <w:highlight w:val="none"/>
          <w:u w:val="none"/>
          <w:shd w:val="clear" w:fill="FFFFFF"/>
        </w:rPr>
        <w:t>1</w:t>
      </w:r>
      <w:bookmarkEnd w:id="128"/>
      <w:r>
        <w:rPr>
          <w:rFonts w:hint="eastAsia" w:ascii="宋体" w:hAnsi="宋体" w:eastAsia="宋体" w:cs="宋体"/>
          <w:i w:val="0"/>
          <w:iCs w:val="0"/>
          <w:caps w:val="0"/>
          <w:color w:val="auto"/>
          <w:spacing w:val="0"/>
          <w:sz w:val="21"/>
          <w:szCs w:val="21"/>
          <w:highlight w:val="none"/>
          <w:shd w:val="clear" w:fill="FFFFFF"/>
        </w:rPr>
        <w:t>、一般约定</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 词语定义</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通用合同条款、专用合同条款中的下列词语应具有本款所赋予的含义。</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1.1.1 合同</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1.1.1.1 合同文件（或称合同）：指合同协议书、中标通知书、投标函及投标函附录、专用合同条款、通用合同条款、技术标准和要求、图纸、已标价工程量清单，以及其他合同文件。</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1.1.1.2 合同协议书：指第1.5 款所指的合同协议书。</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1.1.1.3 中标通知书：指发包人通知承包人中标的函件。</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1.1.1.4 投标函：指构成合同文件组成部分的由承包人填写并签署的投标函。</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1.1.1.5 投标函附录：指附在投标函后构成合同文件的投标函附录。</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1.1.1.6 技术标准和要求：指构成合同文件组成部分的名为技术标准和要求的文件，包括合同双方当事人约定对其所作的修改或补充。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1.1.1.7 图纸：指包含在合同中的工程图纸，以及由发包人按合同约定提供的任何补充和修改的图纸，包括配套的说明。</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1.1.1.8 己标价工程量清单：指构成合同文件组成部分的由承包人按照规定的格式和要求填写并标明价格的工程量清单。</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1.1.1.9 其他合同文件：指经合同双方当事人确认构成合同文件的其他文件。</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1.1.2 合同当事人和人员</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1.1.2.1 合同当事人：指发包人和（或）承包人。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1.1.2.2 发包人：指专用合同条款中指明并与承包人在合同协议书中签字的当事人。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1.1.2.3 承包人：指与发包人签订合同协议书的当事人。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1.1.2.4 承包人项目经理：指承包人派驻施工场地的全权负责人。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1.1.2 . 5 分包人：指从承包人处分包合同中某一部分工程，并与其签订分包合同的分包人。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1.1.2.6 监理人：指在专用合同条款中指明的，受发包人委托对合同履行实施管理的法人或其他组织。</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1.1.2.7 总监理工程师（总监）：指由监理人委派常驻施工场地对合同履行实施管理的全权负责人。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1.1.3 工程和设备</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1.1.3.1 工程：指永久工程和（或）临时工程。</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1.1.3.2 永久工程：指按合同约定建造并移交给发包人的工程，包括工程设备。</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1.1.3.3 临时工程：指为完成合同约定的永久工程所修建的各类临时性工程，不包括施工设备。</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1.1.3.4 单位工程：指专用合同条款中指明特定范围的永久工程。</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1.1.3.5 工程设备：指构成或计划构成永久工程一部分的机电设备、金属结构设备、仪器装置及其他类似的设备和装置。</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1.1.3.6 施工设备：指为完成合同约定的各项工作所需的设备、器具和其他物品，不包括临时工程和材料。</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1.1.3.7 临时设施：指为完成合同约定的各项工作所服务的临时性生产和生活设施。</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1.1.3.8 承包人设备：指承包人自带的施工设备。</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1.1.3.9 施工场地（或称工地、现场）：指用于合同工程施工的场所，以及在合同中指定作为施工场地组成部分的其他场所，包括永久占地和临时占地。</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1.1.3.10 永久占地：指专用合同条款中指明为实施合同工程需永久占用的土地。</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1.1.3.11 临时占地：指专用合同条款中指明为实施合同工程需临时占用的土地。</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1.1.4 日期</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1.1.4.1 开工通知：指监理人按第11.1 款通知承包人开工的函件。</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1.1.4.2 开工日期：指监理人按第11 . 1 款发出的开工通知中写明的开工日期。</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1.1.4.3 工期：指承包人在投标函中承诺的完成合同工程所需的期限，包括按第11.3 款、第11.4 款和第11.6 款约定所作的变更。</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1.1.4.4 竣工日期：指第1.1.4.3 目约定工期届满时的日期。实际竣工日期以工程接收证书中写明的日期为准。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1.1.4.5 缺陷责任期：指履行第19.2 款约定的缺陷责任的期限，具体期限由专用合同条款约定，包括根据第19.3 款约定所作的延长。</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1.1.4.6 基准日期：指投标截止时间前28 天的日期。</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1.1.4.7 天：除特别指明外，指日历天。合同中按天计算时间的，开始当天不计入，从次日开始计算。期限最后一天的截止时间为当天24:00。</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1.1.5 合同价格和费用</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1.1.5.1 签约合同价：指签定合同时合同协议书中写明的，包括了暂列金额、暂估价的合同总金额。</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1.1.5.2 合同价格：指承包人按合同约定完成了包括缺陷责任期内的全部承包工作后，发包人应付给承包人的金额，包括在履行合同过程中按合同约定进行的变更和调整。</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1.1.5.3 费用：指为履行合同所发生的或将要发生的所有合理开支，包括管理费和应分摊的其他费用，但不包括利润。</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1.1.5.4 暂列金额：指已标价工程量清单中所列的暂列金额，用于在签订协议书时尚未确定或不可预见变更的施工及其所需材料、工程设备、服务等的金额，包括以计日工方式支付的金额。</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1.1.5.5 暂估价：指发包人在工程量清单中给定的用于支付必然发生但暂时不能确定价格的材料、设备以及专业工程的金额。</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1.1.5.6 计日工：指对零星工作采取的一种计价方式，按合同中的计日工子目及其单价计价付款。</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1.1.5.7 质量保证金（或称保留金）：指按第17: 41项约定用于保证在缺陷责任期内履行缺陷修复义务的金额。</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1.1.6 其他</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1.1.6.1 书面形式：指合同文件、信函、电报、传真等可以有形地表现所载内容的形式。</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1.2 语言文字</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除专用术语外，合同使用的语言文字为中文。必要时专用术语应附有中文注释。</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1.3 法律</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适用于合同的法律包括中华人民共和国法律、行政法规、部门规章，以及工程所在地的地方法规、自治条例、单行条例和地方政府规章。</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1.4 合同文件的优先顺序</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组成合同的各项文件应互相解释，互为说明。除专用合同条款另有约定外，解释合同文件的优先顺序如下：</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(l）合同协议书；</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(2）中标通知书；</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(3）投标函及投标函附录；</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(4）专用合同条款；</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(5）通用合同条款；</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(6）技术标准和要求；</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(7）图纸；</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(8）已标价工程量清单；</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(9）其他合同文件。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1.5 合同协议书</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承包人按中标通知书规定的时间与发包人签订合同协议书。除法律另有规定或合同另有约定外，发包人和承包人的法定代表人或其委托代理人在合同协议书上签字并盖单位章后，合同生效。</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1.6 图纸和承包人文件</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1.6.1 图纸的提供</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除专用合同条款另有约定外，图纸应在合理的期限内按照合同约定的数量提供给承包人。由于发包人未按时提供图纸造成工期延误的，按第11.3 款的约定办理。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1.6.2 承包人提供的文件</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按专用合同条款约定由承包人提供的文件，包括部分工程的大样图、加工图等，承包人应按约定的数量和期限报送监理人。监理人应在专用合同条款约定的期限内批复。</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 6.3 图纸的修改</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图纸需要修改和补充的，应由监理人取得发包人同意后，在该工程或工程相应部位施工前的合理期限内签发图纸修改图给承包人，具体签发期限在专用合同条款中约定。承包人应按修改后的图纸施工。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1.6.4 图纸的错误</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承包人发现发包人提供的图纸存在明显错误或疏忽，应及时通知监理人。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1.6.5 图纸和承包人文件的保管</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监理人和承包人均应在施工场地各保存一套完整的包含第1.6.1 项、第1.6.2 项、第1.6.3 项约定内容的图纸和承包人文件。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 联络</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1.7.1 与合同有关的通知、批准、证明、证书、指示、要求、请求、同意、意见、确定和决定等，均应采用书面形式。</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1.7.2 第1.7.1 项中的通知、批准、证明、证书、指示、要求、请求、同意、意见、确定和决定等来往函件，均应在合同约定的期限内送达指定地点和接收人，并办理签收手续。</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 转让</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除合同另有约定外，未经对方当事人同意，一方当事人不得将合同权利全部或部分转让给第三人，也不得全部或部分转移合同义务。</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1.9 严禁贿赂</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合同双方当事人不得以贿赂或变相贿赂的方式，谋取不当利益或损害对方权益。因贿赂造成对方损失的，行为人应赔偿损失，并承担相应的法律责任。</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1.10 化石、文物</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1.10.1 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发包人、监理人和承包人应按文物行政部门要求采取妥善保护措施，由此导致费用增加和（或）工期延误由发包人承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1.10.2 承包人发现文物后不及时报告或隐瞒不报，致使文物丢失或损坏的，应赔偿损失，并承担相应的法律责任。</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1.11 专利技术</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1.11.1 承包人在使用任何材料、承包人设备、工程设备或采用施工工艺时，因侵犯专利权或其他知识产权所引起的责任，由承包人承担，但由于遵照发包人提供的设计或技术标准和要求引起的除外。</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1.11.2 承包人在投标文件中采用专利技术的，专利技术的使用费包含在投标报价内。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1.11.3 承包人的技术秘密和声明需要保密的资料和信息，发包人和监理人不得为合同以外的目的泄露给他人。</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1.12 图纸和文件的保密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1.12.1 发包人提供的图纸和文件，未经发包人同意，承包人不得为合同以外的目的泄露给他人或公开发表与引用。</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1.12.2 承包人提供的文件，未经承包人同意，发包人和监理人不得为合同以外的目的泄露给他人或公开发表与引用。</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29" w:name="_Toc184635099"/>
      <w:r>
        <w:rPr>
          <w:rFonts w:hint="eastAsia" w:ascii="宋体" w:hAnsi="宋体" w:eastAsia="宋体" w:cs="宋体"/>
          <w:i w:val="0"/>
          <w:iCs w:val="0"/>
          <w:caps w:val="0"/>
          <w:color w:val="auto"/>
          <w:spacing w:val="0"/>
          <w:sz w:val="21"/>
          <w:szCs w:val="21"/>
          <w:highlight w:val="none"/>
          <w:u w:val="none"/>
          <w:shd w:val="clear" w:fill="FFFFFF"/>
        </w:rPr>
        <w:t>2</w:t>
      </w:r>
      <w:bookmarkEnd w:id="129"/>
      <w:r>
        <w:rPr>
          <w:rFonts w:hint="eastAsia" w:ascii="宋体" w:hAnsi="宋体" w:eastAsia="宋体" w:cs="宋体"/>
          <w:i w:val="0"/>
          <w:iCs w:val="0"/>
          <w:caps w:val="0"/>
          <w:color w:val="auto"/>
          <w:spacing w:val="0"/>
          <w:sz w:val="21"/>
          <w:szCs w:val="21"/>
          <w:highlight w:val="none"/>
          <w:shd w:val="clear" w:fill="FFFFFF"/>
        </w:rPr>
        <w:t>．发包人义务</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2.1 遵守法律</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发包人在履行合同过程中应遵守法律，并保证承包人免于承担因发包人违反法律而引起的任何责任。</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2.2 发出开工通知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发包人应委托监理人按第11.1 款的约定向承包人发出开工通知。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2.3 提供施工场地</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发包人应按专用合同条款约定向承包人提供施工场地，以及施工场地内陆下管线和地下设施等有关资料，并保证资料的真实、准确、完整。</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2.4 协助承包人办理证件和批件</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发包人应协助承包人办理法律规定的有关施工证件和批件。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2.5 组织设计交底</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发包人应根据合同进度计划，组织设计单位向承包人进行设计交底。</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2.6 支付合同价款</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发包人应按合同约定向承包人及时支付合同价款。</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2.7 组织竣工验收</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发包人应按合同约定及时组织竣工验收。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2.8 其他义务</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发包人应履行合同约定的其他义务。</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30" w:name="_Toc184635100"/>
      <w:r>
        <w:rPr>
          <w:rFonts w:hint="eastAsia" w:ascii="宋体" w:hAnsi="宋体" w:eastAsia="宋体" w:cs="宋体"/>
          <w:i w:val="0"/>
          <w:iCs w:val="0"/>
          <w:caps w:val="0"/>
          <w:color w:val="auto"/>
          <w:spacing w:val="0"/>
          <w:sz w:val="21"/>
          <w:szCs w:val="21"/>
          <w:highlight w:val="none"/>
          <w:u w:val="none"/>
          <w:shd w:val="clear" w:fill="FFFFFF"/>
        </w:rPr>
        <w:t>3</w:t>
      </w:r>
      <w:bookmarkEnd w:id="130"/>
      <w:r>
        <w:rPr>
          <w:rFonts w:hint="eastAsia" w:ascii="宋体" w:hAnsi="宋体" w:eastAsia="宋体" w:cs="宋体"/>
          <w:i w:val="0"/>
          <w:iCs w:val="0"/>
          <w:caps w:val="0"/>
          <w:color w:val="auto"/>
          <w:spacing w:val="0"/>
          <w:sz w:val="21"/>
          <w:szCs w:val="21"/>
          <w:highlight w:val="none"/>
          <w:shd w:val="clear" w:fill="FFFFFF"/>
        </w:rPr>
        <w:t>、监理人</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3.1 监理人的职责和权力</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3.1.1 监理人受发包人委托，享有合同约定的权力。监理人在行使某项权力前需要经发</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包人事先批准而通用合同条款没有指明的，应在专用合同条款中指明。</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3.1.2 监理人发出的任何指示应视为已得到发包人的批准，但监理人无权免除或变更合同约定的发包人和承包人的权利、义务和责任。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3.1.3 合同约定应由承包人承担的义务和责任，不因监理人对承包人提交文件的审查或批准，对工程、材料和设备的检查和检验，以及为实施监理作出的指示等职务行为而减轻或解除。</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3.2 总监理工程师</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发包人应在发出开工通知前将总监理工程师的任命通知承包人。总监理工程师更换时，应在调离14 天前通知承包人。总监理工程师短期离开施工场地的，应委派代表代行其职责，并通知承包人。</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3.3 监理人员</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3.3.1 总监理工程师可以授权其他监理人员负责执行其指派的一项或多项监理工作。总监理工程师应将被授权监理人员的姓名及其授权范围通知承包人。被授权的监理人员在授权范围内发出的指示视为己得到总监理工程师的同意，与总监理工程师发出的指示具有同等效力。总监理工程师撤销某项授权时，应将撤销授权的决定及时通知承包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3.3.2 监理人员对承包人的任何工作、工程或其采用的材料和工程设备未在约定的或合理的期限内提出否定意见的，视为已获批准，但不影响监理人在以后拒绝该项工作、工程、材料或工程设备的权利。</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3.3.3 承包人对总监理工程师授权的监理人员发出的指示有疑问的，可向总监理工程师提出书面异议，总监理工程师应在48小时内对该指示予以确认、更改或撤销。</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3.3.4 除专用合同条款另有约定外，总监理工程师不应将第3.5 款约定应由总监理工程师作出确定的权力授权或委托给其他监理人员。</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3.4 监理人的指示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3.4.1 监理人应按第3.1 款的约定向承包人发出指示，监理人的指示应盖有监理人授权的施工场地机构章，并由总监理工程师或总监理工程师按第3.3.1 项约定授权的监理人员签字。</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3.4.2 承包人收到监理人按第3.4.1 项作出的指示后应遵照执行。指示构成变更的，应按第巧条处理。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3.4.3 在紧急情况下，总监理工程师或被授权的监理人员可以当场签发临时书面指示，承包人应遵照执行。承包人应在收到上述临时书面指示后24小时内，向监理人发出书面确认函。监理人在收到书面确认函后24小时内未予答复的，该书面确认函应被视为监理人的正式指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3.4.4 除合同另有约定外，承包人只从总监理工程师或按第3.3.1 项被授权的监理人员处取得指示。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3.4.5 由于监理人未能按合同约定发出指示、指示延误或指示错误而导致承包人费用增加和（或）工期延误的，由发包人承担赔偿责任。</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3.5 商定或确定</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3.5.1 合同约定总监理工程师应按照本款对任何事项进行商定或确定时，总监理工程师应与合同当事人协商，尽量达成一致。不能达成一致的，总监理工程师应认真研究后审慎确定。</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3.5.2 总监理工程师应将商定或确定的事项通知合同当事人，并附详细依据。对总监理工程师的确定有异议的，构成争议，按照第24 条的约定处理。在争议解决前，双方应暂按总监理工程师的确定执行，按照第24 条的约定对总监理工程师的确定作出修改的，按修改后的结果执行。</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31" w:name="_Toc184635101"/>
      <w:r>
        <w:rPr>
          <w:rFonts w:hint="eastAsia" w:ascii="宋体" w:hAnsi="宋体" w:eastAsia="宋体" w:cs="宋体"/>
          <w:i w:val="0"/>
          <w:iCs w:val="0"/>
          <w:caps w:val="0"/>
          <w:color w:val="auto"/>
          <w:spacing w:val="0"/>
          <w:sz w:val="21"/>
          <w:szCs w:val="21"/>
          <w:highlight w:val="none"/>
          <w:u w:val="none"/>
          <w:shd w:val="clear" w:fill="FFFFFF"/>
        </w:rPr>
        <w:t>4</w:t>
      </w:r>
      <w:bookmarkEnd w:id="131"/>
      <w:r>
        <w:rPr>
          <w:rFonts w:hint="eastAsia" w:ascii="宋体" w:hAnsi="宋体" w:eastAsia="宋体" w:cs="宋体"/>
          <w:i w:val="0"/>
          <w:iCs w:val="0"/>
          <w:caps w:val="0"/>
          <w:color w:val="auto"/>
          <w:spacing w:val="0"/>
          <w:sz w:val="21"/>
          <w:szCs w:val="21"/>
          <w:highlight w:val="none"/>
          <w:shd w:val="clear" w:fill="FFFFFF"/>
        </w:rPr>
        <w:t>、承包人</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4.1 承包人的一般义务</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4.1.1 遵守法律</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承包人在履行合同过程中应遵守法律，并保证发包人免于承担因承包人违反法律而引起的任何责任。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4.1.2 依法纳税</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承包人应按有关法律规定纳税，应缴纳的税金包括在合同价格内。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4.1.3 完成各项承包工作</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承包人应按合同约定以及监理人根据第3.4 款作出的指示，实施、完成全部工程，并修补工程中的任何缺陷。除专用合同条款另有约定外，承包人应提供为完成合同工作所需的劳务、材料、施工设备、工程设备和其他物品，并按合同约定负责临时设施的设计、建造、运行、维护、管理和拆除。</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4.1.4 对施工作业和施工方法的完备性负责</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承包人应按合同约定的工作内容和施工进度要求，编制施工组织设计和施工措施计划，并对所有施工作业和施工方法的完备性和安全可靠性负责。</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4.1.5 保证工程施工和人员的安全</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承包人应按第9.2 款约定采取施工安全措施，确保工程及其人员、材料、设备和设施的安全，防止因工程施工造成的人身伤害和财产损失。</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4.1.6 负责施工场地及其周边环境与生态的保护工作</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承包人应按照第9.4 款约定负责施工场地及其周边环境与生态的保护工作。</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4.1.7 避免施工对公众与他人的利益造成损害</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4.1.8 为他人提供方便</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承包人应按监理人的指示为他人在施工场地或附近实施与工程有关的其他各项工作提供可能的条件。除合同另有约定外，提供有关条件的内容和可能发生的费用，由监理人按第3.5 款商定或确定。</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4.1.9 工程的维护和照管</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工程接收证书颁发前，承包人应负责照管和维护工程。工程接收证书颁发时尚有部分未竣工工程的，承包人还应负责该未竣工工程的照管和维护工作，直至竣工后移交给发包人为止。</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4.1.10 其他义务</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承包人应履行合同约定的其他义务。</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4.2 履约担保</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承包人应保证其履约担保在发包人颁发工程接收证书前一直有效。发包人应在工程接收证书颁发后28 天内把履约担保退还给承包人。</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4.3 分包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4.3.1 承包人不得将其承包的全部工程转包给第三人，或将其承包的全部工程肢解后以分包的名义转包给第三人。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4.3.2 承包人不得将工程主体、关键性工作分包给第三人。除专用合同条款另有约定外，未经发包人同意，承包人不得将工程的其他部分或工作分包给第三人。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4.3.3 分包人的资格能力应与其分包工程的标准和规模相适应。</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4.3.4 按投标函附录约定分包工程的，承包人应向发包人和监理人提交分包合同副本。</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4.3.5 承包人应与分包人就分包工程向发包人承担连带责任。</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4.4 联合体</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4.4.1 联合体各方应共同与发包人签订合同协议书。联合体各方应为履行合同承担连带责任。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4.4.2 联合体协议经发包人确认后作为合同附件。在履行合同过程中，未经发包人同意，不得修改联合体协议。</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4.4.3 联合体牵头人负责与发包人和监理人联系，并接受指示，负责组织联合体各成员全面履行合同。</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4.5 承包人项目经理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4.5.1 承包人应按合同约定指派项目经理，并在约定的期限内到职。承包人更换项目经理应事先征得发包人同意，并应在更换14天前通知发包人和监理人。承包人项目经理短期离开施工场地，应事先征得监理人同意，并委派代表代行其职责。</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4.5.2 承包人项目经理应按合同约定以及监理人按第3 . 4 款作出的指示，负责组织合同工程的实施。在情况紧急且无法与监理人取得联系时，可采取保证工程和人员生命财产安令的紧急措施，并在采取措施后24小时内向监理人提交书面报告。</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4.5.3 承包人为履行合同发出的一切函件均应盖有承包人授权的施工场地管理机构章，并由承包人项目经理或其授权代表签字。</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4.5.4 承包人项目经理可以授权其下属人员履行其某项职责，但事先应将这些人员的姓名和授权范围通知监理人。</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4.6 承包人人员的管理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4.6.1 承包人应在接到开工通知后28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4.6.2 为完成合同约定的各项工作，承包人应向施工场地派遣或雇佣足够数量的下列人员：</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(1）具有相应资格的专业技工和合格的普工；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(2）具有相应施工经验的技术人员；</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(3）具有相应岗位资格的各级管理人员。</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4.6.3 承包人安排在施工场地的主要管理人员和技术骨干应相对稳定。承包人更换主要管理人员和技术骨干时，应取得监理人的同意。</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4.6.4 特殊岗位的工作人员均应持有相应的资格证明，监理人有权随时检查。监理人认为有必要时，可进行现场考核。</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4.7 撤换承包人项目经理和其他人员</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承包人应对其项目经理和其他人员进行有效管理。监理人要求撤换不能胜任本职工作、行为不端或玩忽职守的承包人项目经理和其他人员的，承包人应予以撤换。</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4.8 保障承包人人员的合法权益</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4.8.1 承包人应与其雇佣的人员签订劳动合同，并按时发放工资。</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4.8.2 承包人应按劳动法的规定安排工作时间，保证其雇佣人员享有休息和休假的权利。因工程施工的特殊需要占用休假日或延长工作时间的，应不超过法律规定的限度，并按法律规定给予补休或付酬。</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4.8.3 承包人应为其雇佣人员提供必要的食宿条件，以及符合环境保护和卫生要求的生活环境，在远离城镇的施工场地，还应配备必要的伤病防治和急救的医务人员与医疗设施。</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4.8.4 承包人应按国家有关劳动保护的规定，采取有效的防止粉尘、降低噪声、控制有害气体和保障高温、高寒、高空作业安全等劳动保护措施。其雇佣人员在施工中受到伤害的，承包人应立即采取有效措施进行抢救和治疗。</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4.8.5 承包人应按有关法律规定和合同约定，为其雇佣人员办理保险。</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4.8.6 承包人应负责处理其雇佣人员因工伤亡事故的善后事宜。</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4.9 工程价款应专款专用</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发包人按合同约定支付给承包人的各项价款应专用于合同工程。</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4.10 承包人现场查勘</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4.10.1 发包人应将其持有的现场地质勘探资料、水文气象资料提供给承包人，并对其准确胜负责。但承包人应对其阅读上述有关资料后所作出的解释和推断负责。</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4.10.2 承包人应对施工场地和周围环境进行查勘，并收集有关地质、水文、气象条件、交通条件、风俗习惯以及其他为完成合同工作有关的当地资料。在全部合同工作中，应视为承包人己充分估计了应承担的责任和风险。</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4.11 不利物质条件</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4.11.1 不利物质条件，除专用合同条款另有约定外，是指承包人在施工场地遇到的不可预见的自然物质条件、非自然的物质障碍和污染物，包括地下和水文条件，但不包括气候条件。</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4.11.2 承包人遇到不利物质条件时，应采取适应不利物质条件的合理措施继续施工，并及时通知监理人。监理人应当及时发出指示，指示构成变更的，按第巧条约定办理。监理人没有发出指示的，承包人因采取合理措施而增加的费用和（或）工期延误，由发包人承担。</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32" w:name="_Toc184635102"/>
      <w:r>
        <w:rPr>
          <w:rFonts w:hint="eastAsia" w:ascii="宋体" w:hAnsi="宋体" w:eastAsia="宋体" w:cs="宋体"/>
          <w:i w:val="0"/>
          <w:iCs w:val="0"/>
          <w:caps w:val="0"/>
          <w:color w:val="auto"/>
          <w:spacing w:val="0"/>
          <w:sz w:val="21"/>
          <w:szCs w:val="21"/>
          <w:highlight w:val="none"/>
          <w:u w:val="none"/>
          <w:shd w:val="clear" w:fill="FFFFFF"/>
        </w:rPr>
        <w:t>5</w:t>
      </w:r>
      <w:bookmarkEnd w:id="132"/>
      <w:r>
        <w:rPr>
          <w:rFonts w:hint="eastAsia" w:ascii="宋体" w:hAnsi="宋体" w:eastAsia="宋体" w:cs="宋体"/>
          <w:i w:val="0"/>
          <w:iCs w:val="0"/>
          <w:caps w:val="0"/>
          <w:color w:val="auto"/>
          <w:spacing w:val="0"/>
          <w:sz w:val="21"/>
          <w:szCs w:val="21"/>
          <w:highlight w:val="none"/>
          <w:shd w:val="clear" w:fill="FFFFFF"/>
        </w:rPr>
        <w:t>．材料和工程设备</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5.1 承包人提供的材料和工程设备</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5.1.1 除专用合同条款另有约定外，承包人提供的材料和工程设备均由承包人负责采购、运输和保管。承包人应对其采购的材料和工程设备负责。</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5.1.2 承包人应按专用合同条款的约定，将各项材料和工程设备的供货人及品种、规格、数量和供货时间等报送监理人审批。承包人应向监理人提交其负责提供的材料和工程设备的质量证明文件，并满足合同约定的质量标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5.1.3 对承包人提供的材料和工程设备，承包人应会同监理人进行检验和交货验收，查验材料合格证明和产品合格证书，并按合同约定和监理人指示，进行材料的抽样检验和工程设备的检验测试，检验和测试结果应提交监理人，所需费用由承包人承担。</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5.2 发包人提供的材料和工程设备</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5.2.1 发包人提供的材料和工程设备，应在专用合同条款中写明材料和工程设备的名称、规格、数量、价格、交货方式、交货地点和计划交货日期等。</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5.2.2 承包人应根据合同进度计划的安排，向监理人报送要求发包人交货的日期计划。发包人应按照监理人与合同双方当事人商定的交货日期，向承包人提交材料和工程设备。5 . 2 . 3 发包人应在材料和工程设备到货7 天前通知承包人，承包人应会同监理人在约定的时间内，赴交货地点共同进行验收。除专用合同条款另有约定外，发包人提供的材料和工程设备验收后，由承包人负责接收、运输和保管。</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5.2.4 发包人要求向承包人提前交货的，承包人不得拒绝，但发包人应承担承包人由此增加的费用。</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5.2.5 承包人要求更改交货日期或地点的，应事先报请监理人批准。由于承包人要求更改交货时间或地点所增加的费用和（或）工期延误由承包人承担。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5.2.6 发包人提供的材料和工程设备的规格、数量或质量不符合合同要求，或由于发包人原因发生交货日期延误及交货地点变更等情况的，发包人应承担由此增加的费用和（或）工期延误，并向承包人支付合理利润。</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5.3 材料和工程设备专用于合同工程</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5.3.1 运入施工场地的材料、工程设备，包括备品备件、安装专用工器具与随机资料，必须专用于合同工程，未经监理人同意，承包人不得运出施工场地或挪作他用。</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5.3.2 随同工程设备运入施工场地的备品备件、专用工器具与随机资料，应由承包人会同监理人按供货人的装箱单清点后共同封存，未经监理人同意不得启用。承包人因合同工作需要使用上述物品时，应向监理人提出申请。</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5.4 禁止使用不合格的材料和工程设备</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5.4.1 监理人有权拒绝承包人提供的不合格材料或工程设备，并要求承包人立即进行更换。监理人应在更换后再次进行检查和检验，由此增加的费用和（或）工期延误由承包人承担。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5.4.2 监理人发现承包人使用了不合格的材料和工程设备，应即时发出指示要求承包人立即改正，并禁止在工程中继续使用不合格的材料和工程设备。</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5.4.3 发包人提供的材料或工程设备不符合合同要求的，承包人有权拒绝，并可要求发包人更换，由此增加的费用和（或）工期延误由发包人承担。</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33" w:name="_Toc184635103"/>
      <w:r>
        <w:rPr>
          <w:rFonts w:hint="eastAsia" w:ascii="宋体" w:hAnsi="宋体" w:eastAsia="宋体" w:cs="宋体"/>
          <w:i w:val="0"/>
          <w:iCs w:val="0"/>
          <w:caps w:val="0"/>
          <w:color w:val="auto"/>
          <w:spacing w:val="0"/>
          <w:sz w:val="21"/>
          <w:szCs w:val="21"/>
          <w:highlight w:val="none"/>
          <w:u w:val="none"/>
          <w:shd w:val="clear" w:fill="FFFFFF"/>
        </w:rPr>
        <w:t>6</w:t>
      </w:r>
      <w:bookmarkEnd w:id="133"/>
      <w:r>
        <w:rPr>
          <w:rFonts w:hint="eastAsia" w:ascii="宋体" w:hAnsi="宋体" w:eastAsia="宋体" w:cs="宋体"/>
          <w:i w:val="0"/>
          <w:iCs w:val="0"/>
          <w:caps w:val="0"/>
          <w:color w:val="auto"/>
          <w:spacing w:val="0"/>
          <w:sz w:val="21"/>
          <w:szCs w:val="21"/>
          <w:highlight w:val="none"/>
          <w:shd w:val="clear" w:fill="FFFFFF"/>
        </w:rPr>
        <w:t>、施工设备和临时设施</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6.1 承包人提供的施工设备和临时设施</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6.1.1 承包人应按合同进度计划的要求，及时配置施工设备和修建临时设施。进入施工场地的承包人设备需经监理人核查后才能投入使用。承包人更换合同约定的承包人设备的，应报监理人批准。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6.1.2 除专用合同条款另有约定外，承包人应自行承担修建临时设施的费用，需要临时占地的，应由发包人办理申请手续并承担相应费用。</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6.2 发包人提供的施工设备和临时设施</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发包人提供的施工设备或临时设施在专用合同条款中约定。</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6.3 要求承包人增加或更换施工设备</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承包人使用的施工设备不能满足合同进度计划和（或）质量要求时，监理人有权要求承包人增加或更换施工设备，承包人应及时增加或更换，由此增加的费用和（或）工期延误由承包人承担。</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6.4 施工设备和临时设施专用于合同工程</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6.4.1 除合同另有约定外，运入施工场地的所有施工设备以及在施工场地建设的临时设施应专用于合同工程。未经监理人同意，不得将上述施工设备和临时设施中的任何部分运出施工场地或挪作他用。</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6.4.2 经监理人同意，承包人可根据合同进度计划撤走闲置的施工设备。</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34" w:name="_Toc184635104"/>
      <w:r>
        <w:rPr>
          <w:rFonts w:hint="eastAsia" w:ascii="宋体" w:hAnsi="宋体" w:eastAsia="宋体" w:cs="宋体"/>
          <w:i w:val="0"/>
          <w:iCs w:val="0"/>
          <w:caps w:val="0"/>
          <w:color w:val="auto"/>
          <w:spacing w:val="0"/>
          <w:sz w:val="21"/>
          <w:szCs w:val="21"/>
          <w:highlight w:val="none"/>
          <w:u w:val="none"/>
          <w:shd w:val="clear" w:fill="FFFFFF"/>
        </w:rPr>
        <w:t>7</w:t>
      </w:r>
      <w:bookmarkEnd w:id="134"/>
      <w:r>
        <w:rPr>
          <w:rFonts w:hint="eastAsia" w:ascii="宋体" w:hAnsi="宋体" w:eastAsia="宋体" w:cs="宋体"/>
          <w:i w:val="0"/>
          <w:iCs w:val="0"/>
          <w:caps w:val="0"/>
          <w:color w:val="auto"/>
          <w:spacing w:val="0"/>
          <w:sz w:val="21"/>
          <w:szCs w:val="21"/>
          <w:highlight w:val="none"/>
          <w:shd w:val="clear" w:fill="FFFFFF"/>
        </w:rPr>
        <w:t>．交通运输</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7.1 道路通行权和场外设施</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除专用合同条款另有约定外，发包人应根据合同工程的施工需要，负责办理取得出入施工场地的专用和临时道路的通行权，以及取得为工程建设所需修建场外设施的权利，并承担有关费用。承包人应协助发包人办理上述手续。</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7.2 场内施工道路</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7.2.1 除专用合同条款另有约定外，承包人应负责修建、维修、养护和管理施工所需的临时道路和交通设施，包括维修、养护和管理发包人提供的道路和交通设施，并承担相应费用。</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7.2.2 除专用合同条款另有约定外，承包人修建的临时道路和交通设施应免费提供发包人和监理人使用。</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7.3 场外交通</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7.3.1 承包人车辆外出行驶所需的场外公共道路的通行费、养路费和税款等由承包人承担。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7.3.2 承包人应遵守有关交通法规，严格按照道路和桥梁的限制荷重安全行驶，并服从交通管理部门的检查和监督。</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7.4 超大件和超重件的运输</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7.5 道路和桥梁的损坏责任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因承包人运输造成施工场地内外公共道路和桥梁损坏的，由承包人承担修复损坏的全部费用和可能引起的赔偿。</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7.6 水路和航空运输</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本条上述各款的内容适用于水路运输和航空运输，其中“道路”一词的涵义包括河道、航线、船闸、机场、码头、堤防以及水路或航空运输中其他相似结构物；“车辆”一词的涯义包括船舶和飞机等。</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35" w:name="_Toc184635105"/>
      <w:r>
        <w:rPr>
          <w:rFonts w:hint="eastAsia" w:ascii="宋体" w:hAnsi="宋体" w:eastAsia="宋体" w:cs="宋体"/>
          <w:i w:val="0"/>
          <w:iCs w:val="0"/>
          <w:caps w:val="0"/>
          <w:color w:val="auto"/>
          <w:spacing w:val="0"/>
          <w:sz w:val="21"/>
          <w:szCs w:val="21"/>
          <w:highlight w:val="none"/>
          <w:u w:val="none"/>
          <w:shd w:val="clear" w:fill="FFFFFF"/>
        </w:rPr>
        <w:t>8</w:t>
      </w:r>
      <w:bookmarkEnd w:id="135"/>
      <w:r>
        <w:rPr>
          <w:rFonts w:hint="eastAsia" w:ascii="宋体" w:hAnsi="宋体" w:eastAsia="宋体" w:cs="宋体"/>
          <w:i w:val="0"/>
          <w:iCs w:val="0"/>
          <w:caps w:val="0"/>
          <w:color w:val="auto"/>
          <w:spacing w:val="0"/>
          <w:sz w:val="21"/>
          <w:szCs w:val="21"/>
          <w:highlight w:val="none"/>
          <w:shd w:val="clear" w:fill="FFFFFF"/>
        </w:rPr>
        <w:t>．测量放线</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8.1 施工控制网</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8.1.1 发包人应在专用合同条款约定的期限内，通过监理人向承包人提供测量基准点、基准线和水准点及其书面资料。除专用合同条款另有约定外，承包人应根据国家测绘基准、测绘系统和工程测量技术规范，按上述基准点（线）以及合同工程精度要求，测设施工控制网，并在专用合同条款约定的期限内，将施工控制网资料报送监理人审批。</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8.1.2 承包人应负责管理施工控制网点。施工控制网点丢失或损坏的，承包人应及时修复。承包人应承担施工控制网点的管理与修复费用，并在工程竣工后将施工控制网点移交发包人。</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8.2 施工测量</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8.2.1 承包人应负责施工过程中的全部施工测量放线工作，并配置合格的人员、仪器、设备和其他物品。</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8.2.2 监理人可以指示承包人进行抽样复测，当复测中发现错误或出现超过合同约定的误差时，承包人应按监理人指示进行修正或补测，并承担相应的复测费用。</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8.3 基准资料错误的责任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8.4 监理人使用施工控制网</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监理人需要使用施工控制网的，承包人应提供必要的协助，发包人不再为此支付费用。</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36" w:name="_Toc184635106"/>
      <w:r>
        <w:rPr>
          <w:rFonts w:hint="eastAsia" w:ascii="宋体" w:hAnsi="宋体" w:eastAsia="宋体" w:cs="宋体"/>
          <w:i w:val="0"/>
          <w:iCs w:val="0"/>
          <w:caps w:val="0"/>
          <w:color w:val="auto"/>
          <w:spacing w:val="0"/>
          <w:sz w:val="21"/>
          <w:szCs w:val="21"/>
          <w:highlight w:val="none"/>
          <w:u w:val="none"/>
          <w:shd w:val="clear" w:fill="FFFFFF"/>
        </w:rPr>
        <w:t>9</w:t>
      </w:r>
      <w:bookmarkEnd w:id="136"/>
      <w:r>
        <w:rPr>
          <w:rFonts w:hint="eastAsia" w:ascii="宋体" w:hAnsi="宋体" w:eastAsia="宋体" w:cs="宋体"/>
          <w:i w:val="0"/>
          <w:iCs w:val="0"/>
          <w:caps w:val="0"/>
          <w:color w:val="auto"/>
          <w:spacing w:val="0"/>
          <w:sz w:val="21"/>
          <w:szCs w:val="21"/>
          <w:highlight w:val="none"/>
          <w:shd w:val="clear" w:fill="FFFFFF"/>
        </w:rPr>
        <w:t>．施工安全、治安保卫和环境保护</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9.1 发包人的施工安全责任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9.1.1 发包人应按合同约定履行安全职责，授权监理人按合同约定的安全工作内容监督、检查承包人安全工作的实施，组织承包人和有关单位进行安全检查。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9.1.2 发包人应对其现场机构雇佣的全部人员的工伤事故承担责任，但由于承包人原因造成发包人人员工伤的，应由承包人承担责任。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9.1.3 发包人应负责赔偿以下各种情况造成的第三者人身伤亡和财产损失：</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(l）工程或工程的任何部分对土地的占用所造成的第三者财产损失；</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(2）由于发包人原因在施工场地及其毗邻地带造成的第三者人身伤亡和财产损失。</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9.2 承包人的施工安全责任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9.2.1 承包人应按合同约定履行安全职责，执行监理人有关安全工作的指示，并在专用合同条款约定的期限内，按合同约定的安全工作内容，编制施工安全措施计划报送监理人审批。</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9.2.2 承包人应加强施工作业安全管理，特别应加强易燃、易爆材料、火工器材、有毒与腐蚀性材料和其他危险品的管理，以及对爆破作业和地下工程施工等危险作业的管理。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9.2.3 承包人应严格按照国家安全标准制定施工安全操作规程，配备必要的安全生产和劳动保护设施，加强对承包人人员的安全教育，并发放安全工作手册和劳动保护用具。</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9.2.4 承包人应按监理人的指示制定应对灾害的紧急预案，报送监理人审批。承包人还应按预案做好安全检查，配置必要的救助物资和器材，切实保护好有关人员的人身和财产安全。</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9.2.5 合同约定的安全作业环境及安全施工措施所需费用应遵守有关规定，并包括在相关工作的合同价格中。因采取合同未约定的安全作业环境及安全施工措施增加的费用，由监理人按第3.5 款商定或确定。</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9.2.6 承包人应对其履行合同所雇佣的全部人员，包括分包人人员的工伤事故承担责任，但由于发包人原因造成承包人人员工伤事故的，应由发包人承担责任。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9.2.7 由于承包人原因在施工场地内及其毗邻地带造成的第三者人员伤亡和财产损失，由承包人负责赔偿。</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9.3 治安保卫</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9.3.1 除合同另有约定外，发包人应与当地公安部门协商，在现场建立治安管理机构或联防组织，统一管理施工场地的治安保卫事项，履行合同工程的治安保卫职责。</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9.3.2 发包人和承包人除应协助现场治安管理机构或联防组织维护施工场地的社会治安外，还应做好包括生活区在内的各自管辖区的治安保卫工作。</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9.3.3 除合同另有约定外，发包人和承包人应在工程开工后，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减少财产损失和避免人员伤亡。</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9.4 环境保护</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9.4.1 承包人在施工过程中，应遵守有关环境保护的法律，履行合同约定的环境保护义务，并对违反法律和合同约定义务所造成的环境破坏、人身伤害和财产损失负责。</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9.4.2 承包人应按合同约定的环保工作内容，编制施工环保措施计划，报送监理人审批。</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9.4.3 承包人应按照批准的施工环保措施计划有序地堆放和处理施工废弃物，避免对环境造成破坏。因承包人任意堆放或弃置施工废弃物造成妨碍公共交通、影响城镇居民生活、降低河流行洪能力、危及居民安全、破坏周边环境，或者影响其他承包人施工等后果的，承包人应承担责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9.4.4 承包人应按合同约定采取有效措施，对施工开挖的边坡及时进行支护，维护排水设施，并进行水土保护，避免因施工造成的地质灾害。</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9.4.5 承包人应按国家饮用水管理标准定期对饮用水源进行监测，防止施工活动污染饮用水源。</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9.4.6 承包人应按合同约定，加强对噪声、粉尘、废气、废水和废油的控制，努力降低噪声，控制粉尘和废气浓度，做好废水和废油的治理和排放。</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9.5 事故处理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37" w:name="_Toc184635107"/>
      <w:r>
        <w:rPr>
          <w:rFonts w:hint="eastAsia" w:ascii="宋体" w:hAnsi="宋体" w:eastAsia="宋体" w:cs="宋体"/>
          <w:i w:val="0"/>
          <w:iCs w:val="0"/>
          <w:caps w:val="0"/>
          <w:color w:val="auto"/>
          <w:spacing w:val="0"/>
          <w:sz w:val="21"/>
          <w:szCs w:val="21"/>
          <w:highlight w:val="none"/>
          <w:u w:val="none"/>
          <w:shd w:val="clear" w:fill="FFFFFF"/>
        </w:rPr>
        <w:t>10</w:t>
      </w:r>
      <w:bookmarkEnd w:id="137"/>
      <w:r>
        <w:rPr>
          <w:rFonts w:hint="eastAsia" w:ascii="宋体" w:hAnsi="宋体" w:eastAsia="宋体" w:cs="宋体"/>
          <w:i w:val="0"/>
          <w:iCs w:val="0"/>
          <w:caps w:val="0"/>
          <w:color w:val="auto"/>
          <w:spacing w:val="0"/>
          <w:sz w:val="21"/>
          <w:szCs w:val="21"/>
          <w:highlight w:val="none"/>
          <w:shd w:val="clear" w:fill="FFFFFF"/>
        </w:rPr>
        <w:t>．进度计划</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10.1 合同进度计划</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应按专用合同条款约定的内容和期限，编制详细的施工进度计划和施工方案说明报送监理人。监理人应在专用合同条款约定的期限内批复或提出修改意见，否则该进度计划视为己得到批准。经监理人批准的施工进度计划称合同进度计划，是控制合同工程进度的依据。承包人还应根据合同进度计划，编制更为详细的分阶段或分项进度计划，报监理人审批。</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10.2 合同进度计划的修订</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不论何种原因造成工程的实际进度与第10.1 款的合同进度计划不符时，承包人可以在专用合同条款约定的期限内向监理人提交修订合同进度计划的申请报告，并附有关措施和相关资料，报监理人审批；监理人也可以直接向承包人作出修订合同进度计划的指示，承包人应按该指示修订合同进度计划，报监理人审批。监理人应在专用合同条款约定的期限内批复。监理人在批复前应获得发包人同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38" w:name="_Toc184635108"/>
      <w:r>
        <w:rPr>
          <w:rFonts w:hint="eastAsia" w:ascii="宋体" w:hAnsi="宋体" w:eastAsia="宋体" w:cs="宋体"/>
          <w:i w:val="0"/>
          <w:iCs w:val="0"/>
          <w:caps w:val="0"/>
          <w:color w:val="auto"/>
          <w:spacing w:val="0"/>
          <w:sz w:val="21"/>
          <w:szCs w:val="21"/>
          <w:highlight w:val="none"/>
          <w:u w:val="none"/>
          <w:shd w:val="clear" w:fill="FFFFFF"/>
        </w:rPr>
        <w:t>11</w:t>
      </w:r>
      <w:bookmarkEnd w:id="138"/>
      <w:r>
        <w:rPr>
          <w:rFonts w:hint="eastAsia" w:ascii="宋体" w:hAnsi="宋体" w:eastAsia="宋体" w:cs="宋体"/>
          <w:i w:val="0"/>
          <w:iCs w:val="0"/>
          <w:caps w:val="0"/>
          <w:color w:val="auto"/>
          <w:spacing w:val="0"/>
          <w:sz w:val="21"/>
          <w:szCs w:val="21"/>
          <w:highlight w:val="none"/>
          <w:shd w:val="clear" w:fill="FFFFFF"/>
        </w:rPr>
        <w:t>、开工和竣工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11.1 开工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11.1.1 监理人应在开工日期7 天前向承包人发出开工通知。监理人在发出开工通知前应获得发包人同意。工期自监理人发出的开工通知中载明的开工日期起计算。承包人应在开工日期后尽快施工。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11.1.2 承包人应按第10.1 款约定的合同进度计划，向监理人提交工程开工报审表，经监理人审批后执行。开工报审表应详细说明按合同进度计划正常施工所需的施工道路、临时设施、材料设备、施工人员等施工组织措施的落实情况以及工程的进度安排。</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11.2 竣工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承包人应在第1.1.4.3 目约定的期限内完成合同工程。实际竣工日期在接收证书中写明。</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11.3 发包人的工期延误</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在履行合同过程中，由于发包人的下列原因造成工期延误的，承包人有权要求发包人延长工期和（或）增加费用，并支付合理利润。需要修订合同进度计划的，按照第10.2 款的约定办理。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(l）增加合同工作内容；</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(2）改变合同中任何一项工作的质量要求或其他特性；</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(3）发包人迟延提供材料、工程设备或变更交货地点的；</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(4）因发包人原因导致的暂停施工；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(5）提供图纸延误；</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(6）未按合同约定及时支付预付款、进度款；</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(7）发包人造成工期延误的其他原因。</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11.4 异常恶劣的气候条件</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由于出现专用合同条款规定的异常恶劣气候的条件导致工期延误的，承包人有权要求发包人延长工期。</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11.5 承包人的工期延误</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由于承包人原因，未能按合同进度计划完成工作，或监理人认为承包人施工进度不能满足合同工期要求的，承包人应采取措施加快进度，并承担加快进度所增加的费用。由于承包人原因造成工期延误，承包人应支付逾期竣工违约金。逾期竣工违约金的计算方法在专用合同条款中约定。承包人支付逾期竣工违约金，不免除承包人完成工程及修补缺陷的义务。</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11.6 工期提前</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发包人要求承包人提前竣工，或承包人提出提前竣工的建议能够给发包人带来效益的，应由监理人与承包人共同协商采取加快工程进度的措施和修订合同进度计划。发包人应承担承包人由此增加的费用，并向承包人支付专用合同条款约定的相应奖金。</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39" w:name="_Toc184635109"/>
      <w:r>
        <w:rPr>
          <w:rFonts w:hint="eastAsia" w:ascii="宋体" w:hAnsi="宋体" w:eastAsia="宋体" w:cs="宋体"/>
          <w:i w:val="0"/>
          <w:iCs w:val="0"/>
          <w:caps w:val="0"/>
          <w:color w:val="auto"/>
          <w:spacing w:val="0"/>
          <w:sz w:val="21"/>
          <w:szCs w:val="21"/>
          <w:highlight w:val="none"/>
          <w:u w:val="none"/>
          <w:shd w:val="clear" w:fill="FFFFFF"/>
        </w:rPr>
        <w:t>12</w:t>
      </w:r>
      <w:bookmarkEnd w:id="139"/>
      <w:r>
        <w:rPr>
          <w:rFonts w:hint="eastAsia" w:ascii="宋体" w:hAnsi="宋体" w:eastAsia="宋体" w:cs="宋体"/>
          <w:i w:val="0"/>
          <w:iCs w:val="0"/>
          <w:caps w:val="0"/>
          <w:color w:val="auto"/>
          <w:spacing w:val="0"/>
          <w:sz w:val="21"/>
          <w:szCs w:val="21"/>
          <w:highlight w:val="none"/>
          <w:shd w:val="clear" w:fill="FFFFFF"/>
        </w:rPr>
        <w:t>．暂停施工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12.1 承包人暂停施工的责任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因下列暂停施工增加的费用和（或）工期延误由承包人承担：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(1）承包人违约引起的暂停施工；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(2）由于承包人原因为工程合理施工和安全保障所必需的暂停施工；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(3）承包人擅自暂停施工；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(4）承包人其他原因引起的暂停施工；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(5）专用合同条款约定由承包人承担的其他暂停施工。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12.2 发包人暂停施工的责任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由于发包人原因引起的暂停施工造成工期延误的，承包人有权要求发包人延长工期和（或）增加费用，并支付合理利润。</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12.3 监理人暂停施工指示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12.3.1 监理人认为有必要时，可向承包人作出暂停施工的指示，承包人应按监理人指示暂停施工。不论由于何种原因引起的暂停施工，暂停施工期间承包人应负责妥善保护工程并提供安全保障。</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12.3.2 由于发包人的原因发生暂停施工的紧急情况，且监理人未及时下达暂停施工指示的，承包人可先暂停施工，并及时向监理人提出暂停施工的书面请求。监理人应在接到书面请求后的24小时内予以答复，逾期未答复的，视为同意承包人的暂停施工请求。</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12.4 暂停施工后的复工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12.4.1 暂停施工后，监理人应与发包人和承包人协商，采取有效措施积极消除暂停施工的影响。当工程具备复工条件时，监理人应立即向承包人发出复工通知。承包人收到复工通知后，应在监理人指定的期限内复工。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12.4.2 承包人无故拖延和拒绝复工的，由此增加的费用和工期延误由承包人承担；因发包人原因无法按时复工的，承包人有权要求发包人延长工期和（或）增加费用，并支付合理利润。</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12.5 暂停施工持续56 天以上</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12.5.1 监理人发出暂停施工指示后56 天内未向承包人发出复工通知，除了该项停工属于第12.1 款的情况外，承包人可向监理人提交书面通知，要求监理人在收到书面通知后28天内准许已暂停施工的工程或其中一部分工程继续施工。如监理人逾期不予批准，则承包人可以通知监理人，将工程受影响的部分视为按第15.1(l）项的可取消工作。如暂停施工影响到整个工程，可视为发包人违约，应按第22.2款的规定办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12.5.2 由于承包人责任引起的暂停施工，如承包人在收到监理人暂停施工指示后56 天内不认真采取有效的复工措施，造成工期延误，可视为承包人违约，应按第22.1 款的规定办理。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40" w:name="_Toc184635110"/>
      <w:r>
        <w:rPr>
          <w:rFonts w:hint="eastAsia" w:ascii="宋体" w:hAnsi="宋体" w:eastAsia="宋体" w:cs="宋体"/>
          <w:i w:val="0"/>
          <w:iCs w:val="0"/>
          <w:caps w:val="0"/>
          <w:color w:val="auto"/>
          <w:spacing w:val="0"/>
          <w:sz w:val="21"/>
          <w:szCs w:val="21"/>
          <w:highlight w:val="none"/>
          <w:u w:val="none"/>
          <w:shd w:val="clear" w:fill="FFFFFF"/>
        </w:rPr>
        <w:t>13</w:t>
      </w:r>
      <w:bookmarkEnd w:id="140"/>
      <w:r>
        <w:rPr>
          <w:rFonts w:hint="eastAsia" w:ascii="宋体" w:hAnsi="宋体" w:eastAsia="宋体" w:cs="宋体"/>
          <w:i w:val="0"/>
          <w:iCs w:val="0"/>
          <w:caps w:val="0"/>
          <w:color w:val="auto"/>
          <w:spacing w:val="0"/>
          <w:sz w:val="21"/>
          <w:szCs w:val="21"/>
          <w:highlight w:val="none"/>
          <w:shd w:val="clear" w:fill="FFFFFF"/>
        </w:rPr>
        <w:t>．工程质量</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13.1 工程质量要求</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13.1.1 工程质量验收按合同约定验收标准执行。</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13.1.2 因承包人原因造成工程质量达不到合同约定验收标准的，监理人有权要求承包人返工直至符合合同要求为止，由此造成的费用增加和（或）工期延误由承包人承担。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13.1.3 因发包人原因造成工程质量达不到合同约定验收标准的，发包人应承担由于承包人返工造成的费用增加和（或）工期延误，并支付承包人合理利润。</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13.2 承包人的质量管理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13.2.1 承包人应在施工场地设置专门的质量检查机构，配备专职质量检查人员，建立完善的质量检查制度。承包人应在合同约定的期限内，提交工程质量保证措施文件，包括质量检查机构的组织和岗位责任、质检人员的组成、质量检查程序和实施细则等，报送监理人审批。</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13.2.2 承包人应加强对施工人员的质量教育和技术培训，定期考核施工人员的劳动技能，严格执行规范和操作规程。</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13.3 承包人的质量检查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承包人应按合同约定对材料、工程设备以及工程的所有部位及其施工工艺进行全过程的质量检查和检验，并作详细记录，编制工程质量报表，报送监理人审查。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13.4 监理人的质量检查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13.5 工程隐蔽部位覆盖前的检查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13.5.1 通知监理人检查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经承包人自检确认的工程隐蔽部位具备覆盖条件后，承包人应通知监理人在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13.5.2 监理人未到场检查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监理人未按第13.5.l 项约定的时间进行检查的，除监理人另有指示外，承包人可自行完成覆盖工作，并作相应记录报送监理人，监理人应签字确认。监理人事后对检查记录有疑问的，可按第13.5.3 项的约定重新检查。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13.5.3 监理人重新检查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承包人按第13.5.1 项或第13.5.2 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13.5.4 承包人私自覆盖</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承包人未通知监理人到场检查，私自将工程隐蔽部位覆盖的，监理人有权指示承包人钻孔探测或揭开检查，由此增加的费用和（或）工期延误由承包人承担。</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13.6 清除不合格工程</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13.6.1 承包人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13.6.2 由于发包人提供的材料或工程设备不合格造成的工程不合格，需要承包人采取措施补救的，发包人应承担由此增加的费用和（或）工期延误，并支付承包人合理利润。</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41" w:name="_Toc184635111"/>
      <w:r>
        <w:rPr>
          <w:rFonts w:hint="eastAsia" w:ascii="宋体" w:hAnsi="宋体" w:eastAsia="宋体" w:cs="宋体"/>
          <w:i w:val="0"/>
          <w:iCs w:val="0"/>
          <w:caps w:val="0"/>
          <w:color w:val="auto"/>
          <w:spacing w:val="0"/>
          <w:sz w:val="21"/>
          <w:szCs w:val="21"/>
          <w:highlight w:val="none"/>
          <w:u w:val="none"/>
          <w:shd w:val="clear" w:fill="FFFFFF"/>
        </w:rPr>
        <w:t>14</w:t>
      </w:r>
      <w:bookmarkEnd w:id="141"/>
      <w:r>
        <w:rPr>
          <w:rFonts w:hint="eastAsia" w:ascii="宋体" w:hAnsi="宋体" w:eastAsia="宋体" w:cs="宋体"/>
          <w:i w:val="0"/>
          <w:iCs w:val="0"/>
          <w:caps w:val="0"/>
          <w:color w:val="auto"/>
          <w:spacing w:val="0"/>
          <w:sz w:val="21"/>
          <w:szCs w:val="21"/>
          <w:highlight w:val="none"/>
          <w:shd w:val="clear" w:fill="FFFFFF"/>
        </w:rPr>
        <w:t>．试验和检验</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14.1 材料、工程设备和工程的试验和检验</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14.1.1 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14.1.2 监理人未按合同约定派员参加试验和检验的，除监理人另有指示外，承包人可自行试验和检验，并应立即将试验和检验结果报送监理人，监理人应签字确认。</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14.1.3 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14.2 现场材料试验</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14.2.1 承包人根据合同约定或监理人指示进行的现场材料试验，应由承包人提供试验场所、试验人员、试验设备器材以及其他必要的试验条件。</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14.2.2 监理人在必要时可以使用承包人的试验场所、试验设备器材以及其他试验条件，进行以工程质量检查为目的的复核性材料试验，承包人应予以协助。</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14.3 现场工艺试验</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承包人应按合同约定或监理人指示进行现场工艺试验。对大型的现场工艺试验，监理人认为必要时，应由承包人根据监理人提出的工艺试验要求，编制工艺试验措施计划，报送监理人审批。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42" w:name="_Toc184635112"/>
      <w:r>
        <w:rPr>
          <w:rFonts w:hint="eastAsia" w:ascii="宋体" w:hAnsi="宋体" w:eastAsia="宋体" w:cs="宋体"/>
          <w:i w:val="0"/>
          <w:iCs w:val="0"/>
          <w:caps w:val="0"/>
          <w:color w:val="auto"/>
          <w:spacing w:val="0"/>
          <w:sz w:val="21"/>
          <w:szCs w:val="21"/>
          <w:highlight w:val="none"/>
          <w:u w:val="none"/>
          <w:shd w:val="clear" w:fill="FFFFFF"/>
        </w:rPr>
        <w:t>15</w:t>
      </w:r>
      <w:bookmarkEnd w:id="142"/>
      <w:r>
        <w:rPr>
          <w:rFonts w:hint="eastAsia" w:ascii="宋体" w:hAnsi="宋体" w:eastAsia="宋体" w:cs="宋体"/>
          <w:i w:val="0"/>
          <w:iCs w:val="0"/>
          <w:caps w:val="0"/>
          <w:color w:val="auto"/>
          <w:spacing w:val="0"/>
          <w:sz w:val="21"/>
          <w:szCs w:val="21"/>
          <w:highlight w:val="none"/>
          <w:shd w:val="clear" w:fill="FFFFFF"/>
        </w:rPr>
        <w:t>．变更</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15.1 变更的范围和内容</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除专用合同条款另有约定外，在履行合同中发生以下情形之一，应按照本条规定进行变更。</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(1）取消合同中任何一项工作，但被取消的工作不能转由发包人或其他人实施；( 2 ）改变合同中任何一项工作的质量或其他特性；</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(3）改变合同工程的基线、标高、位置或尺寸；</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(4）改变合同中任何一项工作的施工时间或改变己批准的施工工艺或顺序；( 5 ）为完成工程需要追加的额外工作。</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15.2 变更权</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在履行合同过程中，经发包人同意，监理人可按第15.3款约定的变更程序向承包人作出变更指示，承包人应遵照执行。没有监理人的变更指示，承包人不得擅自变更。</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 xml:space="preserve">15.3 </w:t>
      </w:r>
      <w:r>
        <w:rPr>
          <w:rFonts w:hint="eastAsia" w:ascii="宋体" w:hAnsi="宋体" w:eastAsia="宋体" w:cs="宋体"/>
          <w:i w:val="0"/>
          <w:iCs w:val="0"/>
          <w:caps w:val="0"/>
          <w:color w:val="auto"/>
          <w:spacing w:val="0"/>
          <w:sz w:val="21"/>
          <w:szCs w:val="21"/>
          <w:highlight w:val="none"/>
          <w:shd w:val="clear" w:fill="FFFFFF"/>
          <w:lang w:val="en-US" w:eastAsia="zh-CN"/>
        </w:rPr>
        <w:t>变更</w:t>
      </w:r>
      <w:r>
        <w:rPr>
          <w:rFonts w:hint="eastAsia" w:ascii="宋体" w:hAnsi="宋体" w:eastAsia="宋体" w:cs="宋体"/>
          <w:i w:val="0"/>
          <w:iCs w:val="0"/>
          <w:caps w:val="0"/>
          <w:color w:val="auto"/>
          <w:spacing w:val="0"/>
          <w:sz w:val="21"/>
          <w:szCs w:val="21"/>
          <w:highlight w:val="none"/>
          <w:shd w:val="clear" w:fill="FFFFFF"/>
        </w:rPr>
        <w:t>程序</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15.3.1变更的提出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(1）在合同履行过程中，可能发生第15.1 款约定情形的，监理人可向承包人发出变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按第15.3.3 项约定发出变更指示。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(2）在合同履行过程中，发生第15.1 款约定情形的，监理人应按照第15.3.3 项约定向承包人发出变更指示。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(3）承包人收到监理人按合同约定发出的图纸和文件，经检查认为其中存在第15.1 款约定情形的，可向监理人提出书面变更建议。变更建议应阐明要求变更的依据，并附必要的图纸和说明。监理人收到承包人书面建议后，应与发包人共同研究，确认存在变更的，应在收到承包人书面建议后的14 天内作出变更指示。经研究后不同意作为变更的，应由监理人书面答复承包人。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(4）若承包人收到监理人的变更意向书后认为难以实施此项变更，应立即通知监理人，说明原因并附详细依据。监理人与承包人和发包人协商后确定撤销、改变或不改变原变更意向书。</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15.3.2 变更估价</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(l）除专用合同条款对期限另有约定外，承包人应在收到变更指示或变更意向书后的14 天内，向监理人提交变更报价书，报价内容应根据第15.4 款约定的估价原则，详细开列变更工作的价格组成及其依据，并附必要的施工方法说明和有关图纸。</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(2）变更工作影响工期的，承包人应提出调整工期的具体细节。监理人认为有必要时，可要求承包人提交要求提前或延长工期的施工进度计划及相应施工措施等详细资料。</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(3）除专用合同条款对期限另有约定外，监理人收到承包人变更报价书后的14 天内，根据第15.4 款约定的估价原则，按照第3.5 款商定或确定变更价格。</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15.3.3 变更指示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(l）变更指示只能由监理人发出。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(2）变更指示应说明变更的目的、范围、变更内容以及变更的工程量及其进度和技术要求，并附有关图纸和文件。承包人收到变更指示后，应按变更指示进行变更工作。</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15.4 变更的估价原则</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除专用合同条款另有约定外，因变更引起的价格调整按照本款约定处理。15.4.1 己标价工程量清单中有适用于变更工作的子目的，采用该子目的单价。</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15.4.2 己标价工程量清单中无适用于变更工作的子目，但有类似子目的，可在合理范围内参照类似子目的单价，由监理人按第3.5 款商定或确定变更工作的单价。</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15.4.3 己标价工程量清单中无适用或类似子目的单价，可按照成本加利润的原则，由监理人按第3. 5 款商定或确定变更工作的单价。</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15.5 承包人的合理化建议</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15.5.1 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15.3.3项约定向承包人发出变更指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15.5.2 承包人提出的合理化建议降低了合同价格、缩短了工期或者提高了工程经济效益的，发包人可按国家有关规定在专用合同条款中约定给予奖励。</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15.6 暂列金额</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暂列金额只能按照监理人的指示使用，并对合同价格进行相应调整。</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15.7 计日工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15.7.1 发包人认为有必要时，由监理人通知承包人以计日工方式实施变更的零星工作。其价款按列入已标价工程量清单中的计日工计价子目及其单价进行计算．,</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15.7.2 采用计日工计价的任何一项变更工作，应从暂列金额中支付，承包人应在该项变更的实施过程中，每天提交以下报表和有关凭证报送监理人审批：</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(l）工作名称、内容和数量；</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(2）投入该工作所有人员的姓名、工种、级别和耗用工时；</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(3）投入该工作的材料类别和数量；</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(4）投入该工作的施工设备型号、台数和耗用台时；</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(5）监理人要求提交的其他资料和凭证。</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15.7.3 计日工由承包人汇总后，按第17.3 .2 项的约定列入进度付款申请单，由监理人复核并经发包人同意后列入进度付款。</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15.8 暂估价</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15.8.1 发包人在工程量清单中给定暂估价的材料、工程设备和专业工程属于依法必须招标的范围并达到规定的规模标准的，由发包人和承包人以招标的方式选择供应商或分包人。发包人和承包人的权利义务关系在专用合同条款中约定。中标金额与工程量清单中所列的暂估价的金额差以及相应的税金等其他费用列入合同价格。</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15.8.2 发包人在工程量清单中给定暂估价的材料和工程设备不属于依法必须招标的范围或未达到规定的规模标准的，应由承包人按第5.1 款的约定提供。经监理人确认的材料、工程设备的价格与工程量清单中所列的暂估价的金额差以及相应的税金等其他费用列入合同价格。</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15.8.3发包人在工程量清单中给定暂估价的专业工程不属于依法必须招标的范围或未达到规定的规模标准的，由监理人按照第15.4 款进行估价，但专用合同条款另有约定的除外。经估价的专业工程与工程量清单中所列的暂估价的金额差以及相应的税金等其他费用列入合同价格。</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43" w:name="_Toc184635113"/>
      <w:r>
        <w:rPr>
          <w:rFonts w:hint="eastAsia" w:ascii="宋体" w:hAnsi="宋体" w:eastAsia="宋体" w:cs="宋体"/>
          <w:i w:val="0"/>
          <w:iCs w:val="0"/>
          <w:caps w:val="0"/>
          <w:color w:val="auto"/>
          <w:spacing w:val="0"/>
          <w:sz w:val="21"/>
          <w:szCs w:val="21"/>
          <w:highlight w:val="none"/>
          <w:u w:val="none"/>
          <w:shd w:val="clear" w:fill="FFFFFF"/>
        </w:rPr>
        <w:t>16</w:t>
      </w:r>
      <w:bookmarkEnd w:id="143"/>
      <w:r>
        <w:rPr>
          <w:rFonts w:hint="eastAsia" w:ascii="宋体" w:hAnsi="宋体" w:eastAsia="宋体" w:cs="宋体"/>
          <w:i w:val="0"/>
          <w:iCs w:val="0"/>
          <w:caps w:val="0"/>
          <w:color w:val="auto"/>
          <w:spacing w:val="0"/>
          <w:sz w:val="21"/>
          <w:szCs w:val="21"/>
          <w:highlight w:val="none"/>
          <w:shd w:val="clear" w:fill="FFFFFF"/>
        </w:rPr>
        <w:t>．价格调整</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16.1 物价波动引起的价格调整</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除专用合同条款另有约定外，因物价波动引起的价格调整按照本款约定处理。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16.1.1 采用价格指数调整价格差额</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16.1.1.1 价格调整公式</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因人工、材料和设备等价格波动影响合同价格时，根据投标函附录中的价格指数和权重表约定的数据，按以下公式计算差额并调整合同价格。</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2205"/>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F</w:t>
      </w:r>
      <w:r>
        <w:rPr>
          <w:rFonts w:hint="eastAsia" w:ascii="宋体" w:hAnsi="宋体" w:eastAsia="宋体" w:cs="宋体"/>
          <w:i w:val="0"/>
          <w:iCs w:val="0"/>
          <w:caps w:val="0"/>
          <w:color w:val="auto"/>
          <w:spacing w:val="0"/>
          <w:sz w:val="21"/>
          <w:szCs w:val="21"/>
          <w:highlight w:val="none"/>
          <w:shd w:val="clear" w:fill="FFFFFF"/>
          <w:vertAlign w:val="subscript"/>
        </w:rPr>
        <w:t>t1        </w:t>
      </w:r>
      <w:r>
        <w:rPr>
          <w:rFonts w:hint="eastAsia" w:ascii="宋体" w:hAnsi="宋体" w:eastAsia="宋体" w:cs="宋体"/>
          <w:i w:val="0"/>
          <w:iCs w:val="0"/>
          <w:caps w:val="0"/>
          <w:color w:val="auto"/>
          <w:spacing w:val="0"/>
          <w:sz w:val="21"/>
          <w:szCs w:val="21"/>
          <w:highlight w:val="none"/>
          <w:shd w:val="clear" w:fill="FFFFFF"/>
          <w:vertAlign w:val="baseline"/>
        </w:rPr>
        <w:t> F</w:t>
      </w:r>
      <w:r>
        <w:rPr>
          <w:rFonts w:hint="eastAsia" w:ascii="宋体" w:hAnsi="宋体" w:eastAsia="宋体" w:cs="宋体"/>
          <w:i w:val="0"/>
          <w:iCs w:val="0"/>
          <w:caps w:val="0"/>
          <w:color w:val="auto"/>
          <w:spacing w:val="0"/>
          <w:sz w:val="21"/>
          <w:szCs w:val="21"/>
          <w:highlight w:val="none"/>
          <w:shd w:val="clear" w:fill="FFFFFF"/>
          <w:vertAlign w:val="subscript"/>
        </w:rPr>
        <w:t>t2        </w:t>
      </w:r>
      <w:r>
        <w:rPr>
          <w:rFonts w:hint="eastAsia" w:ascii="宋体" w:hAnsi="宋体" w:eastAsia="宋体" w:cs="宋体"/>
          <w:i w:val="0"/>
          <w:iCs w:val="0"/>
          <w:caps w:val="0"/>
          <w:color w:val="auto"/>
          <w:spacing w:val="0"/>
          <w:sz w:val="21"/>
          <w:szCs w:val="21"/>
          <w:highlight w:val="none"/>
          <w:shd w:val="clear" w:fill="FFFFFF"/>
        </w:rPr>
        <w:t>F</w:t>
      </w:r>
      <w:r>
        <w:rPr>
          <w:rFonts w:hint="eastAsia" w:ascii="宋体" w:hAnsi="宋体" w:eastAsia="宋体" w:cs="宋体"/>
          <w:i w:val="0"/>
          <w:iCs w:val="0"/>
          <w:caps w:val="0"/>
          <w:color w:val="auto"/>
          <w:spacing w:val="0"/>
          <w:sz w:val="21"/>
          <w:szCs w:val="21"/>
          <w:highlight w:val="none"/>
          <w:shd w:val="clear" w:fill="FFFFFF"/>
          <w:vertAlign w:val="subscript"/>
        </w:rPr>
        <w:t>t3                </w:t>
      </w:r>
      <w:r>
        <w:rPr>
          <w:rFonts w:hint="eastAsia" w:ascii="宋体" w:hAnsi="宋体" w:eastAsia="宋体" w:cs="宋体"/>
          <w:i w:val="0"/>
          <w:iCs w:val="0"/>
          <w:caps w:val="0"/>
          <w:color w:val="auto"/>
          <w:spacing w:val="0"/>
          <w:sz w:val="21"/>
          <w:szCs w:val="21"/>
          <w:highlight w:val="none"/>
          <w:shd w:val="clear" w:fill="FFFFFF"/>
        </w:rPr>
        <w:t>F</w:t>
      </w:r>
      <w:r>
        <w:rPr>
          <w:rFonts w:hint="eastAsia" w:ascii="宋体" w:hAnsi="宋体" w:eastAsia="宋体" w:cs="宋体"/>
          <w:i w:val="0"/>
          <w:iCs w:val="0"/>
          <w:caps w:val="0"/>
          <w:color w:val="auto"/>
          <w:spacing w:val="0"/>
          <w:sz w:val="21"/>
          <w:szCs w:val="21"/>
          <w:highlight w:val="none"/>
          <w:shd w:val="clear" w:fill="FFFFFF"/>
          <w:vertAlign w:val="subscript"/>
        </w:rPr>
        <w:t>tn</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780" w:right="0" w:hanging="36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 P=P</w:t>
      </w:r>
      <w:r>
        <w:rPr>
          <w:rFonts w:hint="eastAsia" w:ascii="宋体" w:hAnsi="宋体" w:eastAsia="宋体" w:cs="宋体"/>
          <w:i w:val="0"/>
          <w:iCs w:val="0"/>
          <w:caps w:val="0"/>
          <w:color w:val="auto"/>
          <w:spacing w:val="0"/>
          <w:sz w:val="21"/>
          <w:szCs w:val="21"/>
          <w:highlight w:val="none"/>
          <w:shd w:val="clear" w:fill="FFFFFF"/>
          <w:vertAlign w:val="subscript"/>
        </w:rPr>
        <w:t>O</w:t>
      </w:r>
      <w:r>
        <w:rPr>
          <w:rFonts w:hint="eastAsia" w:ascii="宋体" w:hAnsi="宋体" w:eastAsia="宋体" w:cs="宋体"/>
          <w:i w:val="0"/>
          <w:iCs w:val="0"/>
          <w:caps w:val="0"/>
          <w:color w:val="auto"/>
          <w:spacing w:val="0"/>
          <w:sz w:val="21"/>
          <w:szCs w:val="21"/>
          <w:highlight w:val="none"/>
          <w:shd w:val="clear" w:fill="FFFFFF"/>
        </w:rPr>
        <w:t>［A+｛B</w:t>
      </w:r>
      <w:r>
        <w:rPr>
          <w:rFonts w:hint="eastAsia" w:ascii="宋体" w:hAnsi="宋体" w:eastAsia="宋体" w:cs="宋体"/>
          <w:i w:val="0"/>
          <w:iCs w:val="0"/>
          <w:caps w:val="0"/>
          <w:color w:val="auto"/>
          <w:spacing w:val="0"/>
          <w:sz w:val="21"/>
          <w:szCs w:val="21"/>
          <w:highlight w:val="none"/>
          <w:shd w:val="clear" w:fill="FFFFFF"/>
          <w:vertAlign w:val="subscript"/>
        </w:rPr>
        <w:t>1</w:t>
      </w:r>
      <w:r>
        <w:rPr>
          <w:rFonts w:hint="eastAsia" w:ascii="宋体" w:hAnsi="宋体" w:eastAsia="宋体" w:cs="宋体"/>
          <w:i w:val="0"/>
          <w:iCs w:val="0"/>
          <w:caps w:val="0"/>
          <w:color w:val="auto"/>
          <w:spacing w:val="0"/>
          <w:sz w:val="21"/>
          <w:szCs w:val="21"/>
          <w:highlight w:val="none"/>
          <w:shd w:val="clear" w:fill="FFFFFF"/>
        </w:rPr>
        <w:t>×—＋B</w:t>
      </w:r>
      <w:r>
        <w:rPr>
          <w:rFonts w:hint="eastAsia" w:ascii="宋体" w:hAnsi="宋体" w:eastAsia="宋体" w:cs="宋体"/>
          <w:i w:val="0"/>
          <w:iCs w:val="0"/>
          <w:caps w:val="0"/>
          <w:color w:val="auto"/>
          <w:spacing w:val="0"/>
          <w:sz w:val="21"/>
          <w:szCs w:val="21"/>
          <w:highlight w:val="none"/>
          <w:shd w:val="clear" w:fill="FFFFFF"/>
          <w:vertAlign w:val="subscript"/>
        </w:rPr>
        <w:t>2</w:t>
      </w:r>
      <w:r>
        <w:rPr>
          <w:rFonts w:hint="eastAsia" w:ascii="宋体" w:hAnsi="宋体" w:eastAsia="宋体" w:cs="宋体"/>
          <w:i w:val="0"/>
          <w:iCs w:val="0"/>
          <w:caps w:val="0"/>
          <w:color w:val="auto"/>
          <w:spacing w:val="0"/>
          <w:sz w:val="21"/>
          <w:szCs w:val="21"/>
          <w:highlight w:val="none"/>
          <w:shd w:val="clear" w:fill="FFFFFF"/>
        </w:rPr>
        <w:t>×—＋B</w:t>
      </w:r>
      <w:r>
        <w:rPr>
          <w:rFonts w:hint="eastAsia" w:ascii="宋体" w:hAnsi="宋体" w:eastAsia="宋体" w:cs="宋体"/>
          <w:i w:val="0"/>
          <w:iCs w:val="0"/>
          <w:caps w:val="0"/>
          <w:color w:val="auto"/>
          <w:spacing w:val="0"/>
          <w:sz w:val="21"/>
          <w:szCs w:val="21"/>
          <w:highlight w:val="none"/>
          <w:shd w:val="clear" w:fill="FFFFFF"/>
          <w:vertAlign w:val="subscript"/>
        </w:rPr>
        <w:t>3</w:t>
      </w:r>
      <w:r>
        <w:rPr>
          <w:rFonts w:hint="eastAsia" w:ascii="宋体" w:hAnsi="宋体" w:eastAsia="宋体" w:cs="宋体"/>
          <w:i w:val="0"/>
          <w:iCs w:val="0"/>
          <w:caps w:val="0"/>
          <w:color w:val="auto"/>
          <w:spacing w:val="0"/>
          <w:sz w:val="21"/>
          <w:szCs w:val="21"/>
          <w:highlight w:val="none"/>
          <w:shd w:val="clear" w:fill="FFFFFF"/>
        </w:rPr>
        <w:t>×—＋…＋B</w:t>
      </w:r>
      <w:r>
        <w:rPr>
          <w:rFonts w:hint="eastAsia" w:ascii="宋体" w:hAnsi="宋体" w:eastAsia="宋体" w:cs="宋体"/>
          <w:i w:val="0"/>
          <w:iCs w:val="0"/>
          <w:caps w:val="0"/>
          <w:color w:val="auto"/>
          <w:spacing w:val="0"/>
          <w:sz w:val="21"/>
          <w:szCs w:val="21"/>
          <w:highlight w:val="none"/>
          <w:shd w:val="clear" w:fill="FFFFFF"/>
          <w:vertAlign w:val="subscript"/>
        </w:rPr>
        <w:t>n</w:t>
      </w:r>
      <w:r>
        <w:rPr>
          <w:rFonts w:hint="eastAsia" w:ascii="宋体" w:hAnsi="宋体" w:eastAsia="宋体" w:cs="宋体"/>
          <w:i w:val="0"/>
          <w:iCs w:val="0"/>
          <w:caps w:val="0"/>
          <w:color w:val="auto"/>
          <w:spacing w:val="0"/>
          <w:sz w:val="21"/>
          <w:szCs w:val="21"/>
          <w:highlight w:val="none"/>
          <w:shd w:val="clear" w:fill="FFFFFF"/>
        </w:rPr>
        <w:t>×—｝－1］</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420" w:right="0" w:firstLine="1785"/>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F</w:t>
      </w:r>
      <w:r>
        <w:rPr>
          <w:rFonts w:hint="eastAsia" w:ascii="宋体" w:hAnsi="宋体" w:eastAsia="宋体" w:cs="宋体"/>
          <w:i w:val="0"/>
          <w:iCs w:val="0"/>
          <w:caps w:val="0"/>
          <w:color w:val="auto"/>
          <w:spacing w:val="0"/>
          <w:sz w:val="21"/>
          <w:szCs w:val="21"/>
          <w:highlight w:val="none"/>
          <w:shd w:val="clear" w:fill="FFFFFF"/>
          <w:vertAlign w:val="subscript"/>
        </w:rPr>
        <w:t>01        </w:t>
      </w:r>
      <w:r>
        <w:rPr>
          <w:rFonts w:hint="eastAsia" w:ascii="宋体" w:hAnsi="宋体" w:eastAsia="宋体" w:cs="宋体"/>
          <w:i w:val="0"/>
          <w:iCs w:val="0"/>
          <w:caps w:val="0"/>
          <w:color w:val="auto"/>
          <w:spacing w:val="0"/>
          <w:sz w:val="21"/>
          <w:szCs w:val="21"/>
          <w:highlight w:val="none"/>
          <w:shd w:val="clear" w:fill="FFFFFF"/>
        </w:rPr>
        <w:t>F</w:t>
      </w:r>
      <w:r>
        <w:rPr>
          <w:rFonts w:hint="eastAsia" w:ascii="宋体" w:hAnsi="宋体" w:eastAsia="宋体" w:cs="宋体"/>
          <w:i w:val="0"/>
          <w:iCs w:val="0"/>
          <w:caps w:val="0"/>
          <w:color w:val="auto"/>
          <w:spacing w:val="0"/>
          <w:sz w:val="21"/>
          <w:szCs w:val="21"/>
          <w:highlight w:val="none"/>
          <w:shd w:val="clear" w:fill="FFFFFF"/>
          <w:vertAlign w:val="subscript"/>
        </w:rPr>
        <w:t>02       </w:t>
      </w:r>
      <w:r>
        <w:rPr>
          <w:rFonts w:hint="eastAsia" w:ascii="宋体" w:hAnsi="宋体" w:eastAsia="宋体" w:cs="宋体"/>
          <w:i w:val="0"/>
          <w:iCs w:val="0"/>
          <w:caps w:val="0"/>
          <w:color w:val="auto"/>
          <w:spacing w:val="0"/>
          <w:sz w:val="21"/>
          <w:szCs w:val="21"/>
          <w:highlight w:val="none"/>
          <w:shd w:val="clear" w:fill="FFFFFF"/>
        </w:rPr>
        <w:t>F</w:t>
      </w:r>
      <w:r>
        <w:rPr>
          <w:rFonts w:hint="eastAsia" w:ascii="宋体" w:hAnsi="宋体" w:eastAsia="宋体" w:cs="宋体"/>
          <w:i w:val="0"/>
          <w:iCs w:val="0"/>
          <w:caps w:val="0"/>
          <w:color w:val="auto"/>
          <w:spacing w:val="0"/>
          <w:sz w:val="21"/>
          <w:szCs w:val="21"/>
          <w:highlight w:val="none"/>
          <w:shd w:val="clear" w:fill="FFFFFF"/>
          <w:vertAlign w:val="subscript"/>
        </w:rPr>
        <w:t>03              </w:t>
      </w:r>
      <w:r>
        <w:rPr>
          <w:rFonts w:hint="eastAsia" w:ascii="宋体" w:hAnsi="宋体" w:eastAsia="宋体" w:cs="宋体"/>
          <w:i w:val="0"/>
          <w:iCs w:val="0"/>
          <w:caps w:val="0"/>
          <w:color w:val="auto"/>
          <w:spacing w:val="0"/>
          <w:sz w:val="21"/>
          <w:szCs w:val="21"/>
          <w:highlight w:val="none"/>
          <w:shd w:val="clear" w:fill="FFFFFF"/>
        </w:rPr>
        <w:t>F</w:t>
      </w:r>
      <w:r>
        <w:rPr>
          <w:rFonts w:hint="eastAsia" w:ascii="宋体" w:hAnsi="宋体" w:eastAsia="宋体" w:cs="宋体"/>
          <w:i w:val="0"/>
          <w:iCs w:val="0"/>
          <w:caps w:val="0"/>
          <w:color w:val="auto"/>
          <w:spacing w:val="0"/>
          <w:sz w:val="21"/>
          <w:szCs w:val="21"/>
          <w:highlight w:val="none"/>
          <w:shd w:val="clear" w:fill="FFFFFF"/>
          <w:vertAlign w:val="subscript"/>
        </w:rPr>
        <w:t>04</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式中：△ P 一需调整的价格差额；</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P</w:t>
      </w:r>
      <w:r>
        <w:rPr>
          <w:rFonts w:hint="eastAsia" w:ascii="宋体" w:hAnsi="宋体" w:eastAsia="宋体" w:cs="宋体"/>
          <w:i w:val="0"/>
          <w:iCs w:val="0"/>
          <w:caps w:val="0"/>
          <w:color w:val="auto"/>
          <w:spacing w:val="0"/>
          <w:sz w:val="21"/>
          <w:szCs w:val="21"/>
          <w:highlight w:val="none"/>
          <w:shd w:val="clear" w:fill="FFFFFF"/>
          <w:vertAlign w:val="subscript"/>
        </w:rPr>
        <w:t>O</w:t>
      </w:r>
      <w:r>
        <w:rPr>
          <w:rFonts w:hint="eastAsia" w:ascii="宋体" w:hAnsi="宋体" w:eastAsia="宋体" w:cs="宋体"/>
          <w:i w:val="0"/>
          <w:iCs w:val="0"/>
          <w:caps w:val="0"/>
          <w:color w:val="auto"/>
          <w:spacing w:val="0"/>
          <w:sz w:val="21"/>
          <w:szCs w:val="21"/>
          <w:highlight w:val="none"/>
          <w:shd w:val="clear" w:fill="FFFFFF"/>
        </w:rPr>
        <w:t>一第17.3.3 项、第17.5 .2 项和第17.6.2 项约定的付款证书中承包人应得到的己完成工程量的金额。此项金额应不包括价格调整、不计质量保证金的扣留和支付、预付款的支付和扣回。第15条约定的变更及其他金额已按现行价格计价的，也不计在内；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A ---定值权重（即不调部分的权重）；</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B</w:t>
      </w:r>
      <w:r>
        <w:rPr>
          <w:rFonts w:hint="eastAsia" w:ascii="宋体" w:hAnsi="宋体" w:eastAsia="宋体" w:cs="宋体"/>
          <w:i w:val="0"/>
          <w:iCs w:val="0"/>
          <w:caps w:val="0"/>
          <w:color w:val="auto"/>
          <w:spacing w:val="0"/>
          <w:sz w:val="21"/>
          <w:szCs w:val="21"/>
          <w:highlight w:val="none"/>
          <w:shd w:val="clear" w:fill="FFFFFF"/>
          <w:vertAlign w:val="subscript"/>
        </w:rPr>
        <w:t>1</w:t>
      </w:r>
      <w:r>
        <w:rPr>
          <w:rFonts w:hint="eastAsia" w:ascii="宋体" w:hAnsi="宋体" w:eastAsia="宋体" w:cs="宋体"/>
          <w:i w:val="0"/>
          <w:iCs w:val="0"/>
          <w:caps w:val="0"/>
          <w:color w:val="auto"/>
          <w:spacing w:val="0"/>
          <w:sz w:val="21"/>
          <w:szCs w:val="21"/>
          <w:highlight w:val="none"/>
          <w:shd w:val="clear" w:fill="FFFFFF"/>
        </w:rPr>
        <w:t>；B</w:t>
      </w:r>
      <w:r>
        <w:rPr>
          <w:rFonts w:hint="eastAsia" w:ascii="宋体" w:hAnsi="宋体" w:eastAsia="宋体" w:cs="宋体"/>
          <w:i w:val="0"/>
          <w:iCs w:val="0"/>
          <w:caps w:val="0"/>
          <w:color w:val="auto"/>
          <w:spacing w:val="0"/>
          <w:sz w:val="21"/>
          <w:szCs w:val="21"/>
          <w:highlight w:val="none"/>
          <w:shd w:val="clear" w:fill="FFFFFF"/>
          <w:vertAlign w:val="subscript"/>
        </w:rPr>
        <w:t>2</w:t>
      </w:r>
      <w:r>
        <w:rPr>
          <w:rFonts w:hint="eastAsia" w:ascii="宋体" w:hAnsi="宋体" w:eastAsia="宋体" w:cs="宋体"/>
          <w:i w:val="0"/>
          <w:iCs w:val="0"/>
          <w:caps w:val="0"/>
          <w:color w:val="auto"/>
          <w:spacing w:val="0"/>
          <w:sz w:val="21"/>
          <w:szCs w:val="21"/>
          <w:highlight w:val="none"/>
          <w:shd w:val="clear" w:fill="FFFFFF"/>
        </w:rPr>
        <w:t>；B</w:t>
      </w:r>
      <w:r>
        <w:rPr>
          <w:rFonts w:hint="eastAsia" w:ascii="宋体" w:hAnsi="宋体" w:eastAsia="宋体" w:cs="宋体"/>
          <w:i w:val="0"/>
          <w:iCs w:val="0"/>
          <w:caps w:val="0"/>
          <w:color w:val="auto"/>
          <w:spacing w:val="0"/>
          <w:sz w:val="21"/>
          <w:szCs w:val="21"/>
          <w:highlight w:val="none"/>
          <w:shd w:val="clear" w:fill="FFFFFF"/>
          <w:vertAlign w:val="subscript"/>
        </w:rPr>
        <w:t>3</w:t>
      </w:r>
      <w:r>
        <w:rPr>
          <w:rFonts w:hint="eastAsia" w:ascii="宋体" w:hAnsi="宋体" w:eastAsia="宋体" w:cs="宋体"/>
          <w:i w:val="0"/>
          <w:iCs w:val="0"/>
          <w:caps w:val="0"/>
          <w:color w:val="auto"/>
          <w:spacing w:val="0"/>
          <w:sz w:val="21"/>
          <w:szCs w:val="21"/>
          <w:highlight w:val="none"/>
          <w:shd w:val="clear" w:fill="FFFFFF"/>
        </w:rPr>
        <w:t>；……B</w:t>
      </w:r>
      <w:r>
        <w:rPr>
          <w:rFonts w:hint="eastAsia" w:ascii="宋体" w:hAnsi="宋体" w:eastAsia="宋体" w:cs="宋体"/>
          <w:i w:val="0"/>
          <w:iCs w:val="0"/>
          <w:caps w:val="0"/>
          <w:color w:val="auto"/>
          <w:spacing w:val="0"/>
          <w:sz w:val="21"/>
          <w:szCs w:val="21"/>
          <w:highlight w:val="none"/>
          <w:shd w:val="clear" w:fill="FFFFFF"/>
          <w:vertAlign w:val="subscript"/>
        </w:rPr>
        <w:t>n</w:t>
      </w:r>
      <w:r>
        <w:rPr>
          <w:rFonts w:hint="eastAsia" w:ascii="宋体" w:hAnsi="宋体" w:eastAsia="宋体" w:cs="宋体"/>
          <w:i w:val="0"/>
          <w:iCs w:val="0"/>
          <w:caps w:val="0"/>
          <w:color w:val="auto"/>
          <w:spacing w:val="0"/>
          <w:sz w:val="21"/>
          <w:szCs w:val="21"/>
          <w:highlight w:val="none"/>
          <w:shd w:val="clear" w:fill="FFFFFF"/>
        </w:rPr>
        <w:t>---各可调因子的变值权重（即可调部分的权重）为各可调因子在投标函投标总报价中所占的比例；</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F</w:t>
      </w:r>
      <w:r>
        <w:rPr>
          <w:rFonts w:hint="eastAsia" w:ascii="宋体" w:hAnsi="宋体" w:eastAsia="宋体" w:cs="宋体"/>
          <w:i w:val="0"/>
          <w:iCs w:val="0"/>
          <w:caps w:val="0"/>
          <w:color w:val="auto"/>
          <w:spacing w:val="0"/>
          <w:sz w:val="21"/>
          <w:szCs w:val="21"/>
          <w:highlight w:val="none"/>
          <w:shd w:val="clear" w:fill="FFFFFF"/>
          <w:vertAlign w:val="subscript"/>
        </w:rPr>
        <w:t>t1</w:t>
      </w:r>
      <w:r>
        <w:rPr>
          <w:rFonts w:hint="eastAsia" w:ascii="宋体" w:hAnsi="宋体" w:eastAsia="宋体" w:cs="宋体"/>
          <w:i w:val="0"/>
          <w:iCs w:val="0"/>
          <w:caps w:val="0"/>
          <w:color w:val="auto"/>
          <w:spacing w:val="0"/>
          <w:sz w:val="21"/>
          <w:szCs w:val="21"/>
          <w:highlight w:val="none"/>
          <w:shd w:val="clear" w:fill="FFFFFF"/>
        </w:rPr>
        <w:t>；F</w:t>
      </w:r>
      <w:r>
        <w:rPr>
          <w:rFonts w:hint="eastAsia" w:ascii="宋体" w:hAnsi="宋体" w:eastAsia="宋体" w:cs="宋体"/>
          <w:i w:val="0"/>
          <w:iCs w:val="0"/>
          <w:caps w:val="0"/>
          <w:color w:val="auto"/>
          <w:spacing w:val="0"/>
          <w:sz w:val="21"/>
          <w:szCs w:val="21"/>
          <w:highlight w:val="none"/>
          <w:shd w:val="clear" w:fill="FFFFFF"/>
          <w:vertAlign w:val="subscript"/>
        </w:rPr>
        <w:t>t2</w:t>
      </w:r>
      <w:r>
        <w:rPr>
          <w:rFonts w:hint="eastAsia" w:ascii="宋体" w:hAnsi="宋体" w:eastAsia="宋体" w:cs="宋体"/>
          <w:i w:val="0"/>
          <w:iCs w:val="0"/>
          <w:caps w:val="0"/>
          <w:color w:val="auto"/>
          <w:spacing w:val="0"/>
          <w:sz w:val="21"/>
          <w:szCs w:val="21"/>
          <w:highlight w:val="none"/>
          <w:shd w:val="clear" w:fill="FFFFFF"/>
        </w:rPr>
        <w:t>；F</w:t>
      </w:r>
      <w:r>
        <w:rPr>
          <w:rFonts w:hint="eastAsia" w:ascii="宋体" w:hAnsi="宋体" w:eastAsia="宋体" w:cs="宋体"/>
          <w:i w:val="0"/>
          <w:iCs w:val="0"/>
          <w:caps w:val="0"/>
          <w:color w:val="auto"/>
          <w:spacing w:val="0"/>
          <w:sz w:val="21"/>
          <w:szCs w:val="21"/>
          <w:highlight w:val="none"/>
          <w:shd w:val="clear" w:fill="FFFFFF"/>
          <w:vertAlign w:val="subscript"/>
        </w:rPr>
        <w:t>t3</w:t>
      </w:r>
      <w:r>
        <w:rPr>
          <w:rFonts w:hint="eastAsia" w:ascii="宋体" w:hAnsi="宋体" w:eastAsia="宋体" w:cs="宋体"/>
          <w:i w:val="0"/>
          <w:iCs w:val="0"/>
          <w:caps w:val="0"/>
          <w:color w:val="auto"/>
          <w:spacing w:val="0"/>
          <w:sz w:val="21"/>
          <w:szCs w:val="21"/>
          <w:highlight w:val="none"/>
          <w:shd w:val="clear" w:fill="FFFFFF"/>
        </w:rPr>
        <w:t>；……F</w:t>
      </w:r>
      <w:r>
        <w:rPr>
          <w:rFonts w:hint="eastAsia" w:ascii="宋体" w:hAnsi="宋体" w:eastAsia="宋体" w:cs="宋体"/>
          <w:i w:val="0"/>
          <w:iCs w:val="0"/>
          <w:caps w:val="0"/>
          <w:color w:val="auto"/>
          <w:spacing w:val="0"/>
          <w:sz w:val="21"/>
          <w:szCs w:val="21"/>
          <w:highlight w:val="none"/>
          <w:shd w:val="clear" w:fill="FFFFFF"/>
          <w:vertAlign w:val="subscript"/>
        </w:rPr>
        <w:t>tn</w:t>
      </w:r>
      <w:r>
        <w:rPr>
          <w:rFonts w:hint="eastAsia" w:ascii="宋体" w:hAnsi="宋体" w:eastAsia="宋体" w:cs="宋体"/>
          <w:i w:val="0"/>
          <w:iCs w:val="0"/>
          <w:caps w:val="0"/>
          <w:color w:val="auto"/>
          <w:spacing w:val="0"/>
          <w:sz w:val="21"/>
          <w:szCs w:val="21"/>
          <w:highlight w:val="none"/>
          <w:shd w:val="clear" w:fill="FFFFFF"/>
        </w:rPr>
        <w:t>---各可调因子的现行价格指数，指第17.3.3 项、第17.5.2 项和第17.6.2 项约定的付款证书相关周期最后一天的前42天的各可调因子的价格指数；</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F</w:t>
      </w:r>
      <w:r>
        <w:rPr>
          <w:rFonts w:hint="eastAsia" w:ascii="宋体" w:hAnsi="宋体" w:eastAsia="宋体" w:cs="宋体"/>
          <w:i w:val="0"/>
          <w:iCs w:val="0"/>
          <w:caps w:val="0"/>
          <w:color w:val="auto"/>
          <w:spacing w:val="0"/>
          <w:sz w:val="21"/>
          <w:szCs w:val="21"/>
          <w:highlight w:val="none"/>
          <w:shd w:val="clear" w:fill="FFFFFF"/>
          <w:vertAlign w:val="subscript"/>
        </w:rPr>
        <w:t>01</w:t>
      </w:r>
      <w:r>
        <w:rPr>
          <w:rFonts w:hint="eastAsia" w:ascii="宋体" w:hAnsi="宋体" w:eastAsia="宋体" w:cs="宋体"/>
          <w:i w:val="0"/>
          <w:iCs w:val="0"/>
          <w:caps w:val="0"/>
          <w:color w:val="auto"/>
          <w:spacing w:val="0"/>
          <w:sz w:val="21"/>
          <w:szCs w:val="21"/>
          <w:highlight w:val="none"/>
          <w:shd w:val="clear" w:fill="FFFFFF"/>
        </w:rPr>
        <w:t>；F</w:t>
      </w:r>
      <w:r>
        <w:rPr>
          <w:rFonts w:hint="eastAsia" w:ascii="宋体" w:hAnsi="宋体" w:eastAsia="宋体" w:cs="宋体"/>
          <w:i w:val="0"/>
          <w:iCs w:val="0"/>
          <w:caps w:val="0"/>
          <w:color w:val="auto"/>
          <w:spacing w:val="0"/>
          <w:sz w:val="21"/>
          <w:szCs w:val="21"/>
          <w:highlight w:val="none"/>
          <w:shd w:val="clear" w:fill="FFFFFF"/>
          <w:vertAlign w:val="subscript"/>
        </w:rPr>
        <w:t>02</w:t>
      </w:r>
      <w:r>
        <w:rPr>
          <w:rFonts w:hint="eastAsia" w:ascii="宋体" w:hAnsi="宋体" w:eastAsia="宋体" w:cs="宋体"/>
          <w:i w:val="0"/>
          <w:iCs w:val="0"/>
          <w:caps w:val="0"/>
          <w:color w:val="auto"/>
          <w:spacing w:val="0"/>
          <w:sz w:val="21"/>
          <w:szCs w:val="21"/>
          <w:highlight w:val="none"/>
          <w:shd w:val="clear" w:fill="FFFFFF"/>
        </w:rPr>
        <w:t>；F</w:t>
      </w:r>
      <w:r>
        <w:rPr>
          <w:rFonts w:hint="eastAsia" w:ascii="宋体" w:hAnsi="宋体" w:eastAsia="宋体" w:cs="宋体"/>
          <w:i w:val="0"/>
          <w:iCs w:val="0"/>
          <w:caps w:val="0"/>
          <w:color w:val="auto"/>
          <w:spacing w:val="0"/>
          <w:sz w:val="21"/>
          <w:szCs w:val="21"/>
          <w:highlight w:val="none"/>
          <w:shd w:val="clear" w:fill="FFFFFF"/>
          <w:vertAlign w:val="subscript"/>
        </w:rPr>
        <w:t>03</w:t>
      </w:r>
      <w:r>
        <w:rPr>
          <w:rFonts w:hint="eastAsia" w:ascii="宋体" w:hAnsi="宋体" w:eastAsia="宋体" w:cs="宋体"/>
          <w:i w:val="0"/>
          <w:iCs w:val="0"/>
          <w:caps w:val="0"/>
          <w:color w:val="auto"/>
          <w:spacing w:val="0"/>
          <w:sz w:val="21"/>
          <w:szCs w:val="21"/>
          <w:highlight w:val="none"/>
          <w:shd w:val="clear" w:fill="FFFFFF"/>
        </w:rPr>
        <w:t>；……F</w:t>
      </w:r>
      <w:r>
        <w:rPr>
          <w:rFonts w:hint="eastAsia" w:ascii="宋体" w:hAnsi="宋体" w:eastAsia="宋体" w:cs="宋体"/>
          <w:i w:val="0"/>
          <w:iCs w:val="0"/>
          <w:caps w:val="0"/>
          <w:color w:val="auto"/>
          <w:spacing w:val="0"/>
          <w:sz w:val="21"/>
          <w:szCs w:val="21"/>
          <w:highlight w:val="none"/>
          <w:shd w:val="clear" w:fill="FFFFFF"/>
          <w:vertAlign w:val="subscript"/>
        </w:rPr>
        <w:t>0n</w:t>
      </w:r>
      <w:r>
        <w:rPr>
          <w:rFonts w:hint="eastAsia" w:ascii="宋体" w:hAnsi="宋体" w:eastAsia="宋体" w:cs="宋体"/>
          <w:i w:val="0"/>
          <w:iCs w:val="0"/>
          <w:caps w:val="0"/>
          <w:color w:val="auto"/>
          <w:spacing w:val="0"/>
          <w:sz w:val="21"/>
          <w:szCs w:val="21"/>
          <w:highlight w:val="none"/>
          <w:shd w:val="clear" w:fill="FFFFFF"/>
        </w:rPr>
        <w:t>---各可调因子的基本价格指数，指基准日期的各可调因子的价格指数。</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以上价格调整公式中的各可调因子、定值和变值权重，以及基本价格指数及其来源在投标函附录价格指数和权重表中约定。价格指数应首先采用有关部门提供的价格指数，缺乏上述价格指数时，可采用有关部门提供的价格代替。</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16.1.1.2 暂时确定调整差额</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在计算调整差额时得不到现行价格指数的，可暂用上一次价格指数计算，并在以后的付款中再按实际价格指数进行调整。</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16.1.1.3 权重的调整</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按第15.1 款约定的变更导致原定合同中的权重不合理时，由监理人与承包人和发包人协商后进行调整。</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16.1.1.4 承包人工期延误后的价格调整</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由于承包人原因未在约定的工期内竣工的，则对原约定竣工日期后继续施工的工程，在使用第16.1.1. 1目价格调整公式时，应采用原约定竣工日期与实际竣工日期的两个价格指数中较低的一个作为现行价格指数。</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16.1.2 采用造价信息调整价格差额</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施工期内，因人工、材料、设备和机械台班价格波动影响合同价格时，人工、机械使用费按照国家或省、自治区、直辖市建设行政管理部门、行业建设管理部门或其授权的工程造价管理机构发布的人工成本信息、机械台班单价或机械使用费系数进行调整；需要进行价格调整的材料，其单价和采购数应由监理人复核，监理人确认需调整的材料单价及数量，作为调整工程合同价格差额的依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16.2 法律变化引起的价格调整</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在基准日后，因法律变化导致承包人在合同履行中所需要的工程费用发生除第16.1 款约定以外的增减时，监理人应根据法律、国家或省、自治区、直辖市有关部门的规定，按第3.5 款商定或确定需调整的合同价款。</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44" w:name="_Toc184635114"/>
      <w:r>
        <w:rPr>
          <w:rFonts w:hint="eastAsia" w:ascii="宋体" w:hAnsi="宋体" w:eastAsia="宋体" w:cs="宋体"/>
          <w:i w:val="0"/>
          <w:iCs w:val="0"/>
          <w:caps w:val="0"/>
          <w:color w:val="auto"/>
          <w:spacing w:val="0"/>
          <w:sz w:val="21"/>
          <w:szCs w:val="21"/>
          <w:highlight w:val="none"/>
          <w:u w:val="none"/>
          <w:shd w:val="clear" w:fill="FFFFFF"/>
        </w:rPr>
        <w:t>17</w:t>
      </w:r>
      <w:bookmarkEnd w:id="144"/>
      <w:r>
        <w:rPr>
          <w:rFonts w:hint="eastAsia" w:ascii="宋体" w:hAnsi="宋体" w:eastAsia="宋体" w:cs="宋体"/>
          <w:i w:val="0"/>
          <w:iCs w:val="0"/>
          <w:caps w:val="0"/>
          <w:color w:val="auto"/>
          <w:spacing w:val="0"/>
          <w:sz w:val="21"/>
          <w:szCs w:val="21"/>
          <w:highlight w:val="none"/>
          <w:shd w:val="clear" w:fill="FFFFFF"/>
        </w:rPr>
        <w:t>．计量与支付</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17.1 计量</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17.1.1 计量单位</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计量采用国家法定的计量单位。</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17.1.2 计量方法</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工程量清单中的工程量计算规则应按有关国家标准、行业标准的规定，并在合同中约定执行。</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17.1.3 计量周期</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除专用合同条款另有约定外，单价子目已完成工程量按月计量，总价子目的计量周期按批准的支付分解报告确定。</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17.1.4 单价子目的计量</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(l）已标价工程量清单中的单价子目工程量为估算工程量。结算工程量是承包人实际完成的，并按合同约定的计量方法进行计量的工程量。</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(2）承包人对己完成的工程进行计量，向监理人提交进度付款申请单、己完成工程量报表和有关计量资料。</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(3）监理人对承包人提交的工程量报表进行复核，以确定实际完成的工程量。对数量有异议的，可要求承包人按第8.2 款约定进行共同复核和抽样复测。承包人应协助监理人进行复核并按监理人要求提供补充计量资料。承包人未按监理人要求参加复核，监理人复核或修正的工程量视为承包人实际完成的工程量。</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(4）监理人认为有必要时，可通知承包人共同进行联合测量、计量，承包人应遵照执行。</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承包人完成工程量清单中每个子目的工程量后，监理人应要求承包人派员共同对每个子目的历次计量报表进行汇总，以核实最终结算工程量。监理人可要求承包人提供补充计量资料，以确定最后一次进度付款的准确工程量。承包人末按监理人要求派员参加的，监理人最终核实的工程量视为承包人完成该子目的准确工程量。</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(6）监理人应在收到承包人提交的工程量报表后的7天内进行复核，监理人未在约定时间内复核的，承包人提交的工程量报表中的工程量视为承包人实际完成的工程量，据此计算工程价款。</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17.1.5 总价子目的计量</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除专用合同条款另有约定外，总价子目的分解和计量按照下述约定进行。</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(1）总价子目的计量和支付应以总价为基础，不因第16.1款中的因素而进行调整。承包人实际完成的工程量，是进行工程目标管理和控制进度支付的依据。</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承包人在合同约定的每个计量周期内，对己完成的工程进行计量，并向监理人提交进度付款申请单、专用合同条款约定的合同总价支付分解表所表示的阶段性或分项计量的支持性资料，以及所达到工程形象目标或分阶段需完成的工程量和有关计量资料。</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(3）监理人对承包人提交的上述资料进行复核，以确定分阶段实际完成的工程量和工程形象目标。对其有异议的，可要求承包人按第8.2 款约定进行共同复核和抽样复测。</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(4）除按照第巧条约定的变更外，总价子目的工程量是承包人用于结算的最终工程里．。</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17.2 预付款</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17.2.1 预付款</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预付款用于承包人为合同工程施工购置材料、工程设备、施工设备、修建临时设施以及组织施工队伍进场等。预付款的额度和预付办法在专用合同条款中约定。预付款必须专用于合同工程。</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17.2.2 预付款保函</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除专用合同条款另有约定外，承包人应在收到预付款的同时向发包人提交预付款保函，预付款保函的担保金额应与预付款金额相同。保函的担保金额可根据预付款扣回的金额相应递减。</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17.2.3 预付款的扣回与还清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预付款在进度付款中扣回，扣回办法在专用合同条款中约定。在颁发工程接收证书前，由于不可抗力或其他原因解除合同时，预付款尚未扣清的，尚未扣清的预付款余额应作为承包人的到期应付款。</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17.3 工程进度付款</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17.3.1 付款周期</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付款周期同计量周期。</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17.3.2 进度付款申请单</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承包人应在每个付款周期末，按监理人批准的格式和专用合同条款约定的份数，向监理人提交进度付款中请单，并附相应的支持性证明文件。除专用合同条款另有约定外，进度付款申请单应包括下列内容：</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(l）截至本次付款周期末己实施工程的价款；</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(2）根据第巧条应增加和扣减的变更金额；</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(3）根据第23 条应增加和扣减的索赔金额；</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(4）才浸据第17.2 款约定应支付的预付款和扣减的返还预付款；</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(5）根据第17.4.1 项约定应扣减的质量保证金；</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(6）根据合同应增加和扣减的其他金额。</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17.3.3 进度付款证书和支付时间</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监理人在收到承包人进度付款申请单以及相应的支持性证明文件后的14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(2）发包人应在监理人收到进度付款中请单后的28天内，将进度应付款支付给承包人。发包人不按期支付的，按专用合同条款的约定支付逾期付款违约金。</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(3）监理人出具进度付款证书，不应视为监理人己同意、批准或接受了承包人完成的该部分工作。</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(4）进度付款涉及政府投资资金的，按照国库集中支付等国家相关规定和专用合同条款的约定办理。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17.3.4 工程进度付款的修正</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在对以往历次已签发的进度付款证书进行汇总和复核中发现错、漏或重复的，监理人有权予以修正，承包人也有权提出修正申请。经双方复核同意的修正，应在本次进度付款中支付或扣除。</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17.4 质量保证金</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17.4.1 监理人应从第一个付款周期开始，在发包人的进度付款中，按专用合同条款的约定扣留质量保证金，直至扣留的质量保证金总额达到专用合同条款约定的金额或比例为止。质量保证金的计算额度不包括预付款的支付、扣回以及价格调整的金额。</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17.4.2 在第1.1.4.5 目约定的缺陷责任期满时，承包人向发包人申请到期应返还承包人剩余的质量保证金金额，发包人应在14天内会同承包人按照合同约定的内容核实承包人是否完成缺陷责任。如无异议，发包人应当在核实后将剩余保证金返还承包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17.4.3 在第1.1.4.5 目约定的缺陷责任期满时，承包人没有完成缺陷责任的，发包人有权扣留与未履行责任剩余工作所需金额相应的质量保证金余额，并有权根据第19.3 款约定</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要求延长缺陷责任期，直至完成剩余工作为止。</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17.5 竣工结算</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17.5.1 竣工付款申请单</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l）工程接收证书颁发后，承包人应按专用合同条款约定的份数和期限向监理人提交竣工付款申请单，并提供相关证明材料。除专用合同条款另有约定外，竣工付款申请单应包括下列内容：竣工结算合同总价、发包人已支付承包人的工程价款、应扣留的质量保证金、应支付的竣工付款金额。</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(2）监理人对竣工付款申请单有异议的，有权要求承包人进行修正和提供补充资料。经监理人和承包人协商后，由承包人向监理人提交修正后的竣工付款申请单。</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17.5.2 竣工付款证书及支付时间</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l）监理人在收到承包人提交的竣工付款申请单后的14天内完成核查，提出发包人到期应支付给承包人的价款送发包人审核并抄送承包人。发包人应在收到后14天内审核完毕，由监理人向承包人出具经发包人签认的竣工付款证书。监理人未在约定时间内核查，又未提出具体意见的，视为承包人提交的竣工付款申请单己经监理人核查同意；发包人未在约定时间内审核又未提出具体意见的，监理人提出发包人到期应支付给承包人的价款视为已经发包人同意。</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(2）发包人应在监理人出具竣工付款证书后的14 天内，将应支付款支付给承包人。发包人不按期支付的，按第17.3.3(2）目的约定，将逾期付款违约金支付给承包人。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(3）承包人对发包人签认的竣工付款证书有异议的，发包人可出具竣工付款申请单中承包人已同意部分的临时付款证书。存在争议的部分，按第24条的约定办理。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(4）竣工付款涉及政府投资资金的，按第17.3.3(4）目的约定办理。</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17.6 最终结清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17.6.1 最终结清申请单</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(1）缺陷责任期终止证书签发后，承包人可按专用合同条款约定的份数和期限向监理人提交最终结清申请单，并提供相关证明材料。</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(2）发包人对最终结清申请单内容有异议的，有权要求承包人进行修正和提供补充资料，由承包人向监理人提交修正后的最终结清申请单。</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17.6.2 最终结清证书和支付时间</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l）监理人收到承包人提交的最终结清申请单后的14天内，提出发包人应支付给承包人的价款送发包人审核并抄送承包人。发包人应在收到后14天内审核完毕，由监理人向承包人出具经发包人签认的最终结清证书。监理人未在约定时间内核查，又未提出具体意见的，视为承包人提交的最终结清申请己经监理人核查同意；发包人未在约定时间内审核又未提出具体意见的，监理人提出应支付给承包人的价款视为已经发包人同意。</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(2）发包人应在监理人出具最终结清证书后的14 天内，将应支付款支付给承包人。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发包人不按期支付的，按第17.3.3(2）目的约定，将逾期付款违约金支付给承包人。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(3）承包人对发包人签认的最终结清证书有异议的，按第24条的约定办理。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(4）最终结清付款涉及政府投资资金的，按第17.3.3(4）目的约定办理。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45" w:name="_Toc184635115"/>
      <w:r>
        <w:rPr>
          <w:rFonts w:hint="eastAsia" w:ascii="宋体" w:hAnsi="宋体" w:eastAsia="宋体" w:cs="宋体"/>
          <w:i w:val="0"/>
          <w:iCs w:val="0"/>
          <w:caps w:val="0"/>
          <w:color w:val="auto"/>
          <w:spacing w:val="0"/>
          <w:sz w:val="21"/>
          <w:szCs w:val="21"/>
          <w:highlight w:val="none"/>
          <w:u w:val="none"/>
          <w:shd w:val="clear" w:fill="FFFFFF"/>
        </w:rPr>
        <w:t>18</w:t>
      </w:r>
      <w:bookmarkEnd w:id="145"/>
      <w:r>
        <w:rPr>
          <w:rFonts w:hint="eastAsia" w:ascii="宋体" w:hAnsi="宋体" w:eastAsia="宋体" w:cs="宋体"/>
          <w:i w:val="0"/>
          <w:iCs w:val="0"/>
          <w:caps w:val="0"/>
          <w:color w:val="auto"/>
          <w:spacing w:val="0"/>
          <w:sz w:val="21"/>
          <w:szCs w:val="21"/>
          <w:highlight w:val="none"/>
          <w:shd w:val="clear" w:fill="FFFFFF"/>
        </w:rPr>
        <w:t>．竣工验收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18.1 竣工验收的含义</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18.1.1 竣工验收指承包人完成了全部合同工作后，发包人按合同要求进行的验收。</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18.1.2 国家验收是政府有关部门根据法律、规范、规程和政策要求，针对发包人全面组织实施的整个工程正式交付投运前的验收。</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18.1.3 需要进行国家验收的，竣工验收是国家验收的一部分。竣工验收所采用的各项验收和评定标准应符合国家验收标准。发包人和承包人为竣工验收提供的各项竣工验收资料应符合国家验收的要求。</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18.2 竣工验收申请报告</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当工程具备以下条件时，承包人即可向监理人报送竣工验收中请报告：</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(1）除监理人同意列入缺陷责任期内完成的尾工（甩项）工程和缺陷修补工作外，合同范围内的全部单位工程以及有关工作，包括合同要求的试验、试运行以及检验和验收均己完成，并符合合同要求；</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(2）己按合同约定的内容和份数备齐了符合要求的竣工资料；</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(3）己按监理人的要求编制了在缺陷责任期内完成的尾工（甩项）工程和缺陷修补工作清单以及相应施工计划；</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(4）监理人要求在竣工验收前应完成的其他工作：</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(5）监理人要求提交的竣工验收资料清单。</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18.3 验收</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监理人收到承包人按第18.2 款约定提交的竣工验收申请报告后，应审查中请报告的各项内容，并按以下不同情况进行处理。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18.3.1 监理人审查后认为尚不具备竣工验收条件的，应在收到竣工验收中请报告后的28天内通知承包人，指出在颁发接收证书前承包人还需进行的工作内容。承包人完成监理人通知的全部工作内容后，应再次提交竣工验收申请报告，直至监理人同意为止。</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18.3.2 监理人审查后认为己具备竣工验收条件的，应在收到竣工验收申请报告后的28天内提请发包人进行工程验收。</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18.3.3 发包人经过验收后同意接受工程的，应在监理人收到竣工验收申请报告后的56天内，由监理人向承包人出具经发包人签认的工程接收证书。发包人验收后同意接收工程但提出整修和完善要求的，限期修好，并缓发工程接收证书。整修和完善工作完成后，监理人复查达到要求的，经发包人同意后，再向承包人出具工程接收证书。</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 8.3.4发包人验收后不同意接收工程的，监理人应按照发包人的验收意见发出指示，要求承包人对不合格工程认真返工重作或进行补救处理，并承担由此产生的费用。承包人在完成不合格工程的返工重作或补救工作后，应重新提交竣工验收中请报告，按第18.3.1 项、第18.3.2 项和第18.3.3项的约定进行。</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18.3.5 除专用合同条款另有约定外，经验收合格工程的实际竣工日期，以提交竣工验收申请报告的日期为准，并在工程接收证书中写明。</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18.3.6 发包人在收到承包人竣工验收申请报告56 天后未进行验收的，视为验收合格，实际竣工日期以提交竣工验收申请报告的日期为准，但发包人由于不可抗力不能进行验收的除外。</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18.4 单位工程验收</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18.4.1 发包人根据合同进度计划安排，在全部工程竣工前需要使用己经竣工的单位工程时，或承包人提出经发包人同意时，可进行单位工程验收。验收的程序可参照第18.2 款与第18.3 款的约定进行。验收合格后，由监理人向承包人出具经发包人签认的单位工程验收证书。己签发单位工程接收证书的单位工程由发包人负责照管。单位工程的验收成果和结论作为全部工程竣上验收申请报告的附件。</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18.4.2 发包人在全部工程竣工前，使用已接收的单位工程导致承包人费用增加的，发包人应承担由此增加的费用和（或）工期延误，并支付承包人合理利润。</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18.5 施工期运行</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18.5.1 施工期运行是指合同工程尚未全部竣工，其中某项或某几项单位工程或工程设备安装己竣工，根据专用合同条款约定，需要投入施工期运行的，经发包人按第18.4 款的约定验收合格，证明能确保安全后，才能在施工期投入运行。</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18.5.2 在施工期运行中发现工程或工程设备损坏或存在缺陷的，由承包人按第19.2 款约定进行修复。</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18.6 试运行</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18.6.1 除专用合同条款另有约定外，承包人应按专用合同条款约定进行工程及工程设备试运行，负责提供试运行所需的人员、器材和必要的条件，并承担全部试运行费用。</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18.6.2 由于承包人的原因导致试运行失败的，承包人应采取措施保证试运行合格，并承担相应费用。由于发包人的原因导致试运行失败的，承包人应当采取措施保证试运行合格，发包人应承担由此产生的费用，并支付承包人合理利润。</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18.7 竣工清场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18.7.1 除合同另有约定外，工程接收证书颁发后，承包人应按以下要求对施工场地进行清理，直至监理人检验合格为止。竣工清场费用由承包人承担。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(1）施工场地内残留的垃圾已全部清除出场；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(2）临时工程已拆除，场地己按合同要求进行清理、平整或复原；</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(3）按合同约定应撤离的承包人设备和剩余的材料，包括废弃的施工设备和材料，已按计划撤离施工场地；</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(4）工程建筑物周边及其附近道路、河道的施工堆积物，已按监理人指示全部清理；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(5）监理人指示的其他场地清理工作已全部完成。</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18.7.2 承包人未按监理人的要求恢复临时占地，或者场地清理未达到合同约定的，发包人有权委托其他人恢复或清理，所发生的金额从拟支付给承包人的款项中扣除。</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18.8 施工队伍的撤离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工程接收证书颁发后的56天内，除了经监理人同意需在缺陷责任期内继续工作和使用的人员、施工设备和临时工程外，其余的人员、施工设备和临时工程均应撤离施工场地或拆除。除合同另有约定外，缺陷责任期满时，承包人的人员和施工设备应全部撤离施工场地。</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46" w:name="_Toc184635116"/>
      <w:r>
        <w:rPr>
          <w:rFonts w:hint="eastAsia" w:ascii="宋体" w:hAnsi="宋体" w:eastAsia="宋体" w:cs="宋体"/>
          <w:i w:val="0"/>
          <w:iCs w:val="0"/>
          <w:caps w:val="0"/>
          <w:color w:val="auto"/>
          <w:spacing w:val="0"/>
          <w:sz w:val="21"/>
          <w:szCs w:val="21"/>
          <w:highlight w:val="none"/>
          <w:u w:val="none"/>
          <w:shd w:val="clear" w:fill="FFFFFF"/>
        </w:rPr>
        <w:t>19</w:t>
      </w:r>
      <w:bookmarkEnd w:id="146"/>
      <w:r>
        <w:rPr>
          <w:rFonts w:hint="eastAsia" w:ascii="宋体" w:hAnsi="宋体" w:eastAsia="宋体" w:cs="宋体"/>
          <w:i w:val="0"/>
          <w:iCs w:val="0"/>
          <w:caps w:val="0"/>
          <w:color w:val="auto"/>
          <w:spacing w:val="0"/>
          <w:sz w:val="21"/>
          <w:szCs w:val="21"/>
          <w:highlight w:val="none"/>
          <w:shd w:val="clear" w:fill="FFFFFF"/>
        </w:rPr>
        <w:t>、缺陷责任与保修责任</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19.1 缺陷责任期的起算时间</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缺陷责任期自实际竣工日期起计算。在全部工程竣工验收前，已经发包人提前验收的单位工程，其缺陷责任期的起算日期相应提前。</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19.2 缺陷责任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19.2.1 承包人应在缺陷责任期内对己交付使用的工程承担缺陷责任。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19.2.2 缺陷责任期内，发包人对己接收使用的工程负责日常维护工作。发包人在使用过程中，发现己接收的工程存在新的缺陷或已修复的缺陷部位或部件又遭损坏的，承包人应负责修复，直至检验合格为止。</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19.2.3 监理人和承包人应共同查清缺陷和（或）损坏的原因。经查明属承包人原因造成的，应由承包人承担修复和查验的费用。经查验属发包人原因造成的，发包人应承担修复和查验的费用，并支付承包人合理利润。</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19.2.4 承包人不能在合理时间内修复缺陷的，发包人可自行修复或委托其他人修复，所需费用和利润的承担，按第19.2.3 项约定办理。</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19.3 缺陷责任期的延长</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由于承包人原因造成某项缺陷或损坏使某项工程或工程设备不能按原．定目标使用而需要再次检查、检验和修复的，发包人有权要求承包人相应延长缺陷责任期，但缺陷责任期最长不超过2年。</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19.4 进一步试验和试运行</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任何一项缺陷或损坏修复后，经检查证明其影响了工程或工程设备的使用性能，承包人应重新进行合同约定的试验和试运行，试验和试运行的全部费用应由责任方承担。</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19.5 承包人的进入权</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缺陷责任期内承包人为缺陷修复工作需要，有权进入工程现场，但应遵守发包人的保安和保密规定。</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19.6 缺陷责任期终止证书</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在第1.1.4.5目约定的缺陷责任期，包括根据第19.3款延长的期限终止后14天内，由监理人向承包人出具经发包人签认的缺陷责任期终止证书，并退还剩余的质量保证金。</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19.7 保修责任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合同当事人根据有关法律规定，在专用合同条款中约定工程质量保修范围、期限和责任。保修期自实际竣工日期起计算。在全部工程竣工验收前，已经发包人提前验收的单位工程，其保修期的起算日期相应提前。</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47" w:name="_Toc184635117"/>
      <w:r>
        <w:rPr>
          <w:rFonts w:hint="eastAsia" w:ascii="宋体" w:hAnsi="宋体" w:eastAsia="宋体" w:cs="宋体"/>
          <w:i w:val="0"/>
          <w:iCs w:val="0"/>
          <w:caps w:val="0"/>
          <w:color w:val="auto"/>
          <w:spacing w:val="0"/>
          <w:sz w:val="21"/>
          <w:szCs w:val="21"/>
          <w:highlight w:val="none"/>
          <w:u w:val="none"/>
          <w:shd w:val="clear" w:fill="FFFFFF"/>
        </w:rPr>
        <w:t>20</w:t>
      </w:r>
      <w:bookmarkEnd w:id="147"/>
      <w:r>
        <w:rPr>
          <w:rFonts w:hint="eastAsia" w:ascii="宋体" w:hAnsi="宋体" w:eastAsia="宋体" w:cs="宋体"/>
          <w:i w:val="0"/>
          <w:iCs w:val="0"/>
          <w:caps w:val="0"/>
          <w:color w:val="auto"/>
          <w:spacing w:val="0"/>
          <w:sz w:val="21"/>
          <w:szCs w:val="21"/>
          <w:highlight w:val="none"/>
          <w:shd w:val="clear" w:fill="FFFFFF"/>
        </w:rPr>
        <w:t>、保险</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20.1 工程保险</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除专用合同条款另有约定外，承包人应以发包人和承包人的共同名义向双方同意的保险人投保建筑工程一切险、安装工程一切险。其具体的投保内容、保险金额、保险费率、保险期限等有关内容在专用合同条款中约定。</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20.2 人员工伤事故的保险</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20.2.1 承包人员工伤事故的保险</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承包人应依照有关法律规定参加工伤保险，为其履行合同所雇佣的全部人员，缴纳工伤保险费，并要求其分包人也进行此项保险。</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20.2.2 发包人员工伤事故的保险</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发包人应依照有关法律规定参加工伤保险，为其现场机构雇佣的全部人员，缴纳工伤保险费，并要求其监理人也进行此项保险。</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20.3 人身意外伤害险</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20.3.1 发包人应在整个施工期间为其现场机构雇用的全部人员，投保人身意外伤害险，缴纳保险费，并要求其监理人也进行此项保险。</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20.3.2 承包人应在整个施工期间为其现场机构雇用的全部人员，投保人身意外伤害险，缴纳保险费，并要求其分包人也进行此项保险。</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20.4 第三者责任险</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20.4.1 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20.4.2 在缺陷责任期终止证书颁发前，承包人应以承包人和发包人的共同名义，投保第20.4.1 项约定的第三者责任险，其保险费率、保险金额等有关内容在专用合同条款中约定。</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20.5 其他保险</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除专用合同条款另有约定外，承包人应为其施工设备、进场的材料和工程设备等办理保险。</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20.6 对各项保险的一般要求</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20.6.1 保险凭证</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承包人应在专用合同条款约定的期限内向发包人提交各项保险生效的证据和保险单副本，保险单必须与专用合同条款约定的条件保持一致。</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20.6.2 保险合同条款的变动</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承包人需要变动保险合同条款时，应事先征得发包人同意，并通知监理人。保险人作出变动的，承包人应在收到保险人通知后立即通知发包人和监理人。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20.6.3 持续保险</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承包人应与保险人保持联系，使保险人能够随时了解工程实施中的变动，并确保按保险合同条款要求持续保险。</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20.6.4 保险金不足的补偿</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保险金不足以补偿损失的，应由承包人和（或）发包人按合同约定负责补偿。</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20.6.5 未按约定投保的补救</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(l）由于负有投保义务的一方当事人未按合同约定办理保险，或未能使保险持续有效的，另一方当事人可代为办理，所需费用由对方当事人承担。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(2）由于负有投保义务的一方当事人未按合同约定办理某项保险，导致受益人未能得到保险人的赔偿，原应从该项保险得到的保险金应由负有投保义务的一方当事人支付。</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20.6.6 报告义务</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当保险事故发生时，投保人应按照保险单规定的条件和期限及时向保险人报告。</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48" w:name="_Toc184635118"/>
      <w:r>
        <w:rPr>
          <w:rFonts w:hint="eastAsia" w:ascii="宋体" w:hAnsi="宋体" w:eastAsia="宋体" w:cs="宋体"/>
          <w:i w:val="0"/>
          <w:iCs w:val="0"/>
          <w:caps w:val="0"/>
          <w:color w:val="auto"/>
          <w:spacing w:val="0"/>
          <w:sz w:val="21"/>
          <w:szCs w:val="21"/>
          <w:highlight w:val="none"/>
          <w:u w:val="none"/>
          <w:shd w:val="clear" w:fill="FFFFFF"/>
        </w:rPr>
        <w:t>21</w:t>
      </w:r>
      <w:bookmarkEnd w:id="148"/>
      <w:r>
        <w:rPr>
          <w:rFonts w:hint="eastAsia" w:ascii="宋体" w:hAnsi="宋体" w:eastAsia="宋体" w:cs="宋体"/>
          <w:i w:val="0"/>
          <w:iCs w:val="0"/>
          <w:caps w:val="0"/>
          <w:color w:val="auto"/>
          <w:spacing w:val="0"/>
          <w:sz w:val="21"/>
          <w:szCs w:val="21"/>
          <w:highlight w:val="none"/>
          <w:shd w:val="clear" w:fill="FFFFFF"/>
        </w:rPr>
        <w:t>、不可抗力</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21.1 不可抗力的确认</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21.1.1 不可抗力是指承包人和发包人在订立合同时不可预见，在工程施工过程中不可避免发生并不能克服的自然灾害和社会性突发事件，如地震、海啸、瘟疫、水灾、骚乱、暴动、战争和专用合同条款约定的其他情形。</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21.1.2 不可抗力发生后，发包人和承包人应及时认真统计所造成的损失，收集不可抗力造成损失的证据。合同双方对是否属于不可抗力或其损失的意见不一致的，由监理人按第3.5 款商定或确定。发生争议时，按第24条的约定办理。</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21.2 不可抗力的通知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21.2.1 合同一方当事人遇到不可抗力事件，使其履行合同义务受到阻碍时，应立即通知合同另一方当事人和监理人，书面说明不可抗力和受阻碍的详细情况，并提供必要的证明。</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21.2.2 如不可抗力持续发生，合同一方当事人应及时向合同另一方当事人和监理人提交中间报告，说明不可抗力和履行合同受阻的情况，并于不可抗力事件结束后28天内提交最终报告及有关资料。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21.3 不可抗力后果及其处理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21.3.1 不可抗力造成损害的责任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除专用合同条款另有约定外，不可抗力导致的人员伤亡、财产损失、费用增加和（或）工期延误等后果，由合同双方按以下原则承担：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(1）永久工程，包括己运至施工场地的材料和工程设备的损害，以及因工程损害造成的第三者人员伤亡和财产损失由发包人承担；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(2）承包人设备的损坏由承包人承担；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(3）发包人和承包人各自承担其人员伤亡和其他财产损失及其相关费用；</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(4）承包人的停工损失由承包人承担，但停工期间应监理人要求照管工程和清理、修复工程的金额由发包人承担；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(5）不能按期竣工的，应合理延长工期，承包人不需支付逾期竣工违约金。发包人要求赶工的，承包人应采取赶工措施，赶工费用由发包人承担。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21.3.2 延迟履行期间发生的不可抗力</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合同一方当事人延迟履行，在延迟履行期间发生不可抗力的，不免除其责任。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21.3.3 避免和减少不可抗力损失</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不可抗力发生后，发包人和承包人均应采取措施尽量避免和减少损失的扩大，任何一方没有采取有效措施导致损失扩大的，应对扩大的损失承担责任。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21.3.4 因不可抗力解除合同</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合同一方当事人因不可抗力不能履行合同的，应当及时通知对方解除合同。合同解除后，承包人应按照第22.2.5 项约定撤离施工场地。已经订货的材料、设备由订货方负责退货或解除订货合同，不能退还的货款和因退货、解除订货合同发生的费用，由发包人承担，因未及时退货造成的损失由责任方承担。合同解除后的付款，参照第22.2.4 项约定，由监理人按第3.5 款商定或确定。</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49" w:name="_Toc184635119"/>
      <w:r>
        <w:rPr>
          <w:rFonts w:hint="eastAsia" w:ascii="宋体" w:hAnsi="宋体" w:eastAsia="宋体" w:cs="宋体"/>
          <w:i w:val="0"/>
          <w:iCs w:val="0"/>
          <w:caps w:val="0"/>
          <w:color w:val="auto"/>
          <w:spacing w:val="0"/>
          <w:sz w:val="21"/>
          <w:szCs w:val="21"/>
          <w:highlight w:val="none"/>
          <w:u w:val="none"/>
          <w:shd w:val="clear" w:fill="FFFFFF"/>
        </w:rPr>
        <w:t>22</w:t>
      </w:r>
      <w:bookmarkEnd w:id="149"/>
      <w:r>
        <w:rPr>
          <w:rFonts w:hint="eastAsia" w:ascii="宋体" w:hAnsi="宋体" w:eastAsia="宋体" w:cs="宋体"/>
          <w:i w:val="0"/>
          <w:iCs w:val="0"/>
          <w:caps w:val="0"/>
          <w:color w:val="auto"/>
          <w:spacing w:val="0"/>
          <w:sz w:val="21"/>
          <w:szCs w:val="21"/>
          <w:highlight w:val="none"/>
          <w:shd w:val="clear" w:fill="FFFFFF"/>
        </w:rPr>
        <w:t>、违约</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22.1 承包人违约</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22.1.1 承包人违约的情形</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在履行合同过程中发生的下列情况属承包人违约：</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(1）承包人违反第1.8 款或第4.3 款的约定，私自将合同的全部或部分权利转让给其他人，或私自将合同的全部或部分义务转移给其他人；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(2）承包人违反第5.3 款或第6.4 款的约定，未经监理人批准，私自将己按合同约定进入施工场地的施工设备、临时设施或材料撤离施工场地；</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(3）承包人违反第5.4 款的约定使用了不合格材料或工程设备，工程质量达不到标准要求，又拒绝清除不合格工程；</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(4）承包人未能按合同进度计划及时完成合同约定的工作，已造成或预期造成工期延误；</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(5）承包人在缺陷责任期内，未能对工程接收证书所列的缺陷清单的内容或缺陷责任期内发生的缺陷进行修复，而又拒绝按监理人指示再进行修补；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(6）承包人无法继续履行或明确表示不履行或实质上己停止履行合同；</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(7）承包人不按合同约定履行义务的其他情况。</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22.1.2 对承包人违约的处理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(l）承包人发生第22.1.1(6）目约定的违约情况时，发包人可通知承包人立即解除合同，并按有关法律处理。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(2）承包人发生除第22.1.1(6）目约定以外的其他违约情况时，监理人可向承包人发出整改通知，要求其在指定的期限内改正。承包人应承担其违约所引起的费用增加和（或）工期延误。</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(3）经检查证明承包人已采取了有效措施纠正违约行为，具备复工条件的，可由监理人签发复工通知复工。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22.1.3 承包人违约解除合同</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监理人发出整改通知28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定享有的索赔权利。</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22.1.4 合同解除后的估价、付款和结清</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(1）合同解除后，监理人按第3.5 款商定或确定承包人实际完成工作的价值，以及承包人己提供的材料、施工设备、工程设备和临时工程等的价值。</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(2）合同解除后，发包人应暂停对承包人的一切付款，查清各项付款和己扣款金额，包括承包人应支付的违约金。</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(3）合同解除后，发包人应按第23.4 款的约定向承包人索赔由于解除合同给发包人造成的损失。</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(4）合同双方确认上述往来款项后，出具最终结清付款证书，结清全部合同款项。</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(5）发包人和承包人未能就解除合同后的结清达成一致而形成争议的，按第24条的约定办理。</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22.1.5 协议利益的转让</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因承包人违约解除合同的，发包人有权要求承包人将其为实施合同而签订的材料和设备的订货协议或任何服务协议利益转让给发包人，并在解除合同后的14天内，依法办理转让手续。</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22.1.6 紧急情况下无能力或不愿进行抢救</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22.2 发包人违约</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22.2.1 发包人违约的情形</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在履行合同过程中发生的下列情形，属发包人违约：</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(l）发包人未能按合同约定支付预付款或合同价款，或拖延、拒绝批准付款申请和支付凭证，导致付款延误的；</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(2）发包人原因造成停工的；</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(3）监理人无正当理由没有在约定期限内发出复工指示，导致承包人无法复工的；</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(4）发包人无法继续履行或明确表示不履行或实质上已停止履行合同的；</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(5）发包人不履行合同约定其他义务的。</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22.2.2 承包人有权暂停施工</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发包人发生除第22.2.1(4）目以外的违约情况时，承包人可向发包人发出通知，要求发包人采取有效措施纠正违约行为。发包人收到承包人通知后的28天内仍不履行合同义务，承包人有权暂停施工，并通知监理人，发包人应承担由此增加的费用和（或）工期延误，并支付承包人合理利润。</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22.2.3 发包人违约解除合同</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(1）发生第22.2.1(4）目的违约情况时，承包人可书面通知发包人解除合同。</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(2）承包人按22.2.2 项暂停施工28天后，发包人仍不纠正违约行为的，承包人可向发包人发出解除合同通知。但承包人的这一行动不免除发包人承担的违约责任，也不影响承包人根据合同约定享有的索赔权利。</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22.2.4 解除合同后的付款</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因发包人违约解除合同的，发包人应在解除合同后28天内向承包人支付下列金额，承包人应在此期限内及时向发包人提交要求支付下列金额的有关资料和凭证：</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(l）合同解除日以前所完成工作的价款；</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(2）承包人为该工程施工订购并己付款的材料、工程设备和其他物品的金额。发包人付还后，该材料、工程设备和其他物品归发包人所有；</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(3）承包人为完成工程所发生的，而发包人未支付的金额；</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(4）承包人撤离施工场地以及遣散承包人人员的金额；</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(5）由于解除合同应赔偿的承包人损失；</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(6）按合同约定在合同解除日前应支付给承包人的其他金额。</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发包人应按本项约定支付上述金额并退还质量保证金和履约担保，但有权要求承包人支付应偿还给发包人的各项金额。</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22.2.5 解除合同后的承包人撤离</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因发包人违约而解除合同后，承包人应妥善做好已竣工工程和己购材料、设备的保护和移交工作，按发包人要求将承包人设备和人员撤出施工场地。承包人撤出施工场地应遵守第18.7.1项的约定，发包人应为承包人撤出提供必要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22.3 第三人造成的违约</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在履行合同过程中，一方当事人因第三人的原因造成违约的，应当向对方当事人承担违约责任。一方当事人和第三人之间的纠纷，依照法律规定或者按照约定解决。</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50" w:name="_Toc184635120"/>
      <w:r>
        <w:rPr>
          <w:rFonts w:hint="eastAsia" w:ascii="宋体" w:hAnsi="宋体" w:eastAsia="宋体" w:cs="宋体"/>
          <w:i w:val="0"/>
          <w:iCs w:val="0"/>
          <w:caps w:val="0"/>
          <w:color w:val="auto"/>
          <w:spacing w:val="0"/>
          <w:sz w:val="21"/>
          <w:szCs w:val="21"/>
          <w:highlight w:val="none"/>
          <w:u w:val="none"/>
          <w:shd w:val="clear" w:fill="FFFFFF"/>
        </w:rPr>
        <w:t>23</w:t>
      </w:r>
      <w:bookmarkEnd w:id="150"/>
      <w:r>
        <w:rPr>
          <w:rFonts w:hint="eastAsia" w:ascii="宋体" w:hAnsi="宋体" w:eastAsia="宋体" w:cs="宋体"/>
          <w:i w:val="0"/>
          <w:iCs w:val="0"/>
          <w:caps w:val="0"/>
          <w:color w:val="auto"/>
          <w:spacing w:val="0"/>
          <w:sz w:val="21"/>
          <w:szCs w:val="21"/>
          <w:highlight w:val="none"/>
          <w:shd w:val="clear" w:fill="FFFFFF"/>
        </w:rPr>
        <w:t>、索赔</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23.1 承包人索赔的提出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根据合同约定，承包人认为有权得到追加付款和（或）延长工期的，应按以下程序向发包人提出索赔：</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(l）承包人应在知道或应当知道索赔事件发生后28天内，向监理人递交索赔意向通知书，并说明发生索赔事件的事由。承包人未在前述28天内发出索赔意向通知书的，丧失要求追加付款和（或）延长工期的权利：</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(2）承包人应在发出索赔意向通知书后28天内，向监理人正式递交索赔通知书。索赔通知书应详细说明索赔理由以及要求追加的付款金额和（或）延长的工期，并附必要的记录和证明材料；</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(3）索赔事件具有连续影响的，承包人应按合理时间间隔继续递交延续索赔通知，说明连续影响的实际情况和记录，列出累计的追加付款金额和（或）工期延长天数；</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(4）在索赔事件影响结束后的28 天内，承包人应向监理人递交最终索赔通知书，说明最终要求索赔的追加付款金额和延长的工期，并附必要的记录和证明材料。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23.2 承包人索赔处理程序</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(1）监理人收到承包人提交的索赔通知书后，应及时审查索赔通知书的内容、杳验承包人的记录和证明材料，必要时监理人可要求承包人提交全部原始记录副本。</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(2）监理人应按第3.5 款商定或确定追加的付款和（或）延长的工期，并在收到上述索赔通知书或有关索赔的进一步证明材料后的42天内，将索赔处理结果答复承包人。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(3）承包人接受索赔处理结果的，发包人应在作出索赔处理结果答复后28 天内完成赔付。承包人不接受索赔处理结果的，按第24条的约定办理。</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23.3 承包人提出索赔的期限</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23.3.1 承包人按第17.5 款的约定接受了竣工付款证书后，应被认为己无权再提出在合同工程接收证书颁发前所发生的任何索赔。</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23.3.2 承包人按第17.6 款的约定提交的最终结清申请单中，只限于提出工程接收证书颁发后发生的索赔。提出索赔的期限自接受最终结清证书时终止。</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23.4 发包人的索赔</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23.4.1 发生索赔事件后，监理人应及时书面通知承包人，详细说明发包人有权得到的索赔金额和（或）延长缺陷责任期的细节和依据。发包人提出索赔的期限和要求与第23.3 款的约定相同，延长缺陷责任期的通知应在缺陷责任期届满前发出。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23.4.2 监理人按第3.5 款商定或确定发包人从承包人处得到赔付的金额和（或）缺陷责任期的延长期。承包人应付给发包人的金额可从拟支付给承包人的合同价款中扣除，或由承包人以其他方式支付给发包人。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80" w:beforeAutospacing="0" w:after="180" w:afterAutospacing="0" w:line="360" w:lineRule="auto"/>
        <w:ind w:left="0" w:right="0"/>
        <w:jc w:val="left"/>
        <w:textAlignment w:val="auto"/>
        <w:rPr>
          <w:rFonts w:hint="eastAsia" w:ascii="宋体" w:hAnsi="宋体" w:eastAsia="宋体" w:cs="宋体"/>
          <w:color w:val="auto"/>
          <w:sz w:val="21"/>
          <w:szCs w:val="21"/>
          <w:highlight w:val="none"/>
        </w:rPr>
      </w:pPr>
      <w:bookmarkStart w:id="151" w:name="_Toc184635121"/>
      <w:r>
        <w:rPr>
          <w:rFonts w:hint="eastAsia" w:ascii="宋体" w:hAnsi="宋体" w:eastAsia="宋体" w:cs="宋体"/>
          <w:i w:val="0"/>
          <w:iCs w:val="0"/>
          <w:caps w:val="0"/>
          <w:color w:val="auto"/>
          <w:spacing w:val="0"/>
          <w:sz w:val="21"/>
          <w:szCs w:val="21"/>
          <w:highlight w:val="none"/>
          <w:u w:val="none"/>
          <w:shd w:val="clear" w:fill="FFFFFF"/>
        </w:rPr>
        <w:t>24</w:t>
      </w:r>
      <w:bookmarkEnd w:id="151"/>
      <w:r>
        <w:rPr>
          <w:rFonts w:hint="eastAsia" w:ascii="宋体" w:hAnsi="宋体" w:eastAsia="宋体" w:cs="宋体"/>
          <w:i w:val="0"/>
          <w:iCs w:val="0"/>
          <w:caps w:val="0"/>
          <w:color w:val="auto"/>
          <w:spacing w:val="0"/>
          <w:sz w:val="21"/>
          <w:szCs w:val="21"/>
          <w:highlight w:val="none"/>
          <w:shd w:val="clear" w:fill="FFFFFF"/>
        </w:rPr>
        <w:t>、争议的解决</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24.1 争议的解决方式</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发包人和承包人在履行合同中发生争议的，可以友好协商解决或者提请争议评审组评审。合同当事人友好协商解决不成、不愿提请争议评审或者不接受争议评审组意见的，可在专用合同条款中约定下列一种方式解决。</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(l）向约定的仲裁委员会申请仲裁；</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(2）向有管辖权的人民法院提起诉讼。</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24.2 友好解决</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在提请争议评审、仲裁或者诉讼前，以及在争议评审、仲裁或诉讼过程中，发包人和承包人均可共同努力友好协商解决争议。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24.3 争议评审</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24.3.1 采用争议评审的，发包人和承包人应在开工日后的28天内或在争议发生后，协商成立争议评审组。争议评审组由有合同管理和工程实践经验的专家组成。</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24.3.2 合同双方的争议，应首先由申请人向争议评审组提交一份详细的评审申请报告，并附必要的文件、图纸和证明材料，申请人还应将上述报告的副本同时提交给被申请人和监理人。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24.3.3 被申请人在收到申请人评审申请报告副本后的28天内，向争议评审组提交一份答辩报告，并附证明材料。被申请人应将答辩报告的副本同时提交给申请人和监理人。</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24.3.4 除专用合同条款另有约定外，争议评审组在收到合同双方报告后的14天内，邀请双方代表和有关人员举行调查会，向双方调查争议细节；必要时争议评审组可要求双方进一步提供补充材料。</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24.3.5 除专用合同条款另有约定外，在调查会结束后的14天内，争议评审组应在不受任何干扰的情况下进行独立、公正的评审，作出书面评审意见，并说明理由。在争议评审期间，争议双方暂按总监理工程师的确定执行。</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24.3.6 发包人和承包人接受评审意见的，由监理人根据评审意见拟定执行协议，经争议双方签字后作为合同的补充文件，并遵照执行。</w:t>
      </w:r>
    </w:p>
    <w:p>
      <w:pPr>
        <w:pStyle w:val="17"/>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shd w:val="clear" w:fill="FFFFFF"/>
        </w:rPr>
        <w:t>24.3.7 发包人或承包人不接受评审意见，并要求提交仲裁或提起诉讼的，应在收到评审意见后的14 天内将仲裁或起诉意向书面通知另一方，并抄送监理人，但在仲裁或诉讼结束前应暂按总监理工程师的确定执行。</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p>
      <w:pPr>
        <w:pStyle w:val="2"/>
        <w:rPr>
          <w:color w:val="auto"/>
          <w:highlight w:val="none"/>
        </w:rPr>
        <w:sectPr>
          <w:pgSz w:w="11900" w:h="16840"/>
          <w:pgMar w:top="1160" w:right="1354" w:bottom="1448" w:left="1363" w:header="883" w:footer="1234" w:gutter="0"/>
          <w:pgNumType w:fmt="decimal"/>
          <w:cols w:space="720" w:num="1"/>
        </w:sectPr>
      </w:pPr>
    </w:p>
    <w:p>
      <w:pPr>
        <w:spacing w:line="299" w:lineRule="auto"/>
        <w:rPr>
          <w:rFonts w:ascii="Arial"/>
          <w:color w:val="auto"/>
          <w:sz w:val="21"/>
          <w:highlight w:val="none"/>
        </w:rPr>
      </w:pPr>
    </w:p>
    <w:p>
      <w:pPr>
        <w:numPr>
          <w:ilvl w:val="0"/>
          <w:numId w:val="0"/>
        </w:numPr>
        <w:spacing w:before="91" w:line="222" w:lineRule="auto"/>
        <w:jc w:val="center"/>
        <w:outlineLvl w:val="9"/>
        <w:rPr>
          <w:rFonts w:hint="eastAsia" w:ascii="宋体" w:hAnsi="宋体" w:eastAsia="宋体" w:cs="宋体"/>
          <w:color w:val="auto"/>
          <w:sz w:val="28"/>
          <w:szCs w:val="28"/>
          <w:highlight w:val="none"/>
          <w14:textOutline w14:w="5094" w14:cap="flat" w14:cmpd="sng">
            <w14:solidFill>
              <w14:srgbClr w14:val="000000"/>
            </w14:solidFill>
            <w14:prstDash w14:val="solid"/>
            <w14:miter w14:val="0"/>
          </w14:textOutline>
        </w:rPr>
      </w:pPr>
    </w:p>
    <w:p>
      <w:pPr>
        <w:numPr>
          <w:ilvl w:val="0"/>
          <w:numId w:val="0"/>
        </w:numPr>
        <w:spacing w:before="91" w:line="222" w:lineRule="auto"/>
        <w:jc w:val="center"/>
        <w:outlineLvl w:val="1"/>
        <w:rPr>
          <w:rFonts w:hint="eastAsia" w:ascii="宋体" w:hAnsi="宋体" w:eastAsia="宋体" w:cs="宋体"/>
          <w:color w:val="auto"/>
          <w:sz w:val="28"/>
          <w:szCs w:val="28"/>
          <w:highlight w:val="none"/>
          <w14:textOutline w14:w="5094" w14:cap="flat" w14:cmpd="sng">
            <w14:solidFill>
              <w14:srgbClr w14:val="000000"/>
            </w14:solidFill>
            <w14:prstDash w14:val="solid"/>
            <w14:miter w14:val="0"/>
          </w14:textOutline>
        </w:rPr>
      </w:pPr>
      <w:r>
        <w:rPr>
          <w:rFonts w:hint="eastAsia" w:ascii="宋体" w:hAnsi="宋体" w:eastAsia="宋体" w:cs="宋体"/>
          <w:color w:val="auto"/>
          <w:sz w:val="28"/>
          <w:szCs w:val="28"/>
          <w:highlight w:val="none"/>
          <w14:textOutline w14:w="5094" w14:cap="flat" w14:cmpd="sng">
            <w14:solidFill>
              <w14:srgbClr w14:val="000000"/>
            </w14:solidFill>
            <w14:prstDash w14:val="solid"/>
            <w14:miter w14:val="0"/>
          </w14:textOutline>
        </w:rPr>
        <w:t>第</w:t>
      </w:r>
      <w:r>
        <w:rPr>
          <w:rFonts w:hint="eastAsia" w:ascii="宋体" w:hAnsi="宋体" w:eastAsia="宋体" w:cs="宋体"/>
          <w:color w:val="auto"/>
          <w:sz w:val="28"/>
          <w:szCs w:val="28"/>
          <w:highlight w:val="none"/>
          <w:lang w:val="en-US" w:eastAsia="zh-CN"/>
          <w14:textOutline w14:w="5094" w14:cap="flat" w14:cmpd="sng">
            <w14:solidFill>
              <w14:srgbClr w14:val="000000"/>
            </w14:solidFill>
            <w14:prstDash w14:val="solid"/>
            <w14:miter w14:val="0"/>
          </w14:textOutline>
        </w:rPr>
        <w:t>二</w:t>
      </w:r>
      <w:r>
        <w:rPr>
          <w:rFonts w:hint="eastAsia" w:ascii="宋体" w:hAnsi="宋体" w:eastAsia="宋体" w:cs="宋体"/>
          <w:color w:val="auto"/>
          <w:sz w:val="28"/>
          <w:szCs w:val="28"/>
          <w:highlight w:val="none"/>
          <w14:textOutline w14:w="5094" w14:cap="flat" w14:cmpd="sng">
            <w14:solidFill>
              <w14:srgbClr w14:val="000000"/>
            </w14:solidFill>
            <w14:prstDash w14:val="solid"/>
            <w14:miter w14:val="0"/>
          </w14:textOutline>
        </w:rPr>
        <w:t>节</w:t>
      </w:r>
      <w:r>
        <w:rPr>
          <w:rFonts w:hint="eastAsia" w:ascii="宋体" w:hAnsi="宋体" w:eastAsia="宋体" w:cs="宋体"/>
          <w:color w:val="auto"/>
          <w:sz w:val="28"/>
          <w:szCs w:val="28"/>
          <w:highlight w:val="none"/>
          <w:lang w:val="en-US" w:eastAsia="zh-CN"/>
          <w14:textOutline w14:w="5094" w14:cap="flat" w14:cmpd="sng">
            <w14:solidFill>
              <w14:srgbClr w14:val="000000"/>
            </w14:solidFill>
            <w14:prstDash w14:val="solid"/>
            <w14:miter w14:val="0"/>
          </w14:textOutline>
        </w:rPr>
        <w:t xml:space="preserve">  </w:t>
      </w:r>
      <w:r>
        <w:rPr>
          <w:rFonts w:hint="eastAsia" w:ascii="宋体" w:hAnsi="宋体" w:eastAsia="宋体" w:cs="宋体"/>
          <w:color w:val="auto"/>
          <w:sz w:val="28"/>
          <w:szCs w:val="28"/>
          <w:highlight w:val="none"/>
          <w14:textOutline w14:w="5094" w14:cap="flat" w14:cmpd="sng">
            <w14:solidFill>
              <w14:srgbClr w14:val="000000"/>
            </w14:solidFill>
            <w14:prstDash w14:val="solid"/>
            <w14:miter w14:val="0"/>
          </w14:textOutline>
        </w:rPr>
        <w:t>专用合同条款</w:t>
      </w:r>
    </w:p>
    <w:p>
      <w:pPr>
        <w:pStyle w:val="2"/>
        <w:keepNext w:val="0"/>
        <w:keepLines w:val="0"/>
        <w:widowControl w:val="0"/>
        <w:numPr>
          <w:ilvl w:val="0"/>
          <w:numId w:val="0"/>
        </w:numPr>
        <w:suppressLineNumbers w:val="0"/>
        <w:kinsoku w:val="0"/>
        <w:autoSpaceDE w:val="0"/>
        <w:autoSpaceDN w:val="0"/>
        <w:adjustRightInd w:val="0"/>
        <w:snapToGrid w:val="0"/>
        <w:spacing w:before="0" w:beforeAutospacing="0" w:after="120" w:afterLines="0" w:afterAutospacing="0" w:line="240" w:lineRule="auto"/>
        <w:ind w:right="0" w:rightChars="0"/>
        <w:jc w:val="center"/>
        <w:textAlignment w:val="baseline"/>
        <w:rPr>
          <w:rFonts w:hint="eastAsia" w:ascii="宋体" w:hAnsi="宋体" w:eastAsia="宋体" w:cs="宋体"/>
          <w:color w:val="auto"/>
          <w:highlight w:val="none"/>
        </w:rPr>
      </w:pPr>
    </w:p>
    <w:p>
      <w:pPr>
        <w:pStyle w:val="2"/>
        <w:keepNext w:val="0"/>
        <w:keepLines w:val="0"/>
        <w:widowControl w:val="0"/>
        <w:numPr>
          <w:ilvl w:val="0"/>
          <w:numId w:val="0"/>
        </w:numPr>
        <w:suppressLineNumbers w:val="0"/>
        <w:kinsoku w:val="0"/>
        <w:autoSpaceDE w:val="0"/>
        <w:autoSpaceDN w:val="0"/>
        <w:adjustRightInd w:val="0"/>
        <w:snapToGrid w:val="0"/>
        <w:spacing w:before="0" w:beforeAutospacing="0" w:after="120" w:afterLines="0" w:afterAutospacing="0" w:line="240" w:lineRule="auto"/>
        <w:ind w:right="0" w:rightChars="0"/>
        <w:jc w:val="center"/>
        <w:textAlignment w:val="baseline"/>
        <w:rPr>
          <w:rFonts w:hint="eastAsia" w:ascii="宋体" w:hAnsi="宋体" w:eastAsia="宋体" w:cs="宋体"/>
          <w:color w:val="auto"/>
          <w:highlight w:val="none"/>
        </w:rPr>
      </w:pPr>
    </w:p>
    <w:p>
      <w:pPr>
        <w:spacing w:before="91" w:line="223" w:lineRule="auto"/>
        <w:jc w:val="center"/>
        <w:outlineLvl w:val="2"/>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t>A</w:t>
      </w:r>
      <w:r>
        <w:rPr>
          <w:rFonts w:hint="eastAsia" w:ascii="宋体" w:hAnsi="宋体" w:eastAsia="宋体" w:cs="宋体"/>
          <w:color w:val="auto"/>
          <w:spacing w:val="1"/>
          <w:sz w:val="28"/>
          <w:szCs w:val="28"/>
          <w:highlight w:val="none"/>
          <w14:textOutline w14:w="5094" w14:cap="flat" w14:cmpd="sng">
            <w14:solidFill>
              <w14:srgbClr w14:val="000000"/>
            </w14:solidFill>
            <w14:prstDash w14:val="solid"/>
            <w14:miter w14:val="0"/>
          </w14:textOutline>
        </w:rPr>
        <w:t>．公路工程专用合同条</w:t>
      </w:r>
      <w:r>
        <w:rPr>
          <w:rFonts w:hint="eastAsia" w:ascii="宋体" w:hAnsi="宋体" w:eastAsia="宋体" w:cs="宋体"/>
          <w:color w:val="auto"/>
          <w:sz w:val="28"/>
          <w:szCs w:val="28"/>
          <w:highlight w:val="none"/>
          <w14:textOutline w14:w="5094" w14:cap="flat" w14:cmpd="sng">
            <w14:solidFill>
              <w14:srgbClr w14:val="000000"/>
            </w14:solidFill>
            <w14:prstDash w14:val="solid"/>
            <w14:miter w14:val="0"/>
          </w14:textOutline>
        </w:rPr>
        <w:t>款</w:t>
      </w:r>
    </w:p>
    <w:p>
      <w:pPr>
        <w:spacing w:line="388" w:lineRule="auto"/>
        <w:rPr>
          <w:rFonts w:hint="eastAsia" w:ascii="宋体" w:hAnsi="宋体" w:eastAsia="宋体" w:cs="宋体"/>
          <w:color w:val="auto"/>
          <w:sz w:val="21"/>
          <w:highlight w:val="none"/>
        </w:rPr>
      </w:pPr>
    </w:p>
    <w:p>
      <w:pPr>
        <w:spacing w:before="65" w:line="384" w:lineRule="auto"/>
        <w:ind w:firstLine="500" w:firstLineChars="200"/>
        <w:jc w:val="left"/>
        <w:rPr>
          <w:color w:val="auto"/>
          <w:highlight w:val="none"/>
        </w:rPr>
        <w:sectPr>
          <w:pgSz w:w="11900" w:h="16840"/>
          <w:pgMar w:top="1160" w:right="1350" w:bottom="1448" w:left="1363" w:header="883" w:footer="1234" w:gutter="0"/>
          <w:pgNumType w:fmt="decimal"/>
          <w:cols w:space="720" w:num="1"/>
        </w:sectPr>
      </w:pPr>
      <w:r>
        <w:rPr>
          <w:rFonts w:hint="eastAsia" w:ascii="宋体" w:hAnsi="宋体" w:eastAsia="宋体" w:cs="宋体"/>
          <w:color w:val="auto"/>
          <w:spacing w:val="20"/>
          <w:sz w:val="21"/>
          <w:szCs w:val="21"/>
          <w:highlight w:val="none"/>
        </w:rPr>
        <w:t>“</w:t>
      </w:r>
      <w:r>
        <w:rPr>
          <w:rFonts w:hint="eastAsia" w:ascii="宋体" w:hAnsi="宋体" w:eastAsia="宋体" w:cs="宋体"/>
          <w:color w:val="auto"/>
          <w:sz w:val="21"/>
          <w:szCs w:val="21"/>
          <w:highlight w:val="none"/>
        </w:rPr>
        <w:t>A</w:t>
      </w:r>
      <w:r>
        <w:rPr>
          <w:rFonts w:hint="eastAsia" w:ascii="宋体" w:hAnsi="宋体" w:eastAsia="宋体" w:cs="宋体"/>
          <w:color w:val="auto"/>
          <w:spacing w:val="11"/>
          <w:sz w:val="21"/>
          <w:szCs w:val="21"/>
          <w:highlight w:val="none"/>
        </w:rPr>
        <w:t>.</w:t>
      </w:r>
      <w:r>
        <w:rPr>
          <w:rFonts w:hint="eastAsia" w:ascii="宋体" w:hAnsi="宋体" w:eastAsia="宋体" w:cs="宋体"/>
          <w:color w:val="auto"/>
          <w:spacing w:val="10"/>
          <w:sz w:val="21"/>
          <w:szCs w:val="21"/>
          <w:highlight w:val="none"/>
        </w:rPr>
        <w:t>公路工程专用合同条款”采用《公路工程标准施工招标文件》(2018年版)第四章第二节“</w:t>
      </w:r>
      <w:r>
        <w:rPr>
          <w:rFonts w:hint="eastAsia" w:ascii="宋体" w:hAnsi="宋体" w:eastAsia="宋体" w:cs="宋体"/>
          <w:color w:val="auto"/>
          <w:sz w:val="21"/>
          <w:szCs w:val="21"/>
          <w:highlight w:val="none"/>
        </w:rPr>
        <w:t>A</w:t>
      </w:r>
      <w:r>
        <w:rPr>
          <w:rFonts w:hint="eastAsia" w:ascii="宋体" w:hAnsi="宋体" w:eastAsia="宋体" w:cs="宋体"/>
          <w:color w:val="auto"/>
          <w:spacing w:val="10"/>
          <w:sz w:val="21"/>
          <w:szCs w:val="21"/>
          <w:highlight w:val="none"/>
        </w:rPr>
        <w:t>.</w:t>
      </w:r>
      <w:r>
        <w:rPr>
          <w:rFonts w:hint="eastAsia" w:ascii="宋体" w:hAnsi="宋体" w:eastAsia="宋体" w:cs="宋体"/>
          <w:color w:val="auto"/>
          <w:spacing w:val="12"/>
          <w:sz w:val="21"/>
          <w:szCs w:val="21"/>
          <w:highlight w:val="none"/>
        </w:rPr>
        <w:t>公</w:t>
      </w:r>
      <w:r>
        <w:rPr>
          <w:rFonts w:hint="eastAsia" w:ascii="宋体" w:hAnsi="宋体" w:eastAsia="宋体" w:cs="宋体"/>
          <w:color w:val="auto"/>
          <w:spacing w:val="7"/>
          <w:sz w:val="21"/>
          <w:szCs w:val="21"/>
          <w:highlight w:val="none"/>
        </w:rPr>
        <w:t>路工程专用合同条款”。</w:t>
      </w:r>
      <w:bookmarkStart w:id="152" w:name="_bookmark114"/>
      <w:bookmarkEnd w:id="152"/>
    </w:p>
    <w:p>
      <w:pPr>
        <w:spacing w:before="91" w:line="223" w:lineRule="auto"/>
        <w:jc w:val="center"/>
        <w:outlineLvl w:val="1"/>
        <w:rPr>
          <w:rFonts w:hint="eastAsia" w:ascii="宋体" w:hAnsi="宋体" w:eastAsia="宋体" w:cs="宋体"/>
          <w:color w:val="auto"/>
          <w:spacing w:val="1"/>
          <w:sz w:val="28"/>
          <w:szCs w:val="28"/>
          <w:highlight w:val="none"/>
          <w14:textOutline w14:w="5094" w14:cap="flat" w14:cmpd="sng">
            <w14:solidFill>
              <w14:srgbClr w14:val="000000"/>
            </w14:solidFill>
            <w14:prstDash w14:val="solid"/>
            <w14:miter w14:val="0"/>
          </w14:textOutline>
        </w:rPr>
      </w:pPr>
      <w:bookmarkStart w:id="153" w:name="_bookmark115"/>
      <w:bookmarkEnd w:id="153"/>
    </w:p>
    <w:p>
      <w:pPr>
        <w:spacing w:before="91" w:line="223" w:lineRule="auto"/>
        <w:jc w:val="center"/>
        <w:outlineLvl w:val="1"/>
        <w:rPr>
          <w:rFonts w:hint="eastAsia" w:ascii="宋体" w:hAnsi="宋体" w:eastAsia="宋体" w:cs="宋体"/>
          <w:color w:val="auto"/>
          <w:spacing w:val="1"/>
          <w:sz w:val="28"/>
          <w:szCs w:val="28"/>
          <w:highlight w:val="none"/>
          <w14:textOutline w14:w="5094" w14:cap="flat" w14:cmpd="sng">
            <w14:solidFill>
              <w14:srgbClr w14:val="000000"/>
            </w14:solidFill>
            <w14:prstDash w14:val="solid"/>
            <w14:miter w14:val="0"/>
          </w14:textOutline>
        </w:rPr>
      </w:pPr>
      <w:r>
        <w:rPr>
          <w:rFonts w:hint="eastAsia" w:ascii="宋体" w:hAnsi="宋体" w:eastAsia="宋体" w:cs="宋体"/>
          <w:color w:val="auto"/>
          <w:spacing w:val="1"/>
          <w:sz w:val="28"/>
          <w:szCs w:val="28"/>
          <w:highlight w:val="none"/>
          <w14:textOutline w14:w="5094" w14:cap="flat" w14:cmpd="sng">
            <w14:solidFill>
              <w14:srgbClr w14:val="000000"/>
            </w14:solidFill>
            <w14:prstDash w14:val="solid"/>
            <w14:miter w14:val="0"/>
          </w14:textOutline>
        </w:rPr>
        <w:t>B．项目专用合同条款</w:t>
      </w:r>
    </w:p>
    <w:p>
      <w:pPr>
        <w:spacing w:line="373" w:lineRule="auto"/>
        <w:rPr>
          <w:rFonts w:hint="eastAsia" w:ascii="宋体" w:hAnsi="宋体" w:eastAsia="宋体" w:cs="宋体"/>
          <w:color w:val="auto"/>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429"/>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说明：</w:t>
      </w:r>
    </w:p>
    <w:p>
      <w:pPr>
        <w:keepNext w:val="0"/>
        <w:keepLines w:val="0"/>
        <w:pageBreakBefore w:val="0"/>
        <w:widowControl/>
        <w:kinsoku w:val="0"/>
        <w:wordWrap/>
        <w:overflowPunct/>
        <w:topLinePunct w:val="0"/>
        <w:autoSpaceDE w:val="0"/>
        <w:autoSpaceDN w:val="0"/>
        <w:bidi w:val="0"/>
        <w:adjustRightInd w:val="0"/>
        <w:snapToGrid w:val="0"/>
        <w:spacing w:before="162" w:line="400" w:lineRule="exact"/>
        <w:ind w:firstLine="428"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1.招标人在根据 《标准施工招标文件》、《公路工程标准施工招标文件》编制项目施工招标文</w:t>
      </w:r>
      <w:r>
        <w:rPr>
          <w:rFonts w:hint="eastAsia" w:ascii="宋体" w:hAnsi="宋体" w:eastAsia="宋体" w:cs="宋体"/>
          <w:color w:val="auto"/>
          <w:sz w:val="21"/>
          <w:szCs w:val="21"/>
          <w:highlight w:val="none"/>
        </w:rPr>
        <w:t>件</w:t>
      </w:r>
      <w:r>
        <w:rPr>
          <w:rFonts w:hint="eastAsia" w:ascii="宋体" w:hAnsi="宋体" w:eastAsia="宋体" w:cs="宋体"/>
          <w:color w:val="auto"/>
          <w:spacing w:val="14"/>
          <w:sz w:val="21"/>
          <w:szCs w:val="21"/>
          <w:highlight w:val="none"/>
        </w:rPr>
        <w:t>中</w:t>
      </w:r>
      <w:r>
        <w:rPr>
          <w:rFonts w:hint="eastAsia" w:ascii="宋体" w:hAnsi="宋体" w:eastAsia="宋体" w:cs="宋体"/>
          <w:color w:val="auto"/>
          <w:spacing w:val="7"/>
          <w:sz w:val="21"/>
          <w:szCs w:val="21"/>
          <w:highlight w:val="none"/>
        </w:rPr>
        <w:t>的“项目专用合同条款”时，可根据招标项目的具体特点和实际需要，对“通用合同条款”及“公路工程</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8"/>
          <w:sz w:val="21"/>
          <w:szCs w:val="21"/>
          <w:highlight w:val="none"/>
        </w:rPr>
        <w:t>专用</w:t>
      </w:r>
      <w:r>
        <w:rPr>
          <w:rFonts w:hint="eastAsia" w:ascii="宋体" w:hAnsi="宋体" w:eastAsia="宋体" w:cs="宋体"/>
          <w:color w:val="auto"/>
          <w:spacing w:val="10"/>
          <w:sz w:val="21"/>
          <w:szCs w:val="21"/>
          <w:highlight w:val="none"/>
        </w:rPr>
        <w:t>合</w:t>
      </w:r>
      <w:r>
        <w:rPr>
          <w:rFonts w:hint="eastAsia" w:ascii="宋体" w:hAnsi="宋体" w:eastAsia="宋体" w:cs="宋体"/>
          <w:color w:val="auto"/>
          <w:spacing w:val="9"/>
          <w:sz w:val="21"/>
          <w:szCs w:val="21"/>
          <w:highlight w:val="none"/>
        </w:rPr>
        <w:t>同条款”进行补充和细化，除“通用合同条款”明确“专用合同条款”可作出不同约定以及“公路工</w:t>
      </w:r>
      <w:r>
        <w:rPr>
          <w:rFonts w:hint="eastAsia" w:ascii="宋体" w:hAnsi="宋体" w:eastAsia="宋体" w:cs="宋体"/>
          <w:color w:val="auto"/>
          <w:spacing w:val="15"/>
          <w:sz w:val="21"/>
          <w:szCs w:val="21"/>
          <w:highlight w:val="none"/>
        </w:rPr>
        <w:t>程</w:t>
      </w:r>
      <w:r>
        <w:rPr>
          <w:rFonts w:hint="eastAsia" w:ascii="宋体" w:hAnsi="宋体" w:eastAsia="宋体" w:cs="宋体"/>
          <w:color w:val="auto"/>
          <w:spacing w:val="9"/>
          <w:sz w:val="21"/>
          <w:szCs w:val="21"/>
          <w:highlight w:val="none"/>
        </w:rPr>
        <w:t>专用合同条款”明确“项目专用合同条款”可作出不同约定外，补充和细化的内容不得与“通用合同条</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9"/>
          <w:sz w:val="21"/>
          <w:szCs w:val="21"/>
          <w:highlight w:val="none"/>
        </w:rPr>
        <w:t>款”及“公路工程专用合同条款”强制性规定相抵触。 同时，补充、细化或约定的不同内容，不得违</w:t>
      </w:r>
      <w:r>
        <w:rPr>
          <w:rFonts w:hint="eastAsia" w:ascii="宋体" w:hAnsi="宋体" w:eastAsia="宋体" w:cs="宋体"/>
          <w:color w:val="auto"/>
          <w:spacing w:val="1"/>
          <w:sz w:val="21"/>
          <w:szCs w:val="21"/>
          <w:highlight w:val="none"/>
        </w:rPr>
        <w:t>反</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4"/>
          <w:sz w:val="21"/>
          <w:szCs w:val="21"/>
          <w:highlight w:val="none"/>
        </w:rPr>
        <w:t>法律、行政法规</w:t>
      </w:r>
      <w:r>
        <w:rPr>
          <w:rFonts w:hint="eastAsia" w:ascii="宋体" w:hAnsi="宋体" w:eastAsia="宋体" w:cs="宋体"/>
          <w:color w:val="auto"/>
          <w:spacing w:val="3"/>
          <w:sz w:val="21"/>
          <w:szCs w:val="21"/>
          <w:highlight w:val="none"/>
        </w:rPr>
        <w:t>的</w:t>
      </w:r>
      <w:r>
        <w:rPr>
          <w:rFonts w:hint="eastAsia" w:ascii="宋体" w:hAnsi="宋体" w:eastAsia="宋体" w:cs="宋体"/>
          <w:color w:val="auto"/>
          <w:spacing w:val="2"/>
          <w:sz w:val="21"/>
          <w:szCs w:val="21"/>
          <w:highlight w:val="none"/>
        </w:rPr>
        <w:t>强制性规定和平等、自愿、公平和诚实信用原则。</w:t>
      </w:r>
    </w:p>
    <w:p>
      <w:pPr>
        <w:keepNext w:val="0"/>
        <w:keepLines w:val="0"/>
        <w:pageBreakBefore w:val="0"/>
        <w:widowControl/>
        <w:kinsoku w:val="0"/>
        <w:wordWrap/>
        <w:overflowPunct/>
        <w:topLinePunct w:val="0"/>
        <w:autoSpaceDE w:val="0"/>
        <w:autoSpaceDN w:val="0"/>
        <w:bidi w:val="0"/>
        <w:adjustRightInd w:val="0"/>
        <w:snapToGrid w:val="0"/>
        <w:spacing w:before="1" w:line="400" w:lineRule="exact"/>
        <w:ind w:firstLine="47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3"/>
          <w:sz w:val="21"/>
          <w:szCs w:val="21"/>
          <w:highlight w:val="none"/>
        </w:rPr>
        <w:t>2</w:t>
      </w:r>
      <w:r>
        <w:rPr>
          <w:rFonts w:hint="eastAsia" w:ascii="宋体" w:hAnsi="宋体" w:eastAsia="宋体" w:cs="宋体"/>
          <w:color w:val="auto"/>
          <w:spacing w:val="9"/>
          <w:sz w:val="21"/>
          <w:szCs w:val="21"/>
          <w:highlight w:val="none"/>
        </w:rPr>
        <w:t>.项目专用合同条款的序号应与通用合同条款和公路工程专用合同条款一致。</w:t>
      </w:r>
    </w:p>
    <w:p>
      <w:pPr>
        <w:keepNext w:val="0"/>
        <w:keepLines w:val="0"/>
        <w:pageBreakBefore w:val="0"/>
        <w:widowControl/>
        <w:kinsoku w:val="0"/>
        <w:wordWrap/>
        <w:overflowPunct/>
        <w:topLinePunct w:val="0"/>
        <w:autoSpaceDE w:val="0"/>
        <w:autoSpaceDN w:val="0"/>
        <w:bidi w:val="0"/>
        <w:adjustRightInd w:val="0"/>
        <w:snapToGrid w:val="0"/>
        <w:spacing w:before="162" w:line="400" w:lineRule="exact"/>
        <w:ind w:firstLine="484" w:firstLineChars="200"/>
        <w:textAlignment w:val="baseline"/>
        <w:outlineLvl w:val="2"/>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3</w:t>
      </w:r>
      <w:r>
        <w:rPr>
          <w:rFonts w:hint="eastAsia" w:ascii="宋体" w:hAnsi="宋体" w:eastAsia="宋体" w:cs="宋体"/>
          <w:color w:val="auto"/>
          <w:spacing w:val="14"/>
          <w:sz w:val="21"/>
          <w:szCs w:val="21"/>
          <w:highlight w:val="none"/>
        </w:rPr>
        <w:t>.</w:t>
      </w:r>
      <w:r>
        <w:rPr>
          <w:rFonts w:hint="eastAsia" w:ascii="宋体" w:hAnsi="宋体" w:eastAsia="宋体" w:cs="宋体"/>
          <w:color w:val="auto"/>
          <w:spacing w:val="8"/>
          <w:sz w:val="21"/>
          <w:szCs w:val="21"/>
          <w:highlight w:val="none"/>
        </w:rPr>
        <w:t>项目专用合同条款可对下列内容进行补充和细化：</w:t>
      </w:r>
    </w:p>
    <w:p>
      <w:pPr>
        <w:keepNext w:val="0"/>
        <w:keepLines w:val="0"/>
        <w:pageBreakBefore w:val="0"/>
        <w:widowControl/>
        <w:kinsoku w:val="0"/>
        <w:wordWrap/>
        <w:overflowPunct/>
        <w:topLinePunct w:val="0"/>
        <w:autoSpaceDE w:val="0"/>
        <w:autoSpaceDN w:val="0"/>
        <w:bidi w:val="0"/>
        <w:adjustRightInd w:val="0"/>
        <w:snapToGrid w:val="0"/>
        <w:spacing w:before="130" w:line="400" w:lineRule="exact"/>
        <w:ind w:firstLine="47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4"/>
          <w:sz w:val="21"/>
          <w:szCs w:val="21"/>
          <w:highlight w:val="none"/>
        </w:rPr>
        <w:t>(</w:t>
      </w:r>
      <w:r>
        <w:rPr>
          <w:rFonts w:hint="eastAsia" w:ascii="宋体" w:hAnsi="宋体" w:eastAsia="宋体" w:cs="宋体"/>
          <w:color w:val="auto"/>
          <w:spacing w:val="9"/>
          <w:sz w:val="21"/>
          <w:szCs w:val="21"/>
          <w:highlight w:val="none"/>
        </w:rPr>
        <w:t>1)“通用合同条款”中明确指出“专用合同条款”可对“通用合同条款”进行补充和细化的内容(在“通</w:t>
      </w:r>
      <w:r>
        <w:rPr>
          <w:rFonts w:hint="eastAsia" w:ascii="宋体" w:hAnsi="宋体" w:eastAsia="宋体" w:cs="宋体"/>
          <w:color w:val="auto"/>
          <w:spacing w:val="14"/>
          <w:sz w:val="21"/>
          <w:szCs w:val="21"/>
          <w:highlight w:val="none"/>
        </w:rPr>
        <w:t>用合</w:t>
      </w:r>
      <w:r>
        <w:rPr>
          <w:rFonts w:hint="eastAsia" w:ascii="宋体" w:hAnsi="宋体" w:eastAsia="宋体" w:cs="宋体"/>
          <w:color w:val="auto"/>
          <w:spacing w:val="7"/>
          <w:sz w:val="21"/>
          <w:szCs w:val="21"/>
          <w:highlight w:val="none"/>
        </w:rPr>
        <w:t>同条款”中用“应按合同约定”</w:t>
      </w:r>
      <w:r>
        <w:rPr>
          <w:rFonts w:hint="eastAsia" w:ascii="宋体" w:hAnsi="宋体" w:eastAsia="宋体" w:cs="宋体"/>
          <w:color w:val="auto"/>
          <w:spacing w:val="7"/>
          <w:sz w:val="21"/>
          <w:szCs w:val="21"/>
          <w:highlight w:val="none"/>
          <w:lang w:eastAsia="zh-CN"/>
        </w:rPr>
        <w:t>、</w:t>
      </w:r>
      <w:r>
        <w:rPr>
          <w:rFonts w:hint="eastAsia" w:ascii="宋体" w:hAnsi="宋体" w:eastAsia="宋体" w:cs="宋体"/>
          <w:color w:val="auto"/>
          <w:spacing w:val="7"/>
          <w:sz w:val="21"/>
          <w:szCs w:val="21"/>
          <w:highlight w:val="none"/>
        </w:rPr>
        <w:t>“应按专用合同条款约定”“除合同另有约定外”</w:t>
      </w:r>
      <w:r>
        <w:rPr>
          <w:rFonts w:hint="eastAsia" w:ascii="宋体" w:hAnsi="宋体" w:eastAsia="宋体" w:cs="宋体"/>
          <w:color w:val="auto"/>
          <w:spacing w:val="7"/>
          <w:sz w:val="21"/>
          <w:szCs w:val="21"/>
          <w:highlight w:val="none"/>
          <w:lang w:eastAsia="zh-CN"/>
        </w:rPr>
        <w:t>、</w:t>
      </w:r>
      <w:r>
        <w:rPr>
          <w:rFonts w:hint="eastAsia" w:ascii="宋体" w:hAnsi="宋体" w:eastAsia="宋体" w:cs="宋体"/>
          <w:color w:val="auto"/>
          <w:spacing w:val="7"/>
          <w:sz w:val="21"/>
          <w:szCs w:val="21"/>
          <w:highlight w:val="none"/>
        </w:rPr>
        <w:t>“除专用合同条款</w:t>
      </w:r>
      <w:r>
        <w:rPr>
          <w:rFonts w:hint="eastAsia" w:ascii="宋体" w:hAnsi="宋体" w:eastAsia="宋体" w:cs="宋体"/>
          <w:color w:val="auto"/>
          <w:spacing w:val="12"/>
          <w:position w:val="2"/>
          <w:sz w:val="21"/>
          <w:szCs w:val="21"/>
          <w:highlight w:val="none"/>
        </w:rPr>
        <w:t>另有</w:t>
      </w:r>
      <w:r>
        <w:rPr>
          <w:rFonts w:hint="eastAsia" w:ascii="宋体" w:hAnsi="宋体" w:eastAsia="宋体" w:cs="宋体"/>
          <w:color w:val="auto"/>
          <w:spacing w:val="11"/>
          <w:position w:val="2"/>
          <w:sz w:val="21"/>
          <w:szCs w:val="21"/>
          <w:highlight w:val="none"/>
        </w:rPr>
        <w:t>约</w:t>
      </w:r>
      <w:r>
        <w:rPr>
          <w:rFonts w:hint="eastAsia" w:ascii="宋体" w:hAnsi="宋体" w:eastAsia="宋体" w:cs="宋体"/>
          <w:color w:val="auto"/>
          <w:spacing w:val="6"/>
          <w:position w:val="2"/>
          <w:sz w:val="21"/>
          <w:szCs w:val="21"/>
          <w:highlight w:val="none"/>
        </w:rPr>
        <w:t>定外”</w:t>
      </w:r>
      <w:r>
        <w:rPr>
          <w:rFonts w:hint="eastAsia" w:ascii="宋体" w:hAnsi="宋体" w:eastAsia="宋体" w:cs="宋体"/>
          <w:color w:val="auto"/>
          <w:spacing w:val="6"/>
          <w:position w:val="2"/>
          <w:sz w:val="21"/>
          <w:szCs w:val="21"/>
          <w:highlight w:val="none"/>
          <w:lang w:eastAsia="zh-CN"/>
        </w:rPr>
        <w:t>、</w:t>
      </w:r>
      <w:r>
        <w:rPr>
          <w:rFonts w:hint="eastAsia" w:ascii="宋体" w:hAnsi="宋体" w:eastAsia="宋体" w:cs="宋体"/>
          <w:color w:val="auto"/>
          <w:spacing w:val="6"/>
          <w:position w:val="2"/>
          <w:sz w:val="21"/>
          <w:szCs w:val="21"/>
          <w:highlight w:val="none"/>
        </w:rPr>
        <w:t>“在专用合同条款中约定”等多种文字形式表达)；</w:t>
      </w:r>
    </w:p>
    <w:p>
      <w:pPr>
        <w:keepNext w:val="0"/>
        <w:keepLines w:val="0"/>
        <w:pageBreakBefore w:val="0"/>
        <w:widowControl/>
        <w:kinsoku w:val="0"/>
        <w:wordWrap/>
        <w:overflowPunct/>
        <w:topLinePunct w:val="0"/>
        <w:autoSpaceDE w:val="0"/>
        <w:autoSpaceDN w:val="0"/>
        <w:bidi w:val="0"/>
        <w:adjustRightInd w:val="0"/>
        <w:snapToGrid w:val="0"/>
        <w:spacing w:before="135" w:line="400" w:lineRule="exact"/>
        <w:ind w:right="2" w:firstLine="47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3"/>
          <w:sz w:val="21"/>
          <w:szCs w:val="21"/>
          <w:highlight w:val="none"/>
        </w:rPr>
        <w:t>(2)“公路工程专用合同条款”中明确指出“项目专用合同条款”可对“公路工程专用合同条款”进</w:t>
      </w:r>
      <w:r>
        <w:rPr>
          <w:rFonts w:hint="eastAsia" w:ascii="宋体" w:hAnsi="宋体" w:eastAsia="宋体" w:cs="宋体"/>
          <w:color w:val="auto"/>
          <w:spacing w:val="5"/>
          <w:sz w:val="21"/>
          <w:szCs w:val="21"/>
          <w:highlight w:val="none"/>
        </w:rPr>
        <w:t>行</w:t>
      </w:r>
      <w:r>
        <w:rPr>
          <w:rFonts w:hint="eastAsia" w:ascii="宋体" w:hAnsi="宋体" w:eastAsia="宋体" w:cs="宋体"/>
          <w:color w:val="auto"/>
          <w:spacing w:val="16"/>
          <w:sz w:val="21"/>
          <w:szCs w:val="21"/>
          <w:highlight w:val="none"/>
        </w:rPr>
        <w:t>补充和</w:t>
      </w:r>
      <w:r>
        <w:rPr>
          <w:rFonts w:hint="eastAsia" w:ascii="宋体" w:hAnsi="宋体" w:eastAsia="宋体" w:cs="宋体"/>
          <w:color w:val="auto"/>
          <w:spacing w:val="13"/>
          <w:sz w:val="21"/>
          <w:szCs w:val="21"/>
          <w:highlight w:val="none"/>
        </w:rPr>
        <w:t>细</w:t>
      </w:r>
      <w:r>
        <w:rPr>
          <w:rFonts w:hint="eastAsia" w:ascii="宋体" w:hAnsi="宋体" w:eastAsia="宋体" w:cs="宋体"/>
          <w:color w:val="auto"/>
          <w:spacing w:val="8"/>
          <w:sz w:val="21"/>
          <w:szCs w:val="21"/>
          <w:highlight w:val="none"/>
        </w:rPr>
        <w:t>化的内容(在“公路工程专用合同条款”中用“除项目专用合同条款另有约定外”，“项目专用合</w:t>
      </w:r>
      <w:r>
        <w:rPr>
          <w:rFonts w:hint="eastAsia" w:ascii="宋体" w:hAnsi="宋体" w:eastAsia="宋体" w:cs="宋体"/>
          <w:color w:val="auto"/>
          <w:spacing w:val="14"/>
          <w:sz w:val="21"/>
          <w:szCs w:val="21"/>
          <w:highlight w:val="none"/>
        </w:rPr>
        <w:t>同条</w:t>
      </w:r>
      <w:r>
        <w:rPr>
          <w:rFonts w:hint="eastAsia" w:ascii="宋体" w:hAnsi="宋体" w:eastAsia="宋体" w:cs="宋体"/>
          <w:color w:val="auto"/>
          <w:spacing w:val="8"/>
          <w:sz w:val="21"/>
          <w:szCs w:val="21"/>
          <w:highlight w:val="none"/>
        </w:rPr>
        <w:t>款</w:t>
      </w:r>
      <w:r>
        <w:rPr>
          <w:rFonts w:hint="eastAsia" w:ascii="宋体" w:hAnsi="宋体" w:eastAsia="宋体" w:cs="宋体"/>
          <w:color w:val="auto"/>
          <w:spacing w:val="7"/>
          <w:sz w:val="21"/>
          <w:szCs w:val="21"/>
          <w:highlight w:val="none"/>
        </w:rPr>
        <w:t>可能约定的”，“项目专用合同条款约定的其他情形”等多种文字形式表达)；</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4"/>
          <w:position w:val="2"/>
          <w:sz w:val="21"/>
          <w:szCs w:val="21"/>
          <w:highlight w:val="none"/>
        </w:rPr>
        <w:t>(</w:t>
      </w:r>
      <w:r>
        <w:rPr>
          <w:rFonts w:hint="eastAsia" w:ascii="宋体" w:hAnsi="宋体" w:eastAsia="宋体" w:cs="宋体"/>
          <w:color w:val="auto"/>
          <w:spacing w:val="8"/>
          <w:position w:val="2"/>
          <w:sz w:val="21"/>
          <w:szCs w:val="21"/>
          <w:highlight w:val="none"/>
        </w:rPr>
        <w:t>3</w:t>
      </w:r>
      <w:r>
        <w:rPr>
          <w:rFonts w:hint="eastAsia" w:ascii="宋体" w:hAnsi="宋体" w:eastAsia="宋体" w:cs="宋体"/>
          <w:color w:val="auto"/>
          <w:spacing w:val="7"/>
          <w:position w:val="2"/>
          <w:sz w:val="21"/>
          <w:szCs w:val="21"/>
          <w:highlight w:val="none"/>
        </w:rPr>
        <w:t>)其他需要补充、细化的内容。</w:t>
      </w:r>
    </w:p>
    <w:p>
      <w:pPr>
        <w:jc w:val="center"/>
        <w:outlineLvl w:val="1"/>
        <w:rPr>
          <w:color w:val="auto"/>
          <w:highlight w:val="none"/>
        </w:rPr>
      </w:pPr>
      <w:r>
        <w:rPr>
          <w:color w:val="auto"/>
          <w:highlight w:val="none"/>
        </w:rPr>
        <w:br w:type="page"/>
      </w:r>
      <w:bookmarkStart w:id="154" w:name="_Toc22515"/>
    </w:p>
    <w:p>
      <w:pPr>
        <w:jc w:val="center"/>
        <w:outlineLvl w:val="1"/>
        <w:rPr>
          <w:color w:val="auto"/>
          <w:highlight w:val="none"/>
        </w:rPr>
      </w:pPr>
    </w:p>
    <w:p>
      <w:pPr>
        <w:jc w:val="center"/>
        <w:outlineLvl w:val="1"/>
        <w:rPr>
          <w:rFonts w:hint="eastAsia"/>
          <w:b/>
          <w:color w:val="auto"/>
          <w:sz w:val="30"/>
          <w:szCs w:val="30"/>
          <w:highlight w:val="none"/>
        </w:rPr>
      </w:pPr>
      <w:r>
        <w:rPr>
          <w:rFonts w:hint="eastAsia" w:ascii="宋体" w:hAnsi="宋体" w:eastAsia="宋体" w:cs="宋体"/>
          <w:b/>
          <w:color w:val="auto"/>
          <w:sz w:val="30"/>
          <w:szCs w:val="30"/>
          <w:highlight w:val="none"/>
        </w:rPr>
        <w:t>项目专用合同条款数据表</w:t>
      </w:r>
      <w:bookmarkEnd w:id="154"/>
    </w:p>
    <w:p>
      <w:pPr>
        <w:pStyle w:val="2"/>
        <w:rPr>
          <w:rFonts w:hint="eastAsia"/>
          <w:color w:val="auto"/>
          <w:highlight w:val="none"/>
        </w:rPr>
      </w:pPr>
    </w:p>
    <w:p>
      <w:pPr>
        <w:spacing w:after="120" w:afterLines="50"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本数据表是项目专用合同条款中适用于本项目的信息和数据的归纳与提示，是项目专用合同条款的组成部分。第八章“投标文件格式”的投标函附录中的数据（供投标人确认）与本表所列有重复。编写招标文件的单位应仔细校核，不使数据出现差错或不一致。</w:t>
      </w:r>
    </w:p>
    <w:tbl>
      <w:tblPr>
        <w:tblStyle w:val="18"/>
        <w:tblW w:w="9840" w:type="dxa"/>
        <w:tblInd w:w="-215"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0"/>
        <w:gridCol w:w="1575"/>
        <w:gridCol w:w="754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6" w:hRule="atLeast"/>
        </w:trPr>
        <w:tc>
          <w:tcPr>
            <w:tcW w:w="720" w:type="dxa"/>
            <w:noWrap w:val="0"/>
            <w:vAlign w:val="center"/>
          </w:tcPr>
          <w:p>
            <w:pPr>
              <w:spacing w:line="2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575" w:type="dxa"/>
            <w:noWrap w:val="0"/>
            <w:vAlign w:val="center"/>
          </w:tcPr>
          <w:p>
            <w:pPr>
              <w:spacing w:line="2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条目号</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信息或数据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95"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575"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1.1.2.2</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发包人：嵊州市交通投资发展集团有限公司</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lang w:eastAsia="zh-CN"/>
              </w:rPr>
              <w:t>嵊州市浦口街道华发南路88号</w:t>
            </w:r>
            <w:r>
              <w:rPr>
                <w:rFonts w:hint="eastAsia" w:ascii="宋体" w:hAnsi="宋体" w:eastAsia="宋体" w:cs="宋体"/>
                <w:color w:val="auto"/>
                <w:sz w:val="21"/>
                <w:szCs w:val="21"/>
                <w:highlight w:val="none"/>
              </w:rPr>
              <w:t xml:space="preserve">   邮政编码：312400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9"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575"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1.1.2.6</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                       邮政编码：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575"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1.1.4.5</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缺陷责任期</w:t>
            </w:r>
            <w:r>
              <w:rPr>
                <w:rFonts w:hint="eastAsia" w:ascii="宋体" w:hAnsi="宋体" w:eastAsia="宋体" w:cs="宋体"/>
                <w:color w:val="auto"/>
                <w:sz w:val="21"/>
                <w:szCs w:val="21"/>
                <w:highlight w:val="none"/>
              </w:rPr>
              <w:t>：自实际交工日期起计算</w:t>
            </w:r>
            <w:r>
              <w:rPr>
                <w:rFonts w:hint="eastAsia" w:ascii="宋体" w:hAnsi="宋体" w:eastAsia="宋体" w:cs="宋体"/>
                <w:color w:val="auto"/>
                <w:sz w:val="21"/>
                <w:szCs w:val="21"/>
                <w:highlight w:val="none"/>
                <w:u w:val="single"/>
                <w:lang w:val="en-US" w:eastAsia="zh-CN"/>
              </w:rPr>
              <w:t xml:space="preserve"> 2 </w:t>
            </w:r>
            <w:r>
              <w:rPr>
                <w:rFonts w:hint="eastAsia" w:ascii="宋体" w:hAnsi="宋体" w:eastAsia="宋体" w:cs="宋体"/>
                <w:color w:val="auto"/>
                <w:sz w:val="21"/>
                <w:szCs w:val="21"/>
                <w:highlight w:val="none"/>
              </w:rPr>
              <w:t>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7"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575"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1.6.3</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left="105" w:leftChars="50" w:firstLine="105" w:firstLineChars="5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图纸需要修改和补充的，应由监理人取得发包人同意后，在该工程或工程相应部位施工前</w:t>
            </w:r>
            <w:r>
              <w:rPr>
                <w:rFonts w:hint="eastAsia" w:ascii="宋体" w:hAnsi="宋体" w:eastAsia="宋体" w:cs="宋体"/>
                <w:color w:val="auto"/>
                <w:sz w:val="21"/>
                <w:szCs w:val="21"/>
                <w:highlight w:val="none"/>
                <w:u w:val="single"/>
              </w:rPr>
              <w:t xml:space="preserve"> 15 </w:t>
            </w:r>
            <w:r>
              <w:rPr>
                <w:rFonts w:hint="eastAsia" w:ascii="宋体" w:hAnsi="宋体" w:eastAsia="宋体" w:cs="宋体"/>
                <w:color w:val="auto"/>
                <w:sz w:val="21"/>
                <w:szCs w:val="21"/>
                <w:highlight w:val="none"/>
              </w:rPr>
              <w:t>天内签发图纸修改图给承包人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94"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575"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3.1.1</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监理人在行使下列权力前需要经发包人事先批准：</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exact"/>
              <w:ind w:leftChars="100"/>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根据第15.3款发出的变更指示，其单项工程变更涉及的金额超过了该单项工程签约时合同价的</w:t>
            </w:r>
            <w:r>
              <w:rPr>
                <w:rFonts w:hint="eastAsia" w:ascii="宋体" w:hAnsi="宋体" w:eastAsia="宋体" w:cs="宋体"/>
                <w:color w:val="auto"/>
                <w:sz w:val="21"/>
                <w:szCs w:val="21"/>
                <w:highlight w:val="none"/>
                <w:u w:val="single"/>
                <w:lang w:val="en-US" w:eastAsia="zh-CN"/>
              </w:rPr>
              <w:t>25</w:t>
            </w:r>
            <w:r>
              <w:rPr>
                <w:rFonts w:hint="eastAsia" w:ascii="宋体" w:hAnsi="宋体" w:eastAsia="宋体" w:cs="宋体"/>
                <w:color w:val="auto"/>
                <w:sz w:val="21"/>
                <w:szCs w:val="21"/>
                <w:highlight w:val="none"/>
              </w:rPr>
              <w:t>%或累计变更超过了签约合同价的</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9"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575"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5.2.1</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发包人是否提供材料：</w:t>
            </w:r>
            <w:r>
              <w:rPr>
                <w:rFonts w:hint="eastAsia" w:ascii="宋体" w:hAnsi="宋体" w:eastAsia="宋体" w:cs="宋体"/>
                <w:color w:val="auto"/>
                <w:sz w:val="21"/>
                <w:szCs w:val="21"/>
                <w:highlight w:val="none"/>
                <w:u w:val="single"/>
                <w:lang w:bidi="ar"/>
              </w:rPr>
              <w:t>否</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如发包人负责提供部分材料，相关规定如下：</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1"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575"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发包人是否提供施工设备和临时设施：</w:t>
            </w:r>
            <w:r>
              <w:rPr>
                <w:rFonts w:hint="eastAsia" w:ascii="宋体" w:hAnsi="宋体" w:eastAsia="宋体" w:cs="宋体"/>
                <w:color w:val="auto"/>
                <w:sz w:val="21"/>
                <w:szCs w:val="21"/>
                <w:highlight w:val="none"/>
                <w:u w:val="single"/>
              </w:rPr>
              <w:t xml:space="preserve"> 否  </w:t>
            </w:r>
            <w:r>
              <w:rPr>
                <w:rFonts w:hint="eastAsia" w:ascii="宋体" w:hAnsi="宋体" w:eastAsia="宋体" w:cs="宋体"/>
                <w:color w:val="auto"/>
                <w:sz w:val="21"/>
                <w:szCs w:val="21"/>
                <w:highlight w:val="none"/>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如发包人负责提供部分施工设备和临时设施，相关规定如下：</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5"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575" w:type="dxa"/>
            <w:noWrap w:val="0"/>
            <w:vAlign w:val="center"/>
          </w:tcPr>
          <w:p>
            <w:pPr>
              <w:spacing w:line="300" w:lineRule="exact"/>
              <w:jc w:val="center"/>
              <w:rPr>
                <w:rFonts w:hint="eastAsia" w:ascii="宋体" w:hAnsi="宋体" w:eastAsia="宋体" w:cs="宋体"/>
                <w:color w:val="auto"/>
                <w:sz w:val="21"/>
                <w:szCs w:val="21"/>
                <w:highlight w:val="none"/>
              </w:rPr>
            </w:pPr>
          </w:p>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8.1.1</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before="93" w:line="360" w:lineRule="exact"/>
              <w:ind w:left="233" w:leftChars="0" w:right="171" w:rightChars="0" w:firstLine="3" w:firstLineChars="0"/>
              <w:jc w:val="left"/>
              <w:textAlignment w:val="baseline"/>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pacing w:val="3"/>
                <w:sz w:val="21"/>
                <w:szCs w:val="21"/>
                <w:highlight w:val="none"/>
              </w:rPr>
              <w:t>发包人提供测量基准点、基准线和水准点及其书面资料的期限：</w:t>
            </w:r>
            <w:r>
              <w:rPr>
                <w:rFonts w:hint="eastAsia" w:ascii="宋体" w:hAnsi="宋体" w:eastAsia="宋体" w:cs="宋体"/>
                <w:color w:val="auto"/>
                <w:spacing w:val="3"/>
                <w:sz w:val="21"/>
                <w:szCs w:val="21"/>
                <w:highlight w:val="none"/>
                <w:u w:val="single" w:color="auto"/>
              </w:rPr>
              <w:t xml:space="preserve">           </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1"/>
                <w:sz w:val="21"/>
                <w:szCs w:val="21"/>
                <w:highlight w:val="none"/>
              </w:rPr>
              <w:t>承</w:t>
            </w:r>
            <w:r>
              <w:rPr>
                <w:rFonts w:hint="eastAsia" w:ascii="宋体" w:hAnsi="宋体" w:eastAsia="宋体" w:cs="宋体"/>
                <w:color w:val="auto"/>
                <w:spacing w:val="9"/>
                <w:sz w:val="21"/>
                <w:szCs w:val="21"/>
                <w:highlight w:val="none"/>
              </w:rPr>
              <w:t>包人将施工控制网资料报送监理人审批的期限：</w:t>
            </w:r>
            <w:r>
              <w:rPr>
                <w:rFonts w:hint="eastAsia" w:ascii="宋体" w:hAnsi="宋体" w:eastAsia="宋体" w:cs="宋体"/>
                <w:color w:val="auto"/>
                <w:sz w:val="21"/>
                <w:szCs w:val="21"/>
                <w:highlight w:val="none"/>
                <w:u w:val="single" w:color="auto"/>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5"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9</w:t>
            </w:r>
          </w:p>
        </w:tc>
        <w:tc>
          <w:tcPr>
            <w:tcW w:w="1575" w:type="dxa"/>
            <w:noWrap w:val="0"/>
            <w:vAlign w:val="center"/>
          </w:tcPr>
          <w:p>
            <w:pPr>
              <w:spacing w:line="3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11.5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逾期交工违约金：</w:t>
            </w:r>
            <w:r>
              <w:rPr>
                <w:rFonts w:hint="eastAsia" w:ascii="宋体" w:hAnsi="宋体" w:eastAsia="宋体" w:cs="宋体"/>
                <w:color w:val="auto"/>
                <w:sz w:val="21"/>
                <w:szCs w:val="21"/>
                <w:highlight w:val="none"/>
                <w:u w:val="single"/>
                <w:lang w:val="en-US" w:eastAsia="zh-CN"/>
              </w:rPr>
              <w:t>20000</w:t>
            </w:r>
            <w:r>
              <w:rPr>
                <w:rFonts w:hint="eastAsia" w:ascii="宋体" w:hAnsi="宋体" w:eastAsia="宋体" w:cs="宋体"/>
                <w:color w:val="auto"/>
                <w:sz w:val="21"/>
                <w:szCs w:val="21"/>
                <w:highlight w:val="none"/>
              </w:rPr>
              <w:t>元∕天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5"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575" w:type="dxa"/>
            <w:noWrap w:val="0"/>
            <w:vAlign w:val="center"/>
          </w:tcPr>
          <w:p>
            <w:pPr>
              <w:spacing w:line="3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11.5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逾期交工违约金限额：</w:t>
            </w:r>
            <w:r>
              <w:rPr>
                <w:rFonts w:hint="eastAsia" w:ascii="宋体" w:hAnsi="宋体" w:eastAsia="宋体" w:cs="宋体"/>
                <w:color w:val="auto"/>
                <w:sz w:val="21"/>
                <w:szCs w:val="21"/>
                <w:highlight w:val="none"/>
                <w:u w:val="single"/>
              </w:rPr>
              <w:t xml:space="preserve"> 10 </w:t>
            </w:r>
            <w:r>
              <w:rPr>
                <w:rFonts w:hint="eastAsia" w:ascii="宋体" w:hAnsi="宋体" w:eastAsia="宋体" w:cs="宋体"/>
                <w:color w:val="auto"/>
                <w:sz w:val="21"/>
                <w:szCs w:val="21"/>
                <w:highlight w:val="none"/>
              </w:rPr>
              <w:t>%签约合同价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5"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p>
        </w:tc>
        <w:tc>
          <w:tcPr>
            <w:tcW w:w="1575"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提前交工的奖金：</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元∕天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5"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2</w:t>
            </w:r>
          </w:p>
        </w:tc>
        <w:tc>
          <w:tcPr>
            <w:tcW w:w="1575"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提前交工的奖金限额：</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%签约合同价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0"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c>
          <w:tcPr>
            <w:tcW w:w="1575"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15.5.2</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left="210" w:leftChars="10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承包人提出的合理化建议降低了合同价格或者提高了工程经济效益的，发包人按所节约成本的</w:t>
            </w:r>
            <w:r>
              <w:rPr>
                <w:rFonts w:hint="eastAsia" w:ascii="宋体" w:hAnsi="宋体" w:eastAsia="宋体" w:cs="宋体"/>
                <w:color w:val="auto"/>
                <w:spacing w:val="3"/>
                <w:sz w:val="21"/>
                <w:szCs w:val="21"/>
                <w:highlight w:val="none"/>
                <w:u w:val="single"/>
              </w:rPr>
              <w:t xml:space="preserve">  </w:t>
            </w:r>
            <w:r>
              <w:rPr>
                <w:rFonts w:hint="eastAsia" w:ascii="宋体" w:hAnsi="宋体" w:eastAsia="宋体" w:cs="宋体"/>
                <w:color w:val="auto"/>
                <w:spacing w:val="3"/>
                <w:sz w:val="21"/>
                <w:szCs w:val="21"/>
                <w:highlight w:val="none"/>
                <w:u w:val="single"/>
                <w:lang w:val="en-US" w:eastAsia="zh-CN"/>
              </w:rPr>
              <w:t>/</w:t>
            </w:r>
            <w:r>
              <w:rPr>
                <w:rFonts w:hint="eastAsia" w:ascii="宋体" w:hAnsi="宋体" w:eastAsia="宋体" w:cs="宋体"/>
                <w:color w:val="auto"/>
                <w:spacing w:val="3"/>
                <w:sz w:val="21"/>
                <w:szCs w:val="21"/>
                <w:highlight w:val="none"/>
                <w:u w:val="single"/>
              </w:rPr>
              <w:t xml:space="preserve">   </w:t>
            </w:r>
            <w:r>
              <w:rPr>
                <w:rFonts w:hint="eastAsia" w:ascii="宋体" w:hAnsi="宋体" w:eastAsia="宋体" w:cs="宋体"/>
                <w:color w:val="auto"/>
                <w:spacing w:val="3"/>
                <w:sz w:val="21"/>
                <w:szCs w:val="21"/>
                <w:highlight w:val="none"/>
              </w:rPr>
              <w:t>%或增加收益的</w:t>
            </w:r>
            <w:r>
              <w:rPr>
                <w:rFonts w:hint="eastAsia" w:ascii="宋体" w:hAnsi="宋体" w:eastAsia="宋体" w:cs="宋体"/>
                <w:color w:val="auto"/>
                <w:spacing w:val="3"/>
                <w:sz w:val="21"/>
                <w:szCs w:val="21"/>
                <w:highlight w:val="none"/>
                <w:u w:val="single"/>
              </w:rPr>
              <w:t xml:space="preserve">  </w:t>
            </w:r>
            <w:r>
              <w:rPr>
                <w:rFonts w:hint="eastAsia" w:ascii="宋体" w:hAnsi="宋体" w:eastAsia="宋体" w:cs="宋体"/>
                <w:color w:val="auto"/>
                <w:spacing w:val="3"/>
                <w:sz w:val="21"/>
                <w:szCs w:val="21"/>
                <w:highlight w:val="none"/>
                <w:u w:val="single"/>
                <w:lang w:val="en-US" w:eastAsia="zh-CN"/>
              </w:rPr>
              <w:t>/</w:t>
            </w:r>
            <w:r>
              <w:rPr>
                <w:rFonts w:hint="eastAsia" w:ascii="宋体" w:hAnsi="宋体" w:eastAsia="宋体" w:cs="宋体"/>
                <w:color w:val="auto"/>
                <w:spacing w:val="3"/>
                <w:sz w:val="21"/>
                <w:szCs w:val="21"/>
                <w:highlight w:val="none"/>
                <w:u w:val="single"/>
              </w:rPr>
              <w:t xml:space="preserve">   </w:t>
            </w:r>
            <w:r>
              <w:rPr>
                <w:rFonts w:hint="eastAsia" w:ascii="宋体" w:hAnsi="宋体" w:eastAsia="宋体" w:cs="宋体"/>
                <w:color w:val="auto"/>
                <w:spacing w:val="3"/>
                <w:sz w:val="21"/>
                <w:szCs w:val="21"/>
                <w:highlight w:val="none"/>
              </w:rPr>
              <w:t>%给予奖励</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10"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4</w:t>
            </w:r>
          </w:p>
        </w:tc>
        <w:tc>
          <w:tcPr>
            <w:tcW w:w="1575"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left="300" w:leftChars="0" w:right="0" w:rightChars="0" w:hanging="300" w:hangingChars="150"/>
              <w:textAlignment w:val="baseline"/>
              <w:rPr>
                <w:rFonts w:hint="eastAsia" w:ascii="宋体" w:hAnsi="宋体" w:eastAsia="宋体" w:cs="宋体"/>
                <w:color w:val="auto"/>
                <w:sz w:val="20"/>
                <w:szCs w:val="20"/>
                <w:highlight w:val="none"/>
                <w:u w:val="wave"/>
              </w:rPr>
            </w:pP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rPr>
              <w:t xml:space="preserve"> 合同期内调价</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rPr>
              <w:t>因物价波动引起的价格调整按照</w:t>
            </w:r>
            <w:r>
              <w:rPr>
                <w:rFonts w:hint="eastAsia" w:ascii="宋体" w:hAnsi="宋体" w:eastAsia="宋体" w:cs="宋体"/>
                <w:color w:val="auto"/>
                <w:sz w:val="20"/>
                <w:szCs w:val="20"/>
                <w:highlight w:val="none"/>
                <w:u w:val="wave"/>
              </w:rPr>
              <w:t>第16.1项</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firstLine="200" w:firstLineChars="100"/>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u w:val="none"/>
              </w:rPr>
              <w:t>若按第16.1项的约定采用价格调整公式进行调价，</w:t>
            </w:r>
            <w:r>
              <w:rPr>
                <w:rFonts w:hint="eastAsia" w:ascii="宋体" w:hAnsi="宋体" w:eastAsia="宋体" w:cs="宋体"/>
                <w:color w:val="auto"/>
                <w:sz w:val="20"/>
                <w:szCs w:val="20"/>
                <w:highlight w:val="none"/>
                <w:u w:val="none"/>
                <w:lang w:val="en-US" w:eastAsia="zh-CN"/>
              </w:rPr>
              <w:t>进度款不作调整，在工程结算时</w:t>
            </w:r>
            <w:r>
              <w:rPr>
                <w:rFonts w:hint="eastAsia" w:ascii="宋体" w:hAnsi="宋体" w:eastAsia="宋体" w:cs="宋体"/>
                <w:color w:val="auto"/>
                <w:sz w:val="20"/>
                <w:szCs w:val="20"/>
                <w:highlight w:val="none"/>
                <w:u w:val="none"/>
              </w:rPr>
              <w:t>按价格调整公式</w:t>
            </w:r>
            <w:r>
              <w:rPr>
                <w:rFonts w:hint="eastAsia" w:ascii="宋体" w:hAnsi="宋体" w:eastAsia="宋体" w:cs="宋体"/>
                <w:color w:val="auto"/>
                <w:sz w:val="20"/>
                <w:szCs w:val="20"/>
                <w:highlight w:val="none"/>
                <w:u w:val="none"/>
                <w:lang w:val="en-US" w:eastAsia="zh-CN"/>
              </w:rPr>
              <w:t>统一调整。</w:t>
            </w:r>
          </w:p>
          <w:p>
            <w:pPr>
              <w:keepNext w:val="0"/>
              <w:keepLines w:val="0"/>
              <w:pageBreakBefore w:val="0"/>
              <w:widowControl/>
              <w:kinsoku w:val="0"/>
              <w:wordWrap/>
              <w:overflowPunct/>
              <w:topLinePunct w:val="0"/>
              <w:autoSpaceDE w:val="0"/>
              <w:autoSpaceDN w:val="0"/>
              <w:bidi w:val="0"/>
              <w:adjustRightInd w:val="0"/>
              <w:snapToGrid w:val="0"/>
              <w:spacing w:line="360" w:lineRule="exact"/>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rPr>
              <w:t>合同期内不调价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5</w:t>
            </w:r>
          </w:p>
        </w:tc>
        <w:tc>
          <w:tcPr>
            <w:tcW w:w="1575" w:type="dxa"/>
            <w:noWrap w:val="0"/>
            <w:vAlign w:val="center"/>
          </w:tcPr>
          <w:p>
            <w:pPr>
              <w:spacing w:line="3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17.2.1</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vertAlign w:val="superscript"/>
              </w:rPr>
            </w:pPr>
            <w:r>
              <w:rPr>
                <w:rFonts w:hint="eastAsia" w:ascii="宋体" w:hAnsi="宋体" w:eastAsia="宋体" w:cs="宋体"/>
                <w:color w:val="auto"/>
                <w:sz w:val="21"/>
                <w:szCs w:val="21"/>
                <w:highlight w:val="none"/>
              </w:rPr>
              <w:t>开工预付款金额：</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rPr>
              <w:t>%签约合同价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p>
        </w:tc>
        <w:tc>
          <w:tcPr>
            <w:tcW w:w="1575" w:type="dxa"/>
            <w:noWrap w:val="0"/>
            <w:vAlign w:val="center"/>
          </w:tcPr>
          <w:p>
            <w:pPr>
              <w:spacing w:line="30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17.2.1</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材料、设备预付款比例：</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等主要材料、设备单据所列费用的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7</w:t>
            </w:r>
          </w:p>
        </w:tc>
        <w:tc>
          <w:tcPr>
            <w:tcW w:w="1575"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17.3.2</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承包人在每个付款周期末向监理人提交进度付款申请单的份数：</w:t>
            </w:r>
            <w:r>
              <w:rPr>
                <w:rFonts w:hint="eastAsia" w:ascii="宋体" w:hAnsi="宋体" w:eastAsia="宋体" w:cs="宋体"/>
                <w:color w:val="auto"/>
                <w:sz w:val="21"/>
                <w:szCs w:val="21"/>
                <w:highlight w:val="none"/>
                <w:u w:val="single"/>
              </w:rPr>
              <w:t xml:space="preserve"> 6 </w:t>
            </w:r>
            <w:r>
              <w:rPr>
                <w:rFonts w:hint="eastAsia" w:ascii="宋体" w:hAnsi="宋体" w:eastAsia="宋体" w:cs="宋体"/>
                <w:color w:val="auto"/>
                <w:sz w:val="21"/>
                <w:szCs w:val="21"/>
                <w:highlight w:val="none"/>
              </w:rPr>
              <w:t>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8</w:t>
            </w:r>
          </w:p>
        </w:tc>
        <w:tc>
          <w:tcPr>
            <w:tcW w:w="1575"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17.3.3（1）</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进度付款证书最低限额：</w:t>
            </w:r>
            <w:r>
              <w:rPr>
                <w:rFonts w:hint="eastAsia" w:ascii="宋体" w:hAnsi="宋体" w:eastAsia="宋体" w:cs="宋体"/>
                <w:color w:val="auto"/>
                <w:sz w:val="21"/>
                <w:szCs w:val="21"/>
                <w:highlight w:val="none"/>
                <w:u w:val="single"/>
                <w:lang w:val="en-US" w:eastAsia="zh-CN"/>
              </w:rPr>
              <w:t xml:space="preserve"> / </w:t>
            </w:r>
            <w:r>
              <w:rPr>
                <w:rFonts w:hint="eastAsia" w:ascii="宋体" w:hAnsi="宋体" w:eastAsia="宋体" w:cs="宋体"/>
                <w:color w:val="auto"/>
                <w:sz w:val="21"/>
                <w:szCs w:val="21"/>
                <w:highlight w:val="none"/>
              </w:rPr>
              <w:t>%签约合同价或</w:t>
            </w:r>
            <w:r>
              <w:rPr>
                <w:rFonts w:hint="eastAsia" w:ascii="宋体" w:hAnsi="宋体" w:eastAsia="宋体" w:cs="宋体"/>
                <w:color w:val="auto"/>
                <w:sz w:val="21"/>
                <w:szCs w:val="21"/>
                <w:highlight w:val="none"/>
                <w:u w:val="single"/>
                <w:lang w:val="en-US" w:eastAsia="zh-CN"/>
              </w:rPr>
              <w:t xml:space="preserve"> 50 </w:t>
            </w:r>
            <w:r>
              <w:rPr>
                <w:rFonts w:hint="eastAsia" w:ascii="宋体" w:hAnsi="宋体" w:eastAsia="宋体" w:cs="宋体"/>
                <w:color w:val="auto"/>
                <w:sz w:val="21"/>
                <w:szCs w:val="21"/>
                <w:highlight w:val="none"/>
              </w:rPr>
              <w:t>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9"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9</w:t>
            </w:r>
          </w:p>
        </w:tc>
        <w:tc>
          <w:tcPr>
            <w:tcW w:w="1575"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17.3.3（2）</w:t>
            </w:r>
          </w:p>
        </w:tc>
        <w:tc>
          <w:tcPr>
            <w:tcW w:w="7545" w:type="dxa"/>
            <w:noWrap w:val="0"/>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210" w:leftChars="100" w:firstLine="0" w:firstLineChars="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逾期付款违约金的利率：按</w:t>
            </w:r>
            <w:r>
              <w:rPr>
                <w:rFonts w:hint="eastAsia" w:ascii="宋体" w:hAnsi="宋体" w:eastAsia="宋体" w:cs="宋体"/>
                <w:color w:val="auto"/>
                <w:sz w:val="21"/>
                <w:szCs w:val="21"/>
                <w:highlight w:val="none"/>
                <w:lang w:val="en-US" w:eastAsia="zh-CN"/>
              </w:rPr>
              <w:t>全国银行间同业拆借中心发布的贷款市场报价利率（LPR）（1年期）加手续费（不计复利）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25"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1575"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17.4.1</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质量保证金金额：</w:t>
            </w:r>
            <w:r>
              <w:rPr>
                <w:rFonts w:hint="eastAsia" w:ascii="宋体" w:hAnsi="宋体" w:eastAsia="宋体" w:cs="宋体"/>
                <w:color w:val="auto"/>
                <w:sz w:val="21"/>
                <w:szCs w:val="21"/>
                <w:highlight w:val="none"/>
                <w:u w:val="single"/>
              </w:rPr>
              <w:t>1.5</w:t>
            </w:r>
            <w:r>
              <w:rPr>
                <w:rFonts w:hint="eastAsia" w:ascii="宋体" w:hAnsi="宋体" w:eastAsia="宋体" w:cs="宋体"/>
                <w:color w:val="auto"/>
                <w:sz w:val="21"/>
                <w:szCs w:val="21"/>
                <w:highlight w:val="none"/>
              </w:rPr>
              <w:t>%合同价格，允许采用现金、支票或工程保函 (包括银行保函、保险机构保证保险保单和融资担保公司保函)形式。</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质量保证金是否计付利息：</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是，利息的计算方式：_____________</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21</w:t>
            </w:r>
          </w:p>
        </w:tc>
        <w:tc>
          <w:tcPr>
            <w:tcW w:w="1575" w:type="dxa"/>
            <w:noWrap w:val="0"/>
            <w:vAlign w:val="center"/>
          </w:tcPr>
          <w:p>
            <w:pPr>
              <w:spacing w:line="3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17.5.1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vertAlign w:val="superscript"/>
              </w:rPr>
            </w:pPr>
            <w:r>
              <w:rPr>
                <w:rFonts w:hint="eastAsia" w:ascii="宋体" w:hAnsi="宋体" w:eastAsia="宋体" w:cs="宋体"/>
                <w:color w:val="auto"/>
                <w:sz w:val="21"/>
                <w:szCs w:val="21"/>
                <w:highlight w:val="none"/>
              </w:rPr>
              <w:t>承包人向监理人提交交工付款申请单（包括相关证明材料）的份数：</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6</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4"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w:t>
            </w:r>
          </w:p>
        </w:tc>
        <w:tc>
          <w:tcPr>
            <w:tcW w:w="1575" w:type="dxa"/>
            <w:noWrap w:val="0"/>
            <w:vAlign w:val="center"/>
          </w:tcPr>
          <w:p>
            <w:pPr>
              <w:spacing w:line="3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17.6.1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承包人向监理人提交最终结清申请单（包括相关证明材料）的份数：</w:t>
            </w:r>
            <w:r>
              <w:rPr>
                <w:rFonts w:hint="eastAsia" w:ascii="宋体" w:hAnsi="宋体" w:eastAsia="宋体" w:cs="宋体"/>
                <w:color w:val="auto"/>
                <w:sz w:val="21"/>
                <w:szCs w:val="21"/>
                <w:highlight w:val="none"/>
                <w:u w:val="single"/>
              </w:rPr>
              <w:t xml:space="preserve"> 6</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4"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3</w:t>
            </w:r>
          </w:p>
        </w:tc>
        <w:tc>
          <w:tcPr>
            <w:tcW w:w="1575"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18.2</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竣工资料的份数：</w:t>
            </w:r>
            <w:r>
              <w:rPr>
                <w:rFonts w:hint="eastAsia" w:ascii="宋体" w:hAnsi="宋体" w:eastAsia="宋体" w:cs="宋体"/>
                <w:color w:val="auto"/>
                <w:sz w:val="21"/>
                <w:szCs w:val="21"/>
                <w:highlight w:val="none"/>
                <w:u w:val="single"/>
              </w:rPr>
              <w:t xml:space="preserve"> 6 </w:t>
            </w:r>
            <w:r>
              <w:rPr>
                <w:rFonts w:hint="eastAsia" w:ascii="宋体" w:hAnsi="宋体" w:eastAsia="宋体" w:cs="宋体"/>
                <w:color w:val="auto"/>
                <w:sz w:val="21"/>
                <w:szCs w:val="21"/>
                <w:highlight w:val="none"/>
              </w:rPr>
              <w:t>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22"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w:t>
            </w:r>
          </w:p>
        </w:tc>
        <w:tc>
          <w:tcPr>
            <w:tcW w:w="1575" w:type="dxa"/>
            <w:noWrap w:val="0"/>
            <w:vAlign w:val="center"/>
          </w:tcPr>
          <w:p>
            <w:pPr>
              <w:spacing w:line="30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18.5.1</w:t>
            </w:r>
          </w:p>
        </w:tc>
        <w:tc>
          <w:tcPr>
            <w:tcW w:w="7545" w:type="dxa"/>
            <w:noWrap w:val="0"/>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210" w:leftChars="100" w:firstLine="0" w:firstLineChars="0"/>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单位工程或工程设备是否需投入施工期运行：</w:t>
            </w:r>
            <w:r>
              <w:rPr>
                <w:rFonts w:hint="eastAsia" w:ascii="宋体" w:hAnsi="宋体" w:eastAsia="宋体" w:cs="宋体"/>
                <w:color w:val="auto"/>
                <w:sz w:val="21"/>
                <w:szCs w:val="21"/>
                <w:highlight w:val="none"/>
                <w:u w:val="single"/>
                <w:lang w:val="en-US" w:eastAsia="zh-CN"/>
              </w:rPr>
              <w:t xml:space="preserve"> 否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210" w:leftChars="100" w:firstLine="0" w:firstLineChars="0"/>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如单位工程或工程设备需要进行施工期运行，需要施工期运行的单位工程或工程设备规定如下：</w:t>
            </w:r>
            <w:r>
              <w:rPr>
                <w:rFonts w:hint="eastAsia" w:ascii="宋体" w:hAnsi="宋体" w:eastAsia="宋体" w:cs="宋体"/>
                <w:color w:val="auto"/>
                <w:sz w:val="21"/>
                <w:szCs w:val="21"/>
                <w:highlight w:val="none"/>
                <w:u w:val="single"/>
                <w:lang w:val="en-US" w:eastAsia="zh-CN"/>
              </w:rPr>
              <w:t xml:space="preserve"> /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4"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w:t>
            </w:r>
          </w:p>
        </w:tc>
        <w:tc>
          <w:tcPr>
            <w:tcW w:w="1575" w:type="dxa"/>
            <w:noWrap w:val="0"/>
            <w:vAlign w:val="center"/>
          </w:tcPr>
          <w:p>
            <w:pPr>
              <w:spacing w:line="30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18.6.1</w:t>
            </w:r>
          </w:p>
        </w:tc>
        <w:tc>
          <w:tcPr>
            <w:tcW w:w="7545" w:type="dxa"/>
            <w:noWrap w:val="0"/>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210" w:leftChars="100" w:firstLine="0" w:firstLineChars="0"/>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本工程及工程设备是否进行试运行：</w:t>
            </w:r>
            <w:r>
              <w:rPr>
                <w:rFonts w:hint="eastAsia" w:ascii="宋体" w:hAnsi="宋体" w:eastAsia="宋体" w:cs="宋体"/>
                <w:color w:val="auto"/>
                <w:sz w:val="21"/>
                <w:szCs w:val="21"/>
                <w:highlight w:val="none"/>
                <w:u w:val="single"/>
                <w:lang w:val="en-US" w:eastAsia="zh-CN"/>
              </w:rPr>
              <w:t xml:space="preserve"> 否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210" w:leftChars="100" w:firstLine="0" w:firstLineChars="0"/>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如本工程及工程设备需要进行试运行，试运行的具体规定如下：</w:t>
            </w:r>
            <w:r>
              <w:rPr>
                <w:rFonts w:hint="eastAsia" w:ascii="宋体" w:hAnsi="宋体" w:eastAsia="宋体" w:cs="宋体"/>
                <w:color w:val="auto"/>
                <w:sz w:val="21"/>
                <w:szCs w:val="21"/>
                <w:highlight w:val="none"/>
                <w:u w:val="single"/>
                <w:lang w:val="en-US" w:eastAsia="zh-CN"/>
              </w:rPr>
              <w:t xml:space="preserve"> /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4"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26</w:t>
            </w:r>
          </w:p>
        </w:tc>
        <w:tc>
          <w:tcPr>
            <w:tcW w:w="1575" w:type="dxa"/>
            <w:noWrap w:val="0"/>
            <w:vAlign w:val="center"/>
          </w:tcPr>
          <w:p>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19.7(1)</w:t>
            </w:r>
          </w:p>
        </w:tc>
        <w:tc>
          <w:tcPr>
            <w:tcW w:w="7545" w:type="dxa"/>
            <w:noWrap w:val="0"/>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保修期：自实际交工日期起计算</w:t>
            </w:r>
            <w:r>
              <w:rPr>
                <w:rFonts w:hint="eastAsia" w:ascii="宋体" w:hAnsi="宋体" w:eastAsia="宋体" w:cs="宋体"/>
                <w:color w:val="auto"/>
                <w:sz w:val="21"/>
                <w:szCs w:val="21"/>
                <w:highlight w:val="none"/>
                <w:u w:val="single"/>
                <w:lang w:val="en-US" w:eastAsia="zh-CN"/>
              </w:rPr>
              <w:t xml:space="preserve"> 2 </w:t>
            </w:r>
            <w:r>
              <w:rPr>
                <w:rFonts w:hint="eastAsia" w:ascii="宋体" w:hAnsi="宋体" w:eastAsia="宋体" w:cs="宋体"/>
                <w:color w:val="auto"/>
                <w:sz w:val="21"/>
                <w:szCs w:val="21"/>
                <w:highlight w:val="none"/>
                <w:lang w:val="en-US" w:eastAsia="zh-CN"/>
              </w:rPr>
              <w:t>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4"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7</w:t>
            </w:r>
          </w:p>
        </w:tc>
        <w:tc>
          <w:tcPr>
            <w:tcW w:w="1575"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建筑工程一切险的保险费率：</w:t>
            </w:r>
            <w:r>
              <w:rPr>
                <w:rFonts w:hint="eastAsia" w:ascii="宋体" w:hAnsi="宋体" w:eastAsia="宋体" w:cs="宋体"/>
                <w:color w:val="auto"/>
                <w:sz w:val="21"/>
                <w:szCs w:val="21"/>
                <w:highlight w:val="none"/>
                <w:u w:val="single"/>
                <w:lang w:val="en-US" w:eastAsia="zh-CN"/>
              </w:rPr>
              <w:t xml:space="preserve"> 3 </w:t>
            </w:r>
            <w:r>
              <w:rPr>
                <w:rFonts w:hint="eastAsia" w:ascii="宋体" w:hAnsi="宋体" w:eastAsia="宋体" w:cs="宋体"/>
                <w:i/>
                <w:color w:val="auto"/>
                <w:sz w:val="21"/>
                <w:szCs w:val="21"/>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8</w:t>
            </w:r>
          </w:p>
        </w:tc>
        <w:tc>
          <w:tcPr>
            <w:tcW w:w="1575"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20.4.2</w:t>
            </w: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highlight w:val="none"/>
                <w:lang w:val="en-US" w:eastAsia="zh-CN"/>
              </w:rPr>
              <w:t>安全生产责任保险（已包含第三者责任险）为工程量清单第100章（不含工程一切险及安全生产责任保险费、安全生产费用）至第700章的合计金额，保险费率为2.5‰计；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2"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9</w:t>
            </w:r>
          </w:p>
        </w:tc>
        <w:tc>
          <w:tcPr>
            <w:tcW w:w="1575"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w:t>
            </w:r>
          </w:p>
        </w:tc>
        <w:tc>
          <w:tcPr>
            <w:tcW w:w="7545" w:type="dxa"/>
            <w:noWrap w:val="0"/>
            <w:vAlign w:val="center"/>
          </w:tcPr>
          <w:p>
            <w:pPr>
              <w:keepNext w:val="0"/>
              <w:keepLines w:val="0"/>
              <w:pageBreakBefore w:val="0"/>
              <w:widowControl/>
              <w:tabs>
                <w:tab w:val="left" w:pos="2790"/>
              </w:tabs>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bidi="ar"/>
              </w:rPr>
              <w:t>争议的最终解决方式：</w:t>
            </w:r>
            <w:r>
              <w:rPr>
                <w:rFonts w:hint="eastAsia" w:ascii="宋体" w:hAnsi="宋体" w:eastAsia="宋体" w:cs="宋体"/>
                <w:color w:val="auto"/>
                <w:sz w:val="21"/>
                <w:szCs w:val="21"/>
                <w:highlight w:val="none"/>
                <w:u w:val="single"/>
                <w:lang w:bidi="ar"/>
              </w:rPr>
              <w:t>诉讼</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诉讼管辖：</w:t>
            </w:r>
            <w:r>
              <w:rPr>
                <w:rFonts w:hint="eastAsia" w:ascii="宋体" w:hAnsi="宋体" w:eastAsia="宋体" w:cs="宋体"/>
                <w:color w:val="auto"/>
                <w:sz w:val="21"/>
                <w:szCs w:val="21"/>
                <w:highlight w:val="none"/>
                <w:u w:val="single"/>
                <w:lang w:eastAsia="zh-CN" w:bidi="ar"/>
              </w:rPr>
              <w:t>嵊州市</w:t>
            </w:r>
            <w:r>
              <w:rPr>
                <w:rFonts w:hint="eastAsia" w:ascii="宋体" w:hAnsi="宋体" w:eastAsia="宋体" w:cs="宋体"/>
                <w:color w:val="auto"/>
                <w:sz w:val="21"/>
                <w:szCs w:val="21"/>
                <w:highlight w:val="none"/>
                <w:u w:val="single"/>
                <w:lang w:bidi="ar"/>
              </w:rPr>
              <w:t>人民法院。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2" w:hRule="atLeast"/>
        </w:trPr>
        <w:tc>
          <w:tcPr>
            <w:tcW w:w="720" w:type="dxa"/>
            <w:noWrap w:val="0"/>
            <w:vAlign w:val="center"/>
          </w:tcPr>
          <w:p>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575" w:type="dxa"/>
            <w:noWrap w:val="0"/>
            <w:vAlign w:val="center"/>
          </w:tcPr>
          <w:p>
            <w:pPr>
              <w:spacing w:line="300" w:lineRule="exact"/>
              <w:jc w:val="center"/>
              <w:rPr>
                <w:rFonts w:hint="eastAsia" w:ascii="宋体" w:hAnsi="宋体" w:eastAsia="宋体" w:cs="宋体"/>
                <w:color w:val="auto"/>
                <w:sz w:val="21"/>
                <w:szCs w:val="21"/>
                <w:highlight w:val="none"/>
              </w:rPr>
            </w:pPr>
          </w:p>
        </w:tc>
        <w:tc>
          <w:tcPr>
            <w:tcW w:w="754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210" w:firstLineChars="100"/>
              <w:jc w:val="left"/>
              <w:textAlignment w:val="baseline"/>
              <w:rPr>
                <w:rFonts w:hint="eastAsia" w:ascii="宋体" w:hAnsi="宋体" w:eastAsia="宋体" w:cs="宋体"/>
                <w:color w:val="auto"/>
                <w:sz w:val="21"/>
                <w:szCs w:val="21"/>
                <w:highlight w:val="none"/>
                <w:lang w:bidi="ar"/>
              </w:rPr>
            </w:pPr>
          </w:p>
        </w:tc>
      </w:tr>
    </w:tbl>
    <w:p>
      <w:pPr>
        <w:pStyle w:val="29"/>
        <w:spacing w:before="120" w:beforeLines="50" w:after="120" w:afterLines="50"/>
        <w:jc w:val="center"/>
        <w:outlineLvl w:val="9"/>
        <w:rPr>
          <w:rFonts w:hint="eastAsia" w:ascii="宋体" w:hAnsi="宋体" w:eastAsia="宋体" w:cs="宋体"/>
          <w:b/>
          <w:color w:val="auto"/>
          <w:sz w:val="36"/>
          <w:szCs w:val="36"/>
          <w:highlight w:val="none"/>
        </w:rPr>
      </w:pPr>
      <w:r>
        <w:rPr>
          <w:rFonts w:hint="eastAsia"/>
          <w:b/>
          <w:color w:val="auto"/>
          <w:sz w:val="30"/>
          <w:szCs w:val="30"/>
          <w:highlight w:val="none"/>
        </w:rPr>
        <w:br w:type="page"/>
      </w:r>
      <w:bookmarkStart w:id="155" w:name="_Toc29229"/>
      <w:bookmarkStart w:id="156" w:name="_Toc26833"/>
      <w:bookmarkStart w:id="157" w:name="_Toc22760"/>
      <w:r>
        <w:rPr>
          <w:rFonts w:hint="eastAsia" w:ascii="宋体" w:hAnsi="宋体" w:eastAsia="宋体" w:cs="宋体"/>
          <w:b/>
          <w:color w:val="auto"/>
          <w:sz w:val="36"/>
          <w:szCs w:val="36"/>
          <w:highlight w:val="none"/>
        </w:rPr>
        <w:t>项目专用合同条款</w:t>
      </w:r>
      <w:bookmarkEnd w:id="155"/>
      <w:bookmarkEnd w:id="156"/>
      <w:bookmarkEnd w:id="157"/>
      <w:bookmarkStart w:id="158" w:name="_Toc287853472"/>
      <w:bookmarkStart w:id="159" w:name="_Toc13077"/>
      <w:bookmarkStart w:id="160" w:name="_Toc288491648"/>
      <w:bookmarkStart w:id="161" w:name="_Toc282779632"/>
      <w:bookmarkStart w:id="162" w:name="_Toc2110"/>
      <w:bookmarkStart w:id="163" w:name="_Toc282779123"/>
      <w:bookmarkStart w:id="164" w:name="_Toc8134"/>
      <w:bookmarkStart w:id="165" w:name="_Toc282787574"/>
      <w:bookmarkStart w:id="166" w:name="_Toc14661"/>
      <w:bookmarkStart w:id="167" w:name="_Toc283794320"/>
      <w:bookmarkStart w:id="168" w:name="_Toc10110"/>
    </w:p>
    <w:p>
      <w:pPr>
        <w:pStyle w:val="29"/>
        <w:spacing w:before="120" w:beforeLines="50" w:after="120" w:afterLines="50"/>
        <w:jc w:val="center"/>
        <w:outlineLvl w:val="9"/>
        <w:rPr>
          <w:rFonts w:hint="eastAsia" w:ascii="宋体" w:hAnsi="宋体" w:eastAsia="宋体" w:cs="宋体"/>
          <w:b/>
          <w:color w:val="auto"/>
          <w:sz w:val="36"/>
          <w:szCs w:val="36"/>
          <w:highlight w:val="none"/>
        </w:rPr>
      </w:pPr>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9"/>
        <w:rPr>
          <w:rFonts w:hint="eastAsia" w:ascii="宋体" w:hAnsi="宋体" w:eastAsia="宋体" w:cs="宋体"/>
          <w:color w:val="auto"/>
          <w:sz w:val="21"/>
          <w:szCs w:val="21"/>
          <w:highlight w:val="none"/>
        </w:rPr>
      </w:pPr>
      <w:bookmarkStart w:id="169" w:name="_Toc4250"/>
      <w:bookmarkStart w:id="170" w:name="_Toc14143"/>
      <w:bookmarkStart w:id="171" w:name="_Toc20326"/>
      <w:bookmarkStart w:id="172" w:name="_Toc1450"/>
      <w:bookmarkStart w:id="173" w:name="_Toc14877"/>
      <w:bookmarkStart w:id="174" w:name="_Toc30425"/>
      <w:bookmarkStart w:id="175" w:name="_Toc27701"/>
      <w:bookmarkStart w:id="176" w:name="_Toc31495"/>
      <w:bookmarkStart w:id="177" w:name="_Toc31057"/>
      <w:bookmarkStart w:id="178" w:name="_Toc31375"/>
      <w:bookmarkStart w:id="179" w:name="_Toc4393"/>
      <w:r>
        <w:rPr>
          <w:rFonts w:hint="eastAsia" w:ascii="宋体" w:hAnsi="宋体" w:eastAsia="宋体" w:cs="宋体"/>
          <w:color w:val="auto"/>
          <w:sz w:val="21"/>
          <w:szCs w:val="21"/>
          <w:highlight w:val="none"/>
        </w:rPr>
        <w:t>说明：本“项目专用合同条款”根据本项目的特点和实际需要，是对“通用合同条款”、“公路工程专用合 同条款”的补充、细化或约定，应对照“通用合同条款”、“公路工程专用合同条款”中同一编号的条款一起阅读和理解。</w:t>
      </w:r>
      <w:bookmarkEnd w:id="169"/>
      <w:bookmarkEnd w:id="170"/>
      <w:bookmarkEnd w:id="171"/>
      <w:bookmarkEnd w:id="172"/>
      <w:bookmarkEnd w:id="173"/>
      <w:bookmarkEnd w:id="174"/>
      <w:bookmarkEnd w:id="175"/>
      <w:bookmarkEnd w:id="176"/>
      <w:bookmarkEnd w:id="177"/>
      <w:bookmarkEnd w:id="178"/>
      <w:bookmarkEnd w:id="179"/>
    </w:p>
    <w:p>
      <w:pPr>
        <w:pStyle w:val="29"/>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9"/>
        <w:rPr>
          <w:rFonts w:hint="eastAsia" w:ascii="宋体" w:hAnsi="宋体" w:eastAsia="宋体" w:cs="宋体"/>
          <w:color w:val="auto"/>
          <w:spacing w:val="4"/>
          <w:sz w:val="18"/>
          <w:szCs w:val="18"/>
          <w:highlight w:val="none"/>
        </w:rPr>
      </w:pPr>
    </w:p>
    <w:p>
      <w:pPr>
        <w:pStyle w:val="29"/>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3"/>
        <w:rPr>
          <w:rFonts w:hint="eastAsia" w:ascii="宋体" w:hAnsi="宋体" w:eastAsia="宋体" w:cs="宋体"/>
          <w:b/>
          <w:bCs/>
          <w:color w:val="auto"/>
          <w:sz w:val="28"/>
          <w:szCs w:val="28"/>
          <w:highlight w:val="none"/>
        </w:rPr>
      </w:pPr>
      <w:bookmarkStart w:id="180" w:name="_Toc17135"/>
      <w:bookmarkStart w:id="181" w:name="_Toc9400"/>
      <w:bookmarkStart w:id="182" w:name="_Toc1691"/>
      <w:r>
        <w:rPr>
          <w:rFonts w:hint="eastAsia" w:ascii="宋体" w:hAnsi="宋体" w:eastAsia="宋体" w:cs="宋体"/>
          <w:b/>
          <w:bCs/>
          <w:color w:val="auto"/>
          <w:sz w:val="28"/>
          <w:szCs w:val="28"/>
          <w:highlight w:val="none"/>
        </w:rPr>
        <w:t>1．一般约定</w:t>
      </w:r>
      <w:bookmarkEnd w:id="158"/>
      <w:bookmarkEnd w:id="159"/>
      <w:bookmarkEnd w:id="160"/>
      <w:bookmarkEnd w:id="161"/>
      <w:bookmarkEnd w:id="162"/>
      <w:bookmarkEnd w:id="163"/>
      <w:bookmarkEnd w:id="164"/>
      <w:bookmarkEnd w:id="165"/>
      <w:bookmarkEnd w:id="166"/>
      <w:bookmarkEnd w:id="167"/>
      <w:bookmarkEnd w:id="168"/>
      <w:bookmarkEnd w:id="180"/>
      <w:bookmarkEnd w:id="181"/>
      <w:bookmarkEnd w:id="182"/>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rPr>
      </w:pPr>
      <w:bookmarkStart w:id="183" w:name="_Toc288491649"/>
      <w:bookmarkStart w:id="184" w:name="_Toc282779124"/>
      <w:bookmarkStart w:id="185" w:name="_Toc287853473"/>
      <w:bookmarkStart w:id="186" w:name="_Toc282779633"/>
      <w:bookmarkStart w:id="187" w:name="_Toc282784895"/>
      <w:bookmarkStart w:id="188" w:name="_Toc283794321"/>
      <w:bookmarkStart w:id="189" w:name="_Toc282787575"/>
      <w:bookmarkStart w:id="190" w:name="_Toc11271"/>
      <w:bookmarkStart w:id="191" w:name="_Toc7362"/>
      <w:bookmarkStart w:id="192" w:name="_Toc7354"/>
      <w:r>
        <w:rPr>
          <w:rFonts w:hint="eastAsia" w:ascii="宋体" w:hAnsi="宋体" w:eastAsia="宋体" w:cs="宋体"/>
          <w:b/>
          <w:color w:val="auto"/>
          <w:sz w:val="21"/>
          <w:szCs w:val="21"/>
          <w:highlight w:val="none"/>
        </w:rPr>
        <w:t>1.1</w:t>
      </w:r>
      <w:r>
        <w:rPr>
          <w:rFonts w:hint="eastAsia" w:ascii="宋体" w:hAnsi="宋体" w:eastAsia="宋体" w:cs="宋体"/>
          <w:color w:val="auto"/>
          <w:sz w:val="21"/>
          <w:szCs w:val="21"/>
          <w:highlight w:val="none"/>
        </w:rPr>
        <w:t xml:space="preserve">  词语定义</w:t>
      </w:r>
      <w:bookmarkEnd w:id="183"/>
      <w:bookmarkEnd w:id="184"/>
      <w:bookmarkEnd w:id="185"/>
      <w:bookmarkEnd w:id="186"/>
      <w:bookmarkEnd w:id="187"/>
      <w:bookmarkEnd w:id="188"/>
      <w:bookmarkEnd w:id="189"/>
      <w:bookmarkEnd w:id="190"/>
      <w:bookmarkEnd w:id="191"/>
      <w:bookmarkEnd w:id="192"/>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20" w:firstLineChars="200"/>
        <w:textAlignment w:val="baseline"/>
        <w:outlineLvl w:val="9"/>
        <w:rPr>
          <w:rFonts w:hint="eastAsia" w:ascii="宋体" w:hAnsi="宋体" w:eastAsia="宋体" w:cs="宋体"/>
          <w:color w:val="auto"/>
          <w:sz w:val="21"/>
          <w:szCs w:val="21"/>
          <w:highlight w:val="none"/>
        </w:rPr>
      </w:pPr>
      <w:bookmarkStart w:id="193" w:name="_Toc11091"/>
      <w:bookmarkStart w:id="194" w:name="_Toc11851"/>
      <w:bookmarkStart w:id="195" w:name="_Toc26308"/>
      <w:bookmarkStart w:id="196" w:name="_Toc21397"/>
      <w:bookmarkStart w:id="197" w:name="_Toc13088"/>
      <w:bookmarkStart w:id="198" w:name="_Toc17275"/>
      <w:bookmarkStart w:id="199" w:name="_Toc28100"/>
      <w:bookmarkStart w:id="200" w:name="_Toc8747"/>
      <w:bookmarkStart w:id="201" w:name="_Toc32143"/>
      <w:r>
        <w:rPr>
          <w:rFonts w:hint="eastAsia" w:ascii="宋体" w:hAnsi="宋体" w:eastAsia="宋体" w:cs="宋体"/>
          <w:color w:val="auto"/>
          <w:sz w:val="21"/>
          <w:szCs w:val="21"/>
          <w:highlight w:val="none"/>
        </w:rPr>
        <w:t>1.1.1 合同</w:t>
      </w:r>
      <w:bookmarkEnd w:id="193"/>
      <w:bookmarkEnd w:id="194"/>
      <w:bookmarkEnd w:id="195"/>
      <w:bookmarkEnd w:id="196"/>
      <w:bookmarkEnd w:id="197"/>
      <w:bookmarkEnd w:id="198"/>
      <w:bookmarkEnd w:id="199"/>
      <w:bookmarkEnd w:id="200"/>
      <w:bookmarkEnd w:id="201"/>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20" w:firstLineChars="200"/>
        <w:textAlignment w:val="baseline"/>
        <w:outlineLvl w:val="9"/>
        <w:rPr>
          <w:rFonts w:hint="eastAsia" w:ascii="宋体" w:hAnsi="宋体" w:eastAsia="宋体" w:cs="宋体"/>
          <w:color w:val="auto"/>
          <w:sz w:val="21"/>
          <w:szCs w:val="21"/>
          <w:highlight w:val="none"/>
        </w:rPr>
      </w:pPr>
      <w:bookmarkStart w:id="202" w:name="_Toc14824"/>
      <w:bookmarkStart w:id="203" w:name="_Toc28963"/>
      <w:bookmarkStart w:id="204" w:name="_Toc17012"/>
      <w:bookmarkStart w:id="205" w:name="_Toc1790"/>
      <w:bookmarkStart w:id="206" w:name="_Toc4680"/>
      <w:bookmarkStart w:id="207" w:name="_Toc10564"/>
      <w:bookmarkStart w:id="208" w:name="_Toc19744"/>
      <w:bookmarkStart w:id="209" w:name="_Toc2028"/>
      <w:bookmarkStart w:id="210" w:name="_Toc7220"/>
      <w:bookmarkStart w:id="211" w:name="_Toc6608"/>
      <w:bookmarkStart w:id="212" w:name="_Toc8609"/>
      <w:bookmarkStart w:id="213" w:name="_Toc21357"/>
      <w:bookmarkStart w:id="214" w:name="_Toc3774"/>
      <w:bookmarkStart w:id="215" w:name="_Toc287853474"/>
      <w:bookmarkStart w:id="216" w:name="_Toc282787576"/>
      <w:bookmarkStart w:id="217" w:name="_Toc282779634"/>
      <w:bookmarkStart w:id="218" w:name="_Toc288491650"/>
      <w:bookmarkStart w:id="219" w:name="_Toc19626"/>
      <w:bookmarkStart w:id="220" w:name="_Toc283794322"/>
      <w:bookmarkStart w:id="221" w:name="_Toc282779125"/>
      <w:bookmarkStart w:id="222" w:name="_Toc7096"/>
      <w:r>
        <w:rPr>
          <w:rFonts w:hint="eastAsia" w:ascii="宋体" w:hAnsi="宋体" w:eastAsia="宋体" w:cs="宋体"/>
          <w:color w:val="auto"/>
          <w:sz w:val="21"/>
          <w:szCs w:val="21"/>
          <w:highlight w:val="none"/>
        </w:rPr>
        <w:t>第1.1.1.8目细化为：</w:t>
      </w:r>
      <w:bookmarkEnd w:id="202"/>
      <w:bookmarkEnd w:id="203"/>
      <w:bookmarkEnd w:id="204"/>
      <w:bookmarkEnd w:id="205"/>
      <w:bookmarkEnd w:id="206"/>
      <w:bookmarkEnd w:id="207"/>
      <w:bookmarkEnd w:id="208"/>
      <w:bookmarkEnd w:id="209"/>
      <w:bookmarkEnd w:id="210"/>
      <w:bookmarkEnd w:id="211"/>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20" w:firstLineChars="200"/>
        <w:textAlignment w:val="baseline"/>
        <w:outlineLvl w:val="9"/>
        <w:rPr>
          <w:rFonts w:hint="eastAsia" w:ascii="宋体" w:hAnsi="宋体" w:eastAsia="宋体" w:cs="宋体"/>
          <w:color w:val="auto"/>
          <w:sz w:val="21"/>
          <w:szCs w:val="21"/>
          <w:highlight w:val="none"/>
        </w:rPr>
      </w:pPr>
      <w:bookmarkStart w:id="223" w:name="_Toc28070"/>
      <w:bookmarkStart w:id="224" w:name="_Toc33"/>
      <w:bookmarkStart w:id="225" w:name="_Toc8185"/>
      <w:bookmarkStart w:id="226" w:name="_Toc12786"/>
      <w:bookmarkStart w:id="227" w:name="_Toc9060"/>
      <w:bookmarkStart w:id="228" w:name="_Toc32207"/>
      <w:bookmarkStart w:id="229" w:name="_Toc10226"/>
      <w:bookmarkStart w:id="230" w:name="_Toc956"/>
      <w:bookmarkStart w:id="231" w:name="_Toc26917"/>
      <w:bookmarkStart w:id="232" w:name="_Toc27582"/>
      <w:r>
        <w:rPr>
          <w:rFonts w:hint="eastAsia" w:ascii="宋体" w:hAnsi="宋体" w:eastAsia="宋体" w:cs="宋体"/>
          <w:color w:val="auto"/>
          <w:sz w:val="21"/>
          <w:szCs w:val="21"/>
          <w:highlight w:val="none"/>
        </w:rPr>
        <w:t>1.1.1.8 已标价工程量清单：指构成合同文件组成部分的已标明价格、经算术性错误修正及其他错误修正(如有)且承包人已确认的最终的工程量清单，包括工程量清单说明、投标报价说明、其他说明及工程量清单各项表格(工程量清单表___、表___、 ……)。</w:t>
      </w:r>
      <w:bookmarkEnd w:id="223"/>
      <w:bookmarkEnd w:id="224"/>
      <w:bookmarkEnd w:id="225"/>
      <w:bookmarkEnd w:id="226"/>
      <w:bookmarkEnd w:id="227"/>
      <w:bookmarkEnd w:id="228"/>
      <w:bookmarkEnd w:id="229"/>
      <w:bookmarkEnd w:id="230"/>
      <w:bookmarkEnd w:id="231"/>
      <w:bookmarkEnd w:id="232"/>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rPr>
      </w:pPr>
      <w:bookmarkStart w:id="233" w:name="_Toc318"/>
      <w:bookmarkStart w:id="234" w:name="_Toc22922"/>
      <w:r>
        <w:rPr>
          <w:rFonts w:hint="eastAsia" w:ascii="宋体" w:hAnsi="宋体" w:eastAsia="宋体" w:cs="宋体"/>
          <w:color w:val="auto"/>
          <w:sz w:val="21"/>
          <w:szCs w:val="21"/>
          <w:highlight w:val="none"/>
        </w:rPr>
        <w:t>1.4 合同文件的优先顺序</w:t>
      </w:r>
      <w:bookmarkEnd w:id="233"/>
      <w:bookmarkEnd w:id="234"/>
      <w:r>
        <w:rPr>
          <w:rFonts w:hint="eastAsia" w:ascii="宋体" w:hAnsi="宋体" w:eastAsia="宋体" w:cs="宋体"/>
          <w:color w:val="auto"/>
          <w:sz w:val="21"/>
          <w:szCs w:val="21"/>
          <w:highlight w:val="none"/>
        </w:rPr>
        <w:t xml:space="preserve"> </w:t>
      </w:r>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20" w:firstLineChars="200"/>
        <w:textAlignment w:val="baseline"/>
        <w:outlineLvl w:val="9"/>
        <w:rPr>
          <w:rFonts w:hint="eastAsia" w:ascii="宋体" w:hAnsi="宋体" w:eastAsia="宋体" w:cs="宋体"/>
          <w:color w:val="auto"/>
          <w:sz w:val="21"/>
          <w:szCs w:val="21"/>
          <w:highlight w:val="none"/>
        </w:rPr>
      </w:pPr>
      <w:bookmarkStart w:id="235" w:name="_Toc7190"/>
      <w:bookmarkStart w:id="236" w:name="_Toc19732"/>
      <w:bookmarkStart w:id="237" w:name="_Toc27732"/>
      <w:bookmarkStart w:id="238" w:name="_Toc7520"/>
      <w:bookmarkStart w:id="239" w:name="_Toc32360"/>
      <w:bookmarkStart w:id="240" w:name="_Toc639"/>
      <w:bookmarkStart w:id="241" w:name="_Toc1939"/>
      <w:bookmarkStart w:id="242" w:name="_Toc18906"/>
      <w:bookmarkStart w:id="243" w:name="_Toc24304"/>
      <w:r>
        <w:rPr>
          <w:rFonts w:hint="eastAsia" w:ascii="宋体" w:hAnsi="宋体" w:eastAsia="宋体" w:cs="宋体"/>
          <w:color w:val="auto"/>
          <w:sz w:val="21"/>
          <w:szCs w:val="21"/>
          <w:highlight w:val="none"/>
        </w:rPr>
        <w:t>第1.4 款约定为：</w:t>
      </w:r>
      <w:bookmarkEnd w:id="235"/>
      <w:bookmarkEnd w:id="236"/>
      <w:bookmarkEnd w:id="237"/>
      <w:bookmarkEnd w:id="238"/>
      <w:bookmarkEnd w:id="239"/>
      <w:bookmarkEnd w:id="240"/>
      <w:bookmarkEnd w:id="241"/>
      <w:bookmarkEnd w:id="242"/>
      <w:bookmarkEnd w:id="243"/>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20" w:firstLineChars="200"/>
        <w:textAlignment w:val="baseline"/>
        <w:outlineLvl w:val="9"/>
        <w:rPr>
          <w:rFonts w:hint="eastAsia" w:ascii="宋体" w:hAnsi="宋体" w:eastAsia="宋体" w:cs="宋体"/>
          <w:color w:val="auto"/>
          <w:sz w:val="21"/>
          <w:szCs w:val="21"/>
          <w:highlight w:val="none"/>
        </w:rPr>
      </w:pPr>
      <w:bookmarkStart w:id="244" w:name="_Toc26994"/>
      <w:bookmarkStart w:id="245" w:name="_Toc16597"/>
      <w:bookmarkStart w:id="246" w:name="_Toc22999"/>
      <w:bookmarkStart w:id="247" w:name="_Toc28902"/>
      <w:bookmarkStart w:id="248" w:name="_Toc1587"/>
      <w:bookmarkStart w:id="249" w:name="_Toc248"/>
      <w:bookmarkStart w:id="250" w:name="_Toc22105"/>
      <w:bookmarkStart w:id="251" w:name="_Toc15312"/>
      <w:bookmarkStart w:id="252" w:name="_Toc29382"/>
      <w:r>
        <w:rPr>
          <w:rFonts w:hint="eastAsia" w:ascii="宋体" w:hAnsi="宋体" w:eastAsia="宋体" w:cs="宋体"/>
          <w:color w:val="auto"/>
          <w:sz w:val="21"/>
          <w:szCs w:val="21"/>
          <w:highlight w:val="none"/>
        </w:rPr>
        <w:t>组成合同的各项文件应互相解释，互为说明。解释合同文件的优先顺序如下：</w:t>
      </w:r>
      <w:bookmarkEnd w:id="244"/>
      <w:bookmarkEnd w:id="245"/>
      <w:bookmarkEnd w:id="246"/>
      <w:bookmarkEnd w:id="247"/>
      <w:bookmarkEnd w:id="248"/>
      <w:bookmarkEnd w:id="249"/>
      <w:bookmarkEnd w:id="250"/>
      <w:bookmarkEnd w:id="251"/>
      <w:bookmarkEnd w:id="252"/>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20" w:firstLineChars="200"/>
        <w:textAlignment w:val="baseline"/>
        <w:outlineLvl w:val="9"/>
        <w:rPr>
          <w:rFonts w:hint="eastAsia" w:ascii="宋体" w:hAnsi="宋体" w:eastAsia="宋体" w:cs="宋体"/>
          <w:color w:val="auto"/>
          <w:sz w:val="21"/>
          <w:szCs w:val="21"/>
          <w:highlight w:val="none"/>
        </w:rPr>
      </w:pPr>
      <w:bookmarkStart w:id="253" w:name="_Toc25594"/>
      <w:bookmarkStart w:id="254" w:name="_Toc13173"/>
      <w:bookmarkStart w:id="255" w:name="_Toc11472"/>
      <w:bookmarkStart w:id="256" w:name="_Toc15195"/>
      <w:bookmarkStart w:id="257" w:name="_Toc24044"/>
      <w:bookmarkStart w:id="258" w:name="_Toc11629"/>
      <w:bookmarkStart w:id="259" w:name="_Toc25930"/>
      <w:bookmarkStart w:id="260" w:name="_Toc2264"/>
      <w:bookmarkStart w:id="261" w:name="_Toc25620"/>
      <w:r>
        <w:rPr>
          <w:rFonts w:hint="eastAsia" w:ascii="宋体" w:hAnsi="宋体" w:eastAsia="宋体" w:cs="宋体"/>
          <w:color w:val="auto"/>
          <w:sz w:val="21"/>
          <w:szCs w:val="21"/>
          <w:highlight w:val="none"/>
        </w:rPr>
        <w:t>(1)合同协议书及各种合同附件(含廉政合同、安全生产合同、工程质量责任合同、工程资金监管协议及评标期间和合同谈判过程中的澄清文件和补充资料)；</w:t>
      </w:r>
      <w:bookmarkEnd w:id="253"/>
      <w:bookmarkEnd w:id="254"/>
      <w:bookmarkEnd w:id="255"/>
      <w:bookmarkEnd w:id="256"/>
      <w:bookmarkEnd w:id="257"/>
      <w:bookmarkEnd w:id="258"/>
      <w:bookmarkEnd w:id="259"/>
      <w:bookmarkEnd w:id="260"/>
      <w:bookmarkEnd w:id="261"/>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20" w:firstLineChars="200"/>
        <w:textAlignment w:val="baseline"/>
        <w:outlineLvl w:val="9"/>
        <w:rPr>
          <w:rFonts w:hint="eastAsia" w:ascii="宋体" w:hAnsi="宋体" w:eastAsia="宋体" w:cs="宋体"/>
          <w:color w:val="auto"/>
          <w:sz w:val="21"/>
          <w:szCs w:val="21"/>
          <w:highlight w:val="none"/>
        </w:rPr>
      </w:pPr>
      <w:bookmarkStart w:id="262" w:name="_Toc12782"/>
      <w:bookmarkStart w:id="263" w:name="_Toc19893"/>
      <w:bookmarkStart w:id="264" w:name="_Toc1093"/>
      <w:bookmarkStart w:id="265" w:name="_Toc30979"/>
      <w:bookmarkStart w:id="266" w:name="_Toc3992"/>
      <w:bookmarkStart w:id="267" w:name="_Toc6565"/>
      <w:bookmarkStart w:id="268" w:name="_Toc15953"/>
      <w:bookmarkStart w:id="269" w:name="_Toc23846"/>
      <w:bookmarkStart w:id="270" w:name="_Toc25296"/>
      <w:r>
        <w:rPr>
          <w:rFonts w:hint="eastAsia" w:ascii="宋体" w:hAnsi="宋体" w:eastAsia="宋体" w:cs="宋体"/>
          <w:color w:val="auto"/>
          <w:sz w:val="21"/>
          <w:szCs w:val="21"/>
          <w:highlight w:val="none"/>
        </w:rPr>
        <w:t>(2)中标通知书；</w:t>
      </w:r>
      <w:bookmarkEnd w:id="262"/>
      <w:bookmarkEnd w:id="263"/>
      <w:bookmarkEnd w:id="264"/>
      <w:bookmarkEnd w:id="265"/>
      <w:bookmarkEnd w:id="266"/>
      <w:bookmarkEnd w:id="267"/>
      <w:bookmarkEnd w:id="268"/>
      <w:bookmarkEnd w:id="269"/>
      <w:bookmarkEnd w:id="270"/>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20" w:firstLineChars="200"/>
        <w:textAlignment w:val="baseline"/>
        <w:outlineLvl w:val="9"/>
        <w:rPr>
          <w:rFonts w:hint="eastAsia" w:ascii="宋体" w:hAnsi="宋体" w:eastAsia="宋体" w:cs="宋体"/>
          <w:color w:val="auto"/>
          <w:sz w:val="21"/>
          <w:szCs w:val="21"/>
          <w:highlight w:val="none"/>
        </w:rPr>
      </w:pPr>
      <w:bookmarkStart w:id="271" w:name="_Toc5885"/>
      <w:bookmarkStart w:id="272" w:name="_Toc8711"/>
      <w:bookmarkStart w:id="273" w:name="_Toc24136"/>
      <w:bookmarkStart w:id="274" w:name="_Toc31242"/>
      <w:bookmarkStart w:id="275" w:name="_Toc4075"/>
      <w:bookmarkStart w:id="276" w:name="_Toc23799"/>
      <w:bookmarkStart w:id="277" w:name="_Toc22223"/>
      <w:bookmarkStart w:id="278" w:name="_Toc16457"/>
      <w:bookmarkStart w:id="279" w:name="_Toc18886"/>
      <w:r>
        <w:rPr>
          <w:rFonts w:hint="eastAsia" w:ascii="宋体" w:hAnsi="宋体" w:eastAsia="宋体" w:cs="宋体"/>
          <w:color w:val="auto"/>
          <w:sz w:val="21"/>
          <w:szCs w:val="21"/>
          <w:highlight w:val="none"/>
        </w:rPr>
        <w:t>(3)投标函及投标函附录；</w:t>
      </w:r>
      <w:bookmarkEnd w:id="271"/>
      <w:bookmarkEnd w:id="272"/>
      <w:bookmarkEnd w:id="273"/>
      <w:bookmarkEnd w:id="274"/>
      <w:bookmarkEnd w:id="275"/>
      <w:bookmarkEnd w:id="276"/>
      <w:bookmarkEnd w:id="277"/>
      <w:bookmarkEnd w:id="278"/>
      <w:bookmarkEnd w:id="279"/>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20" w:firstLineChars="200"/>
        <w:textAlignment w:val="baseline"/>
        <w:outlineLvl w:val="9"/>
        <w:rPr>
          <w:rFonts w:hint="eastAsia" w:ascii="宋体" w:hAnsi="宋体" w:eastAsia="宋体" w:cs="宋体"/>
          <w:color w:val="auto"/>
          <w:sz w:val="21"/>
          <w:szCs w:val="21"/>
          <w:highlight w:val="none"/>
        </w:rPr>
      </w:pPr>
      <w:bookmarkStart w:id="280" w:name="_Toc2045"/>
      <w:bookmarkStart w:id="281" w:name="_Toc31021"/>
      <w:bookmarkStart w:id="282" w:name="_Toc16730"/>
      <w:bookmarkStart w:id="283" w:name="_Toc28920"/>
      <w:bookmarkStart w:id="284" w:name="_Toc4465"/>
      <w:bookmarkStart w:id="285" w:name="_Toc13354"/>
      <w:bookmarkStart w:id="286" w:name="_Toc32356"/>
      <w:bookmarkStart w:id="287" w:name="_Toc25023"/>
      <w:bookmarkStart w:id="288" w:name="_Toc8166"/>
      <w:r>
        <w:rPr>
          <w:rFonts w:hint="eastAsia" w:ascii="宋体" w:hAnsi="宋体" w:eastAsia="宋体" w:cs="宋体"/>
          <w:color w:val="auto"/>
          <w:sz w:val="21"/>
          <w:szCs w:val="21"/>
          <w:highlight w:val="none"/>
        </w:rPr>
        <w:t>(4)项目专用合同条款 (含招标文件补遗书中与此有关的部分)；</w:t>
      </w:r>
      <w:bookmarkEnd w:id="280"/>
      <w:bookmarkEnd w:id="281"/>
      <w:bookmarkEnd w:id="282"/>
      <w:bookmarkEnd w:id="283"/>
      <w:bookmarkEnd w:id="284"/>
      <w:bookmarkEnd w:id="285"/>
      <w:bookmarkEnd w:id="286"/>
      <w:bookmarkEnd w:id="287"/>
      <w:bookmarkEnd w:id="288"/>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20" w:firstLineChars="200"/>
        <w:textAlignment w:val="baseline"/>
        <w:outlineLvl w:val="9"/>
        <w:rPr>
          <w:rFonts w:hint="eastAsia" w:ascii="宋体" w:hAnsi="宋体" w:eastAsia="宋体" w:cs="宋体"/>
          <w:color w:val="auto"/>
          <w:sz w:val="21"/>
          <w:szCs w:val="21"/>
          <w:highlight w:val="none"/>
        </w:rPr>
      </w:pPr>
      <w:bookmarkStart w:id="289" w:name="_Toc15745"/>
      <w:bookmarkStart w:id="290" w:name="_Toc15430"/>
      <w:bookmarkStart w:id="291" w:name="_Toc27961"/>
      <w:bookmarkStart w:id="292" w:name="_Toc25157"/>
      <w:bookmarkStart w:id="293" w:name="_Toc692"/>
      <w:bookmarkStart w:id="294" w:name="_Toc7246"/>
      <w:bookmarkStart w:id="295" w:name="_Toc28597"/>
      <w:bookmarkStart w:id="296" w:name="_Toc25441"/>
      <w:bookmarkStart w:id="297" w:name="_Toc21896"/>
      <w:r>
        <w:rPr>
          <w:rFonts w:hint="eastAsia" w:ascii="宋体" w:hAnsi="宋体" w:eastAsia="宋体" w:cs="宋体"/>
          <w:color w:val="auto"/>
          <w:sz w:val="21"/>
          <w:szCs w:val="21"/>
          <w:highlight w:val="none"/>
        </w:rPr>
        <w:t>(5)公路工程专用合同条款；</w:t>
      </w:r>
      <w:bookmarkEnd w:id="289"/>
      <w:bookmarkEnd w:id="290"/>
      <w:bookmarkEnd w:id="291"/>
      <w:bookmarkEnd w:id="292"/>
      <w:bookmarkEnd w:id="293"/>
      <w:bookmarkEnd w:id="294"/>
      <w:bookmarkEnd w:id="295"/>
      <w:bookmarkEnd w:id="296"/>
      <w:bookmarkEnd w:id="297"/>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20" w:firstLineChars="200"/>
        <w:textAlignment w:val="baseline"/>
        <w:outlineLvl w:val="9"/>
        <w:rPr>
          <w:rFonts w:hint="eastAsia" w:ascii="宋体" w:hAnsi="宋体" w:eastAsia="宋体" w:cs="宋体"/>
          <w:color w:val="auto"/>
          <w:sz w:val="21"/>
          <w:szCs w:val="21"/>
          <w:highlight w:val="none"/>
        </w:rPr>
      </w:pPr>
      <w:bookmarkStart w:id="298" w:name="_Toc19408"/>
      <w:bookmarkStart w:id="299" w:name="_Toc13845"/>
      <w:bookmarkStart w:id="300" w:name="_Toc25326"/>
      <w:bookmarkStart w:id="301" w:name="_Toc12873"/>
      <w:bookmarkStart w:id="302" w:name="_Toc25341"/>
      <w:bookmarkStart w:id="303" w:name="_Toc24099"/>
      <w:bookmarkStart w:id="304" w:name="_Toc6744"/>
      <w:bookmarkStart w:id="305" w:name="_Toc12145"/>
      <w:bookmarkStart w:id="306" w:name="_Toc9774"/>
      <w:r>
        <w:rPr>
          <w:rFonts w:hint="eastAsia" w:ascii="宋体" w:hAnsi="宋体" w:eastAsia="宋体" w:cs="宋体"/>
          <w:color w:val="auto"/>
          <w:sz w:val="21"/>
          <w:szCs w:val="21"/>
          <w:highlight w:val="none"/>
        </w:rPr>
        <w:t>(6)通用合同条款；</w:t>
      </w:r>
      <w:bookmarkEnd w:id="298"/>
      <w:bookmarkEnd w:id="299"/>
      <w:bookmarkEnd w:id="300"/>
      <w:bookmarkEnd w:id="301"/>
      <w:bookmarkEnd w:id="302"/>
      <w:bookmarkEnd w:id="303"/>
      <w:bookmarkEnd w:id="304"/>
      <w:bookmarkEnd w:id="305"/>
      <w:bookmarkEnd w:id="306"/>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20" w:firstLineChars="200"/>
        <w:textAlignment w:val="baseline"/>
        <w:outlineLvl w:val="9"/>
        <w:rPr>
          <w:rFonts w:hint="eastAsia" w:ascii="宋体" w:hAnsi="宋体" w:eastAsia="宋体" w:cs="宋体"/>
          <w:color w:val="auto"/>
          <w:sz w:val="21"/>
          <w:szCs w:val="21"/>
          <w:highlight w:val="none"/>
        </w:rPr>
      </w:pPr>
      <w:bookmarkStart w:id="307" w:name="_Toc11244"/>
      <w:bookmarkStart w:id="308" w:name="_Toc17272"/>
      <w:bookmarkStart w:id="309" w:name="_Toc24244"/>
      <w:bookmarkStart w:id="310" w:name="_Toc7070"/>
      <w:bookmarkStart w:id="311" w:name="_Toc29562"/>
      <w:bookmarkStart w:id="312" w:name="_Toc16895"/>
      <w:bookmarkStart w:id="313" w:name="_Toc25649"/>
      <w:bookmarkStart w:id="314" w:name="_Toc12625"/>
      <w:bookmarkStart w:id="315" w:name="_Toc8850"/>
      <w:r>
        <w:rPr>
          <w:rFonts w:hint="eastAsia" w:ascii="宋体" w:hAnsi="宋体" w:eastAsia="宋体" w:cs="宋体"/>
          <w:color w:val="auto"/>
          <w:sz w:val="21"/>
          <w:szCs w:val="21"/>
          <w:highlight w:val="none"/>
        </w:rPr>
        <w:t>(7)工程量清单计量规则(含招标文件补遗书中与此有关的部分)；</w:t>
      </w:r>
      <w:bookmarkEnd w:id="307"/>
      <w:bookmarkEnd w:id="308"/>
      <w:bookmarkEnd w:id="309"/>
      <w:bookmarkEnd w:id="310"/>
      <w:bookmarkEnd w:id="311"/>
      <w:bookmarkEnd w:id="312"/>
      <w:bookmarkEnd w:id="313"/>
      <w:bookmarkEnd w:id="314"/>
      <w:bookmarkEnd w:id="315"/>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20" w:firstLineChars="200"/>
        <w:textAlignment w:val="baseline"/>
        <w:outlineLvl w:val="9"/>
        <w:rPr>
          <w:rFonts w:hint="eastAsia" w:ascii="宋体" w:hAnsi="宋体" w:eastAsia="宋体" w:cs="宋体"/>
          <w:color w:val="auto"/>
          <w:sz w:val="21"/>
          <w:szCs w:val="21"/>
          <w:highlight w:val="none"/>
        </w:rPr>
      </w:pPr>
      <w:bookmarkStart w:id="316" w:name="_Toc20476"/>
      <w:bookmarkStart w:id="317" w:name="_Toc13726"/>
      <w:bookmarkStart w:id="318" w:name="_Toc23738"/>
      <w:bookmarkStart w:id="319" w:name="_Toc15975"/>
      <w:bookmarkStart w:id="320" w:name="_Toc7682"/>
      <w:bookmarkStart w:id="321" w:name="_Toc7866"/>
      <w:bookmarkStart w:id="322" w:name="_Toc25135"/>
      <w:bookmarkStart w:id="323" w:name="_Toc2300"/>
      <w:bookmarkStart w:id="324" w:name="_Toc23911"/>
      <w:r>
        <w:rPr>
          <w:rFonts w:hint="eastAsia" w:ascii="宋体" w:hAnsi="宋体" w:eastAsia="宋体" w:cs="宋体"/>
          <w:color w:val="auto"/>
          <w:sz w:val="21"/>
          <w:szCs w:val="21"/>
          <w:highlight w:val="none"/>
        </w:rPr>
        <w:t>(8)项目专用技术规范(含招标文件补遗书中与此有关的部分)；</w:t>
      </w:r>
      <w:bookmarkEnd w:id="316"/>
      <w:bookmarkEnd w:id="317"/>
      <w:bookmarkEnd w:id="318"/>
      <w:bookmarkEnd w:id="319"/>
      <w:bookmarkEnd w:id="320"/>
      <w:bookmarkEnd w:id="321"/>
      <w:bookmarkEnd w:id="322"/>
      <w:bookmarkEnd w:id="323"/>
      <w:bookmarkEnd w:id="324"/>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20" w:firstLineChars="200"/>
        <w:textAlignment w:val="baseline"/>
        <w:outlineLvl w:val="9"/>
        <w:rPr>
          <w:rFonts w:hint="eastAsia" w:ascii="宋体" w:hAnsi="宋体" w:eastAsia="宋体" w:cs="宋体"/>
          <w:color w:val="auto"/>
          <w:sz w:val="21"/>
          <w:szCs w:val="21"/>
          <w:highlight w:val="none"/>
        </w:rPr>
      </w:pPr>
      <w:bookmarkStart w:id="325" w:name="_Toc6352"/>
      <w:bookmarkStart w:id="326" w:name="_Toc11056"/>
      <w:bookmarkStart w:id="327" w:name="_Toc27050"/>
      <w:bookmarkStart w:id="328" w:name="_Toc11438"/>
      <w:bookmarkStart w:id="329" w:name="_Toc6246"/>
      <w:bookmarkStart w:id="330" w:name="_Toc13719"/>
      <w:bookmarkStart w:id="331" w:name="_Toc10782"/>
      <w:bookmarkStart w:id="332" w:name="_Toc7352"/>
      <w:bookmarkStart w:id="333" w:name="_Toc19126"/>
      <w:r>
        <w:rPr>
          <w:rFonts w:hint="eastAsia" w:ascii="宋体" w:hAnsi="宋体" w:eastAsia="宋体" w:cs="宋体"/>
          <w:color w:val="auto"/>
          <w:sz w:val="21"/>
          <w:szCs w:val="21"/>
          <w:highlight w:val="none"/>
        </w:rPr>
        <w:t>(9)通用技术规范；</w:t>
      </w:r>
      <w:bookmarkEnd w:id="325"/>
      <w:bookmarkEnd w:id="326"/>
      <w:bookmarkEnd w:id="327"/>
      <w:bookmarkEnd w:id="328"/>
      <w:bookmarkEnd w:id="329"/>
      <w:bookmarkEnd w:id="330"/>
      <w:bookmarkEnd w:id="331"/>
      <w:bookmarkEnd w:id="332"/>
      <w:bookmarkEnd w:id="333"/>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20" w:firstLineChars="200"/>
        <w:textAlignment w:val="baseline"/>
        <w:outlineLvl w:val="9"/>
        <w:rPr>
          <w:rFonts w:hint="eastAsia" w:ascii="宋体" w:hAnsi="宋体" w:eastAsia="宋体" w:cs="宋体"/>
          <w:color w:val="auto"/>
          <w:sz w:val="21"/>
          <w:szCs w:val="21"/>
          <w:highlight w:val="none"/>
        </w:rPr>
      </w:pPr>
      <w:bookmarkStart w:id="334" w:name="_Toc5698"/>
      <w:bookmarkStart w:id="335" w:name="_Toc11789"/>
      <w:bookmarkStart w:id="336" w:name="_Toc32311"/>
      <w:bookmarkStart w:id="337" w:name="_Toc4265"/>
      <w:bookmarkStart w:id="338" w:name="_Toc18975"/>
      <w:bookmarkStart w:id="339" w:name="_Toc32217"/>
      <w:bookmarkStart w:id="340" w:name="_Toc26187"/>
      <w:bookmarkStart w:id="341" w:name="_Toc20979"/>
      <w:bookmarkStart w:id="342" w:name="_Toc25977"/>
      <w:r>
        <w:rPr>
          <w:rFonts w:hint="eastAsia" w:ascii="宋体" w:hAnsi="宋体" w:eastAsia="宋体" w:cs="宋体"/>
          <w:color w:val="auto"/>
          <w:sz w:val="21"/>
          <w:szCs w:val="21"/>
          <w:highlight w:val="none"/>
        </w:rPr>
        <w:t>(10)图纸(含招标文件补遗书中与此有关的部分)；</w:t>
      </w:r>
      <w:bookmarkEnd w:id="334"/>
      <w:bookmarkEnd w:id="335"/>
      <w:bookmarkEnd w:id="336"/>
      <w:bookmarkEnd w:id="337"/>
      <w:bookmarkEnd w:id="338"/>
      <w:bookmarkEnd w:id="339"/>
      <w:bookmarkEnd w:id="340"/>
      <w:bookmarkEnd w:id="341"/>
      <w:bookmarkEnd w:id="342"/>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20" w:firstLineChars="200"/>
        <w:textAlignment w:val="baseline"/>
        <w:outlineLvl w:val="9"/>
        <w:rPr>
          <w:rFonts w:hint="eastAsia" w:ascii="宋体" w:hAnsi="宋体" w:eastAsia="宋体" w:cs="宋体"/>
          <w:color w:val="auto"/>
          <w:sz w:val="21"/>
          <w:szCs w:val="21"/>
          <w:highlight w:val="none"/>
        </w:rPr>
      </w:pPr>
      <w:bookmarkStart w:id="343" w:name="_Toc23914"/>
      <w:bookmarkStart w:id="344" w:name="_Toc21065"/>
      <w:bookmarkStart w:id="345" w:name="_Toc57"/>
      <w:bookmarkStart w:id="346" w:name="_Toc31877"/>
      <w:bookmarkStart w:id="347" w:name="_Toc18976"/>
      <w:bookmarkStart w:id="348" w:name="_Toc31404"/>
      <w:bookmarkStart w:id="349" w:name="_Toc15406"/>
      <w:bookmarkStart w:id="350" w:name="_Toc28748"/>
      <w:bookmarkStart w:id="351" w:name="_Toc22402"/>
      <w:r>
        <w:rPr>
          <w:rFonts w:hint="eastAsia" w:ascii="宋体" w:hAnsi="宋体" w:eastAsia="宋体" w:cs="宋体"/>
          <w:color w:val="auto"/>
          <w:sz w:val="21"/>
          <w:szCs w:val="21"/>
          <w:highlight w:val="none"/>
        </w:rPr>
        <w:t>(11)已标价工程量清单；</w:t>
      </w:r>
      <w:bookmarkEnd w:id="343"/>
      <w:bookmarkEnd w:id="344"/>
      <w:bookmarkEnd w:id="345"/>
      <w:bookmarkEnd w:id="346"/>
      <w:bookmarkEnd w:id="347"/>
      <w:bookmarkEnd w:id="348"/>
      <w:bookmarkEnd w:id="349"/>
      <w:bookmarkEnd w:id="350"/>
      <w:bookmarkEnd w:id="351"/>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20" w:firstLineChars="200"/>
        <w:textAlignment w:val="baseline"/>
        <w:outlineLvl w:val="9"/>
        <w:rPr>
          <w:rFonts w:hint="eastAsia" w:ascii="宋体" w:hAnsi="宋体" w:eastAsia="宋体" w:cs="宋体"/>
          <w:color w:val="auto"/>
          <w:sz w:val="21"/>
          <w:szCs w:val="21"/>
          <w:highlight w:val="none"/>
        </w:rPr>
      </w:pPr>
      <w:bookmarkStart w:id="352" w:name="_Toc21705"/>
      <w:bookmarkStart w:id="353" w:name="_Toc27699"/>
      <w:bookmarkStart w:id="354" w:name="_Toc4037"/>
      <w:bookmarkStart w:id="355" w:name="_Toc20725"/>
      <w:bookmarkStart w:id="356" w:name="_Toc4172"/>
      <w:bookmarkStart w:id="357" w:name="_Toc24400"/>
      <w:bookmarkStart w:id="358" w:name="_Toc21111"/>
      <w:bookmarkStart w:id="359" w:name="_Toc27159"/>
      <w:bookmarkStart w:id="360" w:name="_Toc5434"/>
      <w:r>
        <w:rPr>
          <w:rFonts w:hint="eastAsia" w:ascii="宋体" w:hAnsi="宋体" w:eastAsia="宋体" w:cs="宋体"/>
          <w:color w:val="auto"/>
          <w:sz w:val="21"/>
          <w:szCs w:val="21"/>
          <w:highlight w:val="none"/>
        </w:rPr>
        <w:t>(12)承包人有关人员、设备投入、财务能力的承诺及投标文件中的施工组织设计；</w:t>
      </w:r>
      <w:bookmarkEnd w:id="352"/>
      <w:bookmarkEnd w:id="353"/>
      <w:bookmarkEnd w:id="354"/>
      <w:bookmarkEnd w:id="355"/>
      <w:bookmarkEnd w:id="356"/>
      <w:bookmarkEnd w:id="357"/>
      <w:bookmarkEnd w:id="358"/>
      <w:bookmarkEnd w:id="359"/>
      <w:bookmarkEnd w:id="360"/>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20" w:firstLineChars="200"/>
        <w:textAlignment w:val="baseline"/>
        <w:outlineLvl w:val="9"/>
        <w:rPr>
          <w:rFonts w:hint="eastAsia" w:ascii="宋体" w:hAnsi="宋体" w:eastAsia="宋体" w:cs="宋体"/>
          <w:color w:val="auto"/>
          <w:sz w:val="21"/>
          <w:szCs w:val="21"/>
          <w:highlight w:val="none"/>
        </w:rPr>
      </w:pPr>
      <w:bookmarkStart w:id="361" w:name="_Toc4276"/>
      <w:bookmarkStart w:id="362" w:name="_Toc23737"/>
      <w:bookmarkStart w:id="363" w:name="_Toc25434"/>
      <w:bookmarkStart w:id="364" w:name="_Toc280"/>
      <w:bookmarkStart w:id="365" w:name="_Toc6216"/>
      <w:bookmarkStart w:id="366" w:name="_Toc13207"/>
      <w:bookmarkStart w:id="367" w:name="_Toc32597"/>
      <w:bookmarkStart w:id="368" w:name="_Toc13456"/>
      <w:bookmarkStart w:id="369" w:name="_Toc12008"/>
      <w:r>
        <w:rPr>
          <w:rFonts w:hint="eastAsia" w:ascii="宋体" w:hAnsi="宋体" w:eastAsia="宋体" w:cs="宋体"/>
          <w:color w:val="auto"/>
          <w:sz w:val="21"/>
          <w:szCs w:val="21"/>
          <w:highlight w:val="none"/>
        </w:rPr>
        <w:t>(13)其他合同文件。</w:t>
      </w:r>
      <w:bookmarkEnd w:id="361"/>
      <w:bookmarkEnd w:id="362"/>
      <w:bookmarkEnd w:id="363"/>
      <w:bookmarkEnd w:id="364"/>
      <w:bookmarkEnd w:id="365"/>
      <w:bookmarkEnd w:id="366"/>
      <w:bookmarkEnd w:id="367"/>
      <w:bookmarkEnd w:id="368"/>
      <w:bookmarkEnd w:id="369"/>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3"/>
        <w:rPr>
          <w:rFonts w:hint="eastAsia" w:ascii="宋体" w:hAnsi="宋体" w:eastAsia="宋体" w:cs="宋体"/>
          <w:b/>
          <w:bCs w:val="0"/>
          <w:color w:val="auto"/>
          <w:sz w:val="28"/>
          <w:szCs w:val="28"/>
          <w:highlight w:val="none"/>
        </w:rPr>
      </w:pPr>
      <w:bookmarkStart w:id="370" w:name="_Toc13144"/>
      <w:bookmarkStart w:id="371" w:name="_Toc30667"/>
      <w:r>
        <w:rPr>
          <w:rFonts w:hint="eastAsia" w:ascii="宋体" w:hAnsi="宋体" w:eastAsia="宋体" w:cs="宋体"/>
          <w:b/>
          <w:bCs w:val="0"/>
          <w:color w:val="auto"/>
          <w:sz w:val="28"/>
          <w:szCs w:val="28"/>
          <w:highlight w:val="none"/>
        </w:rPr>
        <w:t>2．发包人义务</w:t>
      </w:r>
      <w:bookmarkEnd w:id="212"/>
      <w:bookmarkEnd w:id="213"/>
      <w:bookmarkEnd w:id="214"/>
      <w:bookmarkEnd w:id="215"/>
      <w:bookmarkEnd w:id="216"/>
      <w:bookmarkEnd w:id="217"/>
      <w:bookmarkEnd w:id="218"/>
      <w:bookmarkEnd w:id="219"/>
      <w:bookmarkEnd w:id="220"/>
      <w:bookmarkEnd w:id="221"/>
      <w:bookmarkEnd w:id="222"/>
      <w:bookmarkEnd w:id="370"/>
      <w:bookmarkEnd w:id="371"/>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rPr>
      </w:pPr>
      <w:bookmarkStart w:id="372" w:name="_Toc3402"/>
      <w:r>
        <w:rPr>
          <w:rFonts w:hint="eastAsia" w:ascii="宋体" w:hAnsi="宋体" w:eastAsia="宋体" w:cs="宋体"/>
          <w:color w:val="auto"/>
          <w:sz w:val="21"/>
          <w:szCs w:val="21"/>
          <w:highlight w:val="none"/>
        </w:rPr>
        <w:t>2.6  支付合同价款</w:t>
      </w:r>
      <w:bookmarkEnd w:id="372"/>
    </w:p>
    <w:p>
      <w:pPr>
        <w:pageBreakBefore w:val="0"/>
        <w:widowControl/>
        <w:kinsoku w:val="0"/>
        <w:wordWrap/>
        <w:overflowPunct/>
        <w:topLinePunct w:val="0"/>
        <w:autoSpaceDE w:val="0"/>
        <w:autoSpaceDN w:val="0"/>
        <w:bidi w:val="0"/>
        <w:adjustRightInd w:val="0"/>
        <w:snapToGrid w:val="0"/>
        <w:spacing w:line="360" w:lineRule="exact"/>
        <w:ind w:left="0" w:right="0" w:firstLine="420" w:firstLineChars="200"/>
        <w:jc w:val="both"/>
        <w:textAlignment w:val="baseline"/>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1"/>
          <w:szCs w:val="21"/>
          <w:highlight w:val="none"/>
        </w:rPr>
        <w:t>本款补充</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0"/>
          <w:szCs w:val="20"/>
          <w:highlight w:val="none"/>
          <w:lang w:val="en-US" w:eastAsia="zh-CN"/>
        </w:rPr>
        <w:t>按照</w:t>
      </w:r>
      <w:r>
        <w:rPr>
          <w:rFonts w:hint="eastAsia" w:ascii="宋体" w:hAnsi="宋体" w:eastAsia="宋体" w:cs="宋体"/>
          <w:color w:val="auto"/>
          <w:sz w:val="20"/>
          <w:szCs w:val="20"/>
          <w:highlight w:val="none"/>
        </w:rPr>
        <w:t>《浙江省工程建设领域农民工工资保证金管理实施细则》（浙人社发〔2022〕13号）</w:t>
      </w:r>
      <w:r>
        <w:rPr>
          <w:rFonts w:hint="eastAsia" w:ascii="宋体" w:hAnsi="宋体" w:eastAsia="宋体" w:cs="宋体"/>
          <w:color w:val="auto"/>
          <w:sz w:val="20"/>
          <w:szCs w:val="20"/>
          <w:highlight w:val="none"/>
          <w:lang w:val="en-US" w:eastAsia="zh-CN"/>
        </w:rPr>
        <w:t>文件的规定。</w:t>
      </w:r>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rPr>
      </w:pPr>
      <w:bookmarkStart w:id="373" w:name="_Toc282787577"/>
      <w:bookmarkStart w:id="374" w:name="_Toc6596"/>
      <w:r>
        <w:rPr>
          <w:rFonts w:hint="eastAsia" w:ascii="宋体" w:hAnsi="宋体" w:eastAsia="宋体" w:cs="宋体"/>
          <w:color w:val="auto"/>
          <w:sz w:val="21"/>
          <w:szCs w:val="21"/>
          <w:highlight w:val="none"/>
        </w:rPr>
        <w:t xml:space="preserve">2.8  </w:t>
      </w:r>
      <w:bookmarkEnd w:id="373"/>
      <w:r>
        <w:rPr>
          <w:rFonts w:hint="eastAsia" w:ascii="宋体" w:hAnsi="宋体" w:eastAsia="宋体" w:cs="宋体"/>
          <w:color w:val="auto"/>
          <w:sz w:val="21"/>
          <w:szCs w:val="21"/>
          <w:highlight w:val="none"/>
        </w:rPr>
        <w:t>其他义务</w:t>
      </w:r>
      <w:bookmarkEnd w:id="374"/>
      <w:r>
        <w:rPr>
          <w:rFonts w:hint="eastAsia" w:ascii="宋体" w:hAnsi="宋体" w:eastAsia="宋体" w:cs="宋体"/>
          <w:color w:val="auto"/>
          <w:sz w:val="21"/>
          <w:szCs w:val="21"/>
          <w:highlight w:val="none"/>
        </w:rPr>
        <w:t xml:space="preserve"> </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w:t>
      </w:r>
      <w:bookmarkStart w:id="375" w:name="_Toc16454"/>
      <w:bookmarkStart w:id="376" w:name="_Toc14182"/>
      <w:bookmarkStart w:id="377" w:name="_Toc288491651"/>
      <w:bookmarkStart w:id="378" w:name="_Toc29986"/>
      <w:bookmarkStart w:id="379" w:name="_Toc32435"/>
      <w:bookmarkStart w:id="380" w:name="_Toc282787578"/>
      <w:bookmarkStart w:id="381" w:name="_Toc7324"/>
      <w:bookmarkStart w:id="382" w:name="_Toc287853475"/>
      <w:bookmarkStart w:id="383" w:name="_Toc282779126"/>
      <w:bookmarkStart w:id="384" w:name="_Toc16995"/>
      <w:bookmarkStart w:id="385" w:name="_Toc283794323"/>
      <w:bookmarkStart w:id="386" w:name="_Toc282779635"/>
      <w:bookmarkStart w:id="387" w:name="_Toc25396"/>
    </w:p>
    <w:p>
      <w:pPr>
        <w:pageBreakBefore w:val="0"/>
        <w:widowControl/>
        <w:kinsoku w:val="0"/>
        <w:wordWrap/>
        <w:overflowPunct/>
        <w:topLinePunct w:val="0"/>
        <w:autoSpaceDE w:val="0"/>
        <w:autoSpaceDN w:val="0"/>
        <w:bidi w:val="0"/>
        <w:adjustRightInd w:val="0"/>
        <w:snapToGrid w:val="0"/>
        <w:spacing w:line="360" w:lineRule="exact"/>
        <w:ind w:left="0" w:right="0" w:firstLine="384" w:firstLineChars="200"/>
        <w:jc w:val="both"/>
        <w:textAlignment w:val="baseline"/>
        <w:rPr>
          <w:rFonts w:hint="eastAsia" w:ascii="宋体" w:hAnsi="宋体" w:eastAsia="宋体" w:cs="宋体"/>
          <w:color w:val="auto"/>
          <w:spacing w:val="-4"/>
          <w:sz w:val="20"/>
          <w:szCs w:val="20"/>
          <w:highlight w:val="none"/>
        </w:rPr>
      </w:pPr>
      <w:r>
        <w:rPr>
          <w:rFonts w:hint="eastAsia" w:ascii="宋体" w:hAnsi="宋体" w:eastAsia="宋体" w:cs="宋体"/>
          <w:color w:val="auto"/>
          <w:spacing w:val="-4"/>
          <w:sz w:val="20"/>
          <w:szCs w:val="20"/>
          <w:highlight w:val="none"/>
        </w:rPr>
        <w:t>承包人提供履约担保的形式、金额及期限的：提供中标合同金额的 2%，以保函、银行汇票、转账支票形式提供，工程验收合格后退还。（若采用保函，保函保险期限必须为本项目约定完工日期之日起 30日后，保函的真实性由建设单位事后核验，如有虚假的，按相关规定执行）。</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3"/>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lang w:val="en-US" w:eastAsia="zh-CN"/>
        </w:rPr>
        <w:t>4</w:t>
      </w:r>
      <w:r>
        <w:rPr>
          <w:rFonts w:hint="eastAsia" w:ascii="宋体" w:hAnsi="宋体" w:eastAsia="宋体" w:cs="宋体"/>
          <w:b/>
          <w:bCs w:val="0"/>
          <w:color w:val="auto"/>
          <w:sz w:val="28"/>
          <w:szCs w:val="28"/>
          <w:highlight w:val="none"/>
        </w:rPr>
        <w:t>．承包人</w:t>
      </w:r>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rPr>
      </w:pPr>
      <w:bookmarkStart w:id="388" w:name="_Toc27024"/>
      <w:bookmarkStart w:id="389" w:name="_Toc282787579"/>
      <w:r>
        <w:rPr>
          <w:rFonts w:hint="eastAsia" w:ascii="宋体" w:hAnsi="宋体" w:eastAsia="宋体" w:cs="宋体"/>
          <w:color w:val="auto"/>
          <w:sz w:val="21"/>
          <w:szCs w:val="21"/>
          <w:highlight w:val="none"/>
        </w:rPr>
        <w:t>4.1  承包人的一般义务</w:t>
      </w:r>
      <w:bookmarkEnd w:id="388"/>
      <w:bookmarkEnd w:id="389"/>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4.1.3完成各项承包工作</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承包人应在签订合同协议书后 14 天内为本合同实施设立现场项目经理部，该项目经理部应成为承包人授权的代理人或代表的合法机构，承包人应保证该项目经理部履行职责直至合同期满为止。</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4.1.10 其它义务</w:t>
      </w:r>
    </w:p>
    <w:p>
      <w:pPr>
        <w:pageBreakBefore w:val="0"/>
        <w:widowControl/>
        <w:kinsoku w:val="0"/>
        <w:wordWrap/>
        <w:overflowPunct/>
        <w:topLinePunct w:val="0"/>
        <w:autoSpaceDE w:val="0"/>
        <w:autoSpaceDN w:val="0"/>
        <w:bidi w:val="0"/>
        <w:adjustRightInd w:val="0"/>
        <w:snapToGrid w:val="0"/>
        <w:spacing w:before="133" w:line="320" w:lineRule="exact"/>
        <w:ind w:left="22" w:right="53" w:firstLine="403"/>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本项第（2）目细化为：</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(2)承包人应承担并支付为获得本合同工程所需的石料、砂、砾石、黏土或其他当地材料等所发生的料场使用费及其他开支或补偿费。发包人应尽可能协助承包人办理料场租用手续及解决使用过程中的有关问题。</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bCs/>
          <w:color w:val="auto"/>
          <w:kern w:val="0"/>
          <w:sz w:val="21"/>
          <w:szCs w:val="21"/>
          <w:highlight w:val="none"/>
        </w:rPr>
      </w:pPr>
      <w:r>
        <w:rPr>
          <w:rFonts w:hint="eastAsia" w:ascii="宋体" w:hAnsi="宋体" w:eastAsia="宋体" w:cs="宋体"/>
          <w:color w:val="auto"/>
          <w:sz w:val="21"/>
          <w:szCs w:val="21"/>
          <w:highlight w:val="none"/>
        </w:rPr>
        <w:t>发包人协助办理的成功与否，不免除根据合同文件规定的承包人的一切责任</w:t>
      </w:r>
      <w:r>
        <w:rPr>
          <w:rFonts w:hint="eastAsia" w:ascii="宋体" w:hAnsi="宋体" w:eastAsia="宋体" w:cs="宋体"/>
          <w:color w:val="auto"/>
          <w:sz w:val="21"/>
          <w:szCs w:val="21"/>
          <w:highlight w:val="none"/>
          <w:lang w:eastAsia="zh-CN"/>
        </w:rPr>
        <w:t>。</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lang w:val="en-US" w:eastAsia="zh-CN"/>
        </w:rPr>
        <w:t>本项</w:t>
      </w:r>
      <w:r>
        <w:rPr>
          <w:rFonts w:hint="eastAsia" w:ascii="宋体" w:hAnsi="宋体" w:eastAsia="宋体" w:cs="宋体"/>
          <w:bCs/>
          <w:color w:val="auto"/>
          <w:kern w:val="0"/>
          <w:sz w:val="21"/>
          <w:szCs w:val="21"/>
          <w:highlight w:val="none"/>
        </w:rPr>
        <w:t>第（3）目</w:t>
      </w:r>
      <w:r>
        <w:rPr>
          <w:rFonts w:hint="eastAsia" w:ascii="宋体" w:hAnsi="宋体" w:eastAsia="宋体" w:cs="宋体"/>
          <w:bCs/>
          <w:color w:val="auto"/>
          <w:kern w:val="0"/>
          <w:sz w:val="21"/>
          <w:szCs w:val="21"/>
          <w:highlight w:val="none"/>
          <w:lang w:eastAsia="zh-CN"/>
        </w:rPr>
        <w:t>细化为</w:t>
      </w:r>
      <w:r>
        <w:rPr>
          <w:rFonts w:hint="eastAsia" w:ascii="宋体" w:hAnsi="宋体" w:eastAsia="宋体" w:cs="宋体"/>
          <w:bCs/>
          <w:color w:val="auto"/>
          <w:kern w:val="0"/>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lang w:eastAsia="zh-CN"/>
        </w:rPr>
        <w:t>（</w:t>
      </w:r>
      <w:r>
        <w:rPr>
          <w:rFonts w:hint="eastAsia" w:ascii="宋体" w:hAnsi="宋体" w:eastAsia="宋体" w:cs="宋体"/>
          <w:bCs/>
          <w:color w:val="auto"/>
          <w:kern w:val="0"/>
          <w:sz w:val="21"/>
          <w:szCs w:val="21"/>
          <w:highlight w:val="none"/>
          <w:lang w:val="en-US" w:eastAsia="zh-CN"/>
        </w:rPr>
        <w:t>3</w:t>
      </w:r>
      <w:r>
        <w:rPr>
          <w:rFonts w:hint="eastAsia" w:ascii="宋体" w:hAnsi="宋体" w:eastAsia="宋体" w:cs="宋体"/>
          <w:bCs/>
          <w:color w:val="auto"/>
          <w:kern w:val="0"/>
          <w:sz w:val="21"/>
          <w:szCs w:val="21"/>
          <w:highlight w:val="none"/>
          <w:lang w:eastAsia="zh-CN"/>
        </w:rPr>
        <w:t>）</w:t>
      </w:r>
      <w:r>
        <w:rPr>
          <w:rFonts w:hint="eastAsia" w:ascii="宋体" w:hAnsi="宋体" w:eastAsia="宋体" w:cs="宋体"/>
          <w:bCs/>
          <w:color w:val="auto"/>
          <w:kern w:val="0"/>
          <w:sz w:val="21"/>
          <w:szCs w:val="21"/>
          <w:highlight w:val="none"/>
        </w:rPr>
        <w:t>承包人在本工程中，应严格执行国家、浙江省及项目所在地政府有关拖欠工程款和农民工工资相关法律法规及规定，及时支付工程中的材料、设备货款及民工工资等费用。承包人不得以任何借口拖欠材料、设备货款及民工工资等费用，如果出现此种现象，发包人有权代为支付其拖欠的材料、设备货款及民工工资，并从应付给承包人的工程款中扣除相应款项。对恶意拖欠和拒不按计划支付的，作为不良记录纳入浙江省交通运输信用综合管理服务系统。</w:t>
      </w:r>
    </w:p>
    <w:p>
      <w:pPr>
        <w:keepNext w:val="0"/>
        <w:keepLines w:val="0"/>
        <w:pageBreakBefore w:val="0"/>
        <w:widowControl/>
        <w:kinsoku/>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bCs/>
          <w:color w:val="auto"/>
          <w:kern w:val="0"/>
          <w:szCs w:val="21"/>
          <w:highlight w:val="none"/>
        </w:rPr>
      </w:pPr>
      <w:r>
        <w:rPr>
          <w:rFonts w:hint="eastAsia" w:ascii="宋体" w:hAnsi="宋体" w:eastAsia="宋体" w:cs="宋体"/>
          <w:bCs/>
          <w:color w:val="auto"/>
          <w:kern w:val="0"/>
          <w:sz w:val="21"/>
          <w:szCs w:val="21"/>
          <w:highlight w:val="none"/>
        </w:rPr>
        <w:t>承包人的项目经理部是民工工资支付行为的主体，承包人的项目经理是民工工资支付的责任人。项目经理部要建立全体民工花名册和工资支付表 (包含分包单位) ，确保将工资直接发放给民工本人，或委托银行发放民工工资，严禁发放给“包工头”或其他不具备用工主体资格的组织和个人</w:t>
      </w:r>
      <w:r>
        <w:rPr>
          <w:rFonts w:hint="eastAsia" w:ascii="宋体" w:hAnsi="宋体" w:eastAsia="宋体" w:cs="宋体"/>
          <w:bCs/>
          <w:color w:val="auto"/>
          <w:kern w:val="0"/>
          <w:szCs w:val="21"/>
          <w:highlight w:val="none"/>
        </w:rPr>
        <w:t>。工资支付表应如实记录支付单位、支付时间、支付对象、支付数额、支付对象的身份证号和签字等信息。民工花名册和工资支付表应报监理人备查。</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承包人应按规定缴纳农民工工资保证金。</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承</w:t>
      </w:r>
      <w:r>
        <w:rPr>
          <w:rFonts w:hint="eastAsia" w:ascii="宋体" w:hAnsi="宋体" w:eastAsia="宋体" w:cs="宋体"/>
          <w:color w:val="auto"/>
          <w:szCs w:val="21"/>
          <w:highlight w:val="none"/>
        </w:rPr>
        <w:t>包人应在用工后15天内与农民工签订劳动合同，根据劳动合同签订情况，统计农民工人数，按照实际人数办理记工考勤卡。项目完工后或农民工提前离开工地，承包人应在合同约定期限之内对农民工工资进行结算，并一次性付清所有应发放的工资。同时承包人应在项目经理部和新闻媒介上分阶段公示民工工资支付情况，并公开2个监督电话 (电话为当地交通主管部门和劳动保障部门等第三方单位可打通的号码)，公示期符合相关规定。承包人应加强劳动合同管理，规范公路建设用工行为。不拖欠农民工工资，及时、足额发放农民工工资。</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本项第(6)目细化为：</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(6) 承包人应按照浙江省交通运输厅《关于印发浙江省普通国省道公路建设工程标准化工地建设管理和考核办法 (试行) 的通知》、《浙江省交通建设工程平安工地建设管理实施办法》和交通运输部《关于开展公路水运工程“平安工地”考核评价工作的通知》等相关部门的要求进行工地标准化、施工标准化和管理标准化建设和安全、文明施工。</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本项补充第(7)~(19)目：</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(7)项目审计(含跟踪审计)、稽查和检查等的配合</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a.与本工程项目相关的审计和稽查，承包人应高度重视并委派专人积极予以配合；</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b.有关单位对本项目的各种检查等活动，承包人有义务予以积极配合开展各项工作；</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c.本工程项目有关的各类统计报表、汇报材料包括交(竣) 工验收和项目后评价报告等，承包人有义务配合发包人做好编制工作并提供相应的资料；</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d.承包人应按发包人、监理人和有关文件要求，建立相应的计量、支付和变更台帐，同时承包人 应配合发包人、监理人建立相应的台帐，并保持其持续有效直至工程决算完成。</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(8)与第三方检测、监控、科研单位的配合</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a.承包人必须积极配合</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协助第三方检测、监控、科研等单位的工作，委派专人做好配合工作。</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b.承包人应熟悉第三方检测、监控、科研等单位的检测、监控、科研实施方案和流程，配合工作 也应有相应的方案，该方案须经监理人审批同意；</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c.施工检测、监控、科研过程中， 应在监理人的统一调配下，承包人应尽可能地提供人员、材料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设备的便利， 以便施工检测、监控、科研工作顺利的进行；</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d.承包人应参与检测、监控、科研资料的总结与分析工作。</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(9)地方道路、分流道路的维护和管理</w:t>
      </w:r>
      <w:r>
        <w:rPr>
          <w:rFonts w:hint="eastAsia" w:ascii="宋体" w:hAnsi="宋体" w:eastAsia="宋体" w:cs="宋体"/>
          <w:color w:val="auto"/>
          <w:szCs w:val="21"/>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承包人在使用现有地方道路和分流道路过程中，必须采取一切措施确保车辆正常通行，做到施工、通车两不误。承包人应针对通车路段的施工特点，提出通车路段的施工维护、交通组织方案，报监理 人及相关职能部门批准，并认真组织实施。施工方案和措施应包括：</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a.成立维护、管理组织，负责正常道路维护和交通管理工作；</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b.配备交通管理标志，指定专人维护交通秩序；</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c.加强与交警、公路管理等职能部门联系，争取交警、公路管理部门等的参与，建立切实可行交 通管理制度。</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于承包人措施不力，导致阻车和事故频发或损坏现有地方道路及分流道路，影响交通安全和正常运行，并造成重大影响，引起索赔，赔偿、诉讼费用及工程拖延或施工费用增加时，应由承包人承担一切责任和费用。</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(10)承包人应配合发包人做好征地拆迁的配合工作，必要时应无偿提供人力、设备以及材料等方面的支持配合，承包人因此增加的费用应认为已包括在合同价之中，发包人不另行支付。</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(11)几个承包人或与相邻标段或与相邻项目在同一区域内施工时，监理人有权协调工程的实施，并对工程衔接作出指示，承包人应在监理人的统一协调下工作，承包人因此增加的费用应认为已包括在合同价之中，发包人不另行支付。</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(12)未经发包人事先批准，承包人不得在任何报纸、商业或技术文献上刊登或披露任何与本合同或与本工程有关的详细资料。</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承包人不应在现场或施工设施上展示或允许展示任何贸易和商业性广告。在工地现场张贴布告，应事先得到监理人的批准，当监理人指示撤除时，应立即执行。</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(13)承包人不得将任何种类的爆破器材给予、易货或以其他任何方式转给他人，承包人应遵守《中华人民共和国民用爆炸物品管理条例》。承包人在进行爆破施工前应当编制详细实施性施工方案、安 全专项方案以及进行相关的试爆工作的实施方案，并报经监理人及相关部门审批认可，同时应综合考虑爆破震动、落物等负面因素对正在运营的高速公路、电力、通信通讯等周边设施、建筑物和环境等的影响，承包人应加强施工过程中的监控量测工作，制定相应的预警预控机制和安全应急预案，避免对上述设施造成破坏，否则，由此引起的一切费用均由承包人承担。</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(14)工程完工后，承包人所在标段的遗留问题，如(不限于)：河道清理、渣土清运、临时用地(含取、弃土场等)的复耕复绿、老桥拆除砼垃圾的清理外运解小、建筑垃圾和渣土清运,临时工程的清除、赔偿，因承包人施工原因造成的受损地方道路、桥梁或其他公共设施等，承包人应积极主动进行处理、解决、修复和恢复等，并承担所有费用。如果上述问题在发包人规定的期限内不能解决，发包人有权单独或委托其他单位进行处理，发生的全部费用由承包人承担。</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(15)承包人应按照浙江省交通运输厅《关于在我省政府投资公路水运建设工程中推行安全质量远程视频监控系统的通知》、《关于进一步加强我省公路水运建设工程安全质量远程视频监控系统建设和管理的通知》、《关于扎实做好在建项目安全质量远程视频监控系统资源整合接入工作的通知》做好相关工作。</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 xml:space="preserve">(16)承包人应按照浙江省交通运输厅《关于进一步深化公路工程施工标准化开展“美丽班组”创建活动的通知》做好相关工作。 </w:t>
      </w:r>
      <w:r>
        <w:rPr>
          <w:rFonts w:hint="eastAsia" w:ascii="宋体" w:hAnsi="宋体" w:eastAsia="宋体" w:cs="宋体"/>
          <w:color w:val="auto"/>
          <w:szCs w:val="21"/>
          <w:highlight w:val="none"/>
          <w:lang w:val="en-US" w:eastAsia="zh-CN"/>
        </w:rPr>
        <w:t xml:space="preserve">  </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 xml:space="preserve">（17）承包人应按照浙江省交通运输厅《浙江省公路水运工程质量提升三年专项行动方案（2021—2023》做好相关工作。 </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 xml:space="preserve">（18）承包人应按照浙江省交通运输厅《浙江省公路水运工程施工原材料和产品质量管理若干规定》做好相关工作。 </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（19）承包人应按照浙江省交通运输厅《浙江省公路水运工程项目智慧建设三年专项行动实施意见》做好相关工作。</w:t>
      </w:r>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b w:val="0"/>
          <w:bCs/>
          <w:color w:val="auto"/>
          <w:sz w:val="21"/>
          <w:szCs w:val="21"/>
          <w:highlight w:val="none"/>
        </w:rPr>
      </w:pPr>
      <w:bookmarkStart w:id="390" w:name="_Toc7649"/>
      <w:r>
        <w:rPr>
          <w:rFonts w:hint="eastAsia" w:ascii="宋体" w:hAnsi="宋体" w:eastAsia="宋体" w:cs="宋体"/>
          <w:b w:val="0"/>
          <w:bCs/>
          <w:color w:val="auto"/>
          <w:sz w:val="21"/>
          <w:szCs w:val="21"/>
          <w:highlight w:val="none"/>
        </w:rPr>
        <w:t>4.3 分包</w:t>
      </w:r>
      <w:bookmarkEnd w:id="390"/>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 4.3.3(1)目补充：</w:t>
      </w:r>
      <w:r>
        <w:rPr>
          <w:rFonts w:hint="eastAsia" w:ascii="宋体" w:hAnsi="宋体" w:eastAsia="宋体" w:cs="宋体"/>
          <w:color w:val="auto"/>
          <w:sz w:val="21"/>
          <w:szCs w:val="21"/>
          <w:highlight w:val="none"/>
          <w:lang w:val="en-US" w:eastAsia="zh-CN"/>
        </w:rPr>
        <w:t xml:space="preserve"> </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(1)不允许分包的工程内容为：</w:t>
      </w:r>
      <w:r>
        <w:rPr>
          <w:rFonts w:hint="eastAsia" w:ascii="宋体" w:hAnsi="宋体" w:eastAsia="宋体" w:cs="宋体"/>
          <w:color w:val="auto"/>
          <w:spacing w:val="16"/>
          <w:sz w:val="20"/>
          <w:szCs w:val="20"/>
          <w:highlight w:val="none"/>
          <w:u w:val="single"/>
          <w:lang w:eastAsia="zh-CN"/>
        </w:rPr>
        <w:t>预应力混凝土桥梁上部承重结构</w:t>
      </w:r>
      <w:r>
        <w:rPr>
          <w:rFonts w:hint="eastAsia" w:ascii="宋体" w:hAnsi="宋体" w:eastAsia="宋体" w:cs="宋体"/>
          <w:color w:val="auto"/>
          <w:sz w:val="21"/>
          <w:szCs w:val="21"/>
          <w:highlight w:val="none"/>
          <w:lang w:val="en-US" w:eastAsia="zh-CN"/>
        </w:rPr>
        <w:t xml:space="preserve">。 </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承包人在中标后补充提交分包计划的，应按规定及时向监理人提交分包计划并经发包人批准后，可以依法实施分包，分包应符合交通运输部《关于印发公路工程施工分包管理办法的通知》、浙江省交通运输厅《浙江省公路水运施工分包和劳务合作管理实施细则》及浙交（2022）97号文件省交通运输厅关于印发《浙江省公路水运工程施工分包管理办法（试行）》的通知有关分包管理的规定。</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 4.3.7 项细化为：</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4.3.7</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本项目的各项分包工作均应遵守《公路工程施工分包管理办法》及《浙江省公路水运施工分包和劳务合作管理实施细则》的有关规定。</w:t>
      </w:r>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rPr>
      </w:pPr>
      <w:bookmarkStart w:id="391" w:name="_Toc7314"/>
      <w:r>
        <w:rPr>
          <w:rFonts w:hint="eastAsia" w:ascii="宋体" w:hAnsi="宋体" w:eastAsia="宋体" w:cs="宋体"/>
          <w:color w:val="auto"/>
          <w:sz w:val="21"/>
          <w:szCs w:val="21"/>
          <w:highlight w:val="none"/>
        </w:rPr>
        <w:t>4.6 承包人人员的管理 第4.6.3项补充：</w:t>
      </w:r>
      <w:bookmarkEnd w:id="391"/>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承包人项目经理、项目技术负责人及安全负责人应签署承诺书，承诺按招标文件规定到位，若有更换，同意按浙江省信用评价管理实施细则扣分或纳入负面清单管理。</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本款补充第4.6.6项~第4.6.8项：</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4.6.6 承包人的所有管理、施工人员(包括分包队伍)需着统一的明显标志服，夜间须为反光标 志服，同时须符合相关安全管理的规定，并按不同岗位佩证上岗。</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4.6.7 承包人项目经理、项目技术负责人及主要管理人员的出勤需进行考勤。项目经理及项目技术负责人离开工地必须向监理人书面请假，并经发包人同意后才能离开；每月在工地天数</w:t>
      </w:r>
      <w:r>
        <w:rPr>
          <w:rFonts w:hint="eastAsia" w:ascii="宋体" w:hAnsi="宋体" w:eastAsia="宋体" w:cs="宋体"/>
          <w:color w:val="auto"/>
          <w:sz w:val="21"/>
          <w:szCs w:val="21"/>
          <w:highlight w:val="none"/>
          <w:lang w:val="en-US" w:eastAsia="zh-CN"/>
        </w:rPr>
        <w:t>应不少于</w:t>
      </w:r>
      <w:r>
        <w:rPr>
          <w:rFonts w:hint="eastAsia" w:ascii="宋体" w:hAnsi="宋体" w:eastAsia="宋体" w:cs="宋体"/>
          <w:color w:val="auto"/>
          <w:sz w:val="21"/>
          <w:szCs w:val="21"/>
          <w:highlight w:val="none"/>
        </w:rPr>
        <w:t xml:space="preserve"> 2</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天(特殊情况经监理人批准报发包人同意例外)。</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4.6.8 除因管理原因发生重大质量安全事故不适合再任，因生病住院、终止劳动合同关系(需提供相关部门或单位的证明材料)等无法继续履行合同责任和义务，被责令停止执业、羁押或判刑外，承包人不得提出更换项目经理、项目技术负责人。符合上述规定确需更换的，应征得发包人同意，并经有关行业行政主管部门备案，且更换后的人员不得低于原投标承诺人员所具有的资格和业绩条件。</w:t>
      </w:r>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rPr>
      </w:pPr>
      <w:bookmarkStart w:id="392" w:name="_Toc7235"/>
      <w:r>
        <w:rPr>
          <w:rFonts w:hint="eastAsia" w:ascii="宋体" w:hAnsi="宋体" w:eastAsia="宋体" w:cs="宋体"/>
          <w:color w:val="auto"/>
          <w:sz w:val="21"/>
          <w:szCs w:val="21"/>
          <w:highlight w:val="none"/>
        </w:rPr>
        <w:t>4.8 保障承包人人员的合法权益 第 4.8.3 项补充：承包人应至少设一名具有一定卫生常识及传染病防治知识的卫生督查员，负责承包人所在施工现场的传染病检查、控制、报告。</w:t>
      </w:r>
      <w:bookmarkEnd w:id="392"/>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一旦爆发任何具有传染性的疾病时，承包人应遵守并执行当地政府或卫生防疫部门为防治和消灭上述传染病蔓延而制订的规章、命令和要求。建立人员流动登记制度、信息报告制度，与当地卫生防疫部门积极合作，做好各项防范措施的落实工作。</w:t>
      </w:r>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rPr>
      </w:pPr>
      <w:bookmarkStart w:id="393" w:name="_Toc282787581"/>
      <w:bookmarkStart w:id="394" w:name="_Toc32213"/>
      <w:r>
        <w:rPr>
          <w:rFonts w:hint="eastAsia" w:ascii="宋体" w:hAnsi="宋体" w:eastAsia="宋体" w:cs="宋体"/>
          <w:color w:val="auto"/>
          <w:sz w:val="21"/>
          <w:szCs w:val="21"/>
          <w:highlight w:val="none"/>
        </w:rPr>
        <w:t>4.11  不利物质条件</w:t>
      </w:r>
      <w:bookmarkEnd w:id="393"/>
      <w:bookmarkEnd w:id="394"/>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4.1.11  不利物质条件的范围：</w:t>
      </w:r>
      <w:r>
        <w:rPr>
          <w:rFonts w:hint="eastAsia" w:ascii="宋体" w:hAnsi="宋体" w:eastAsia="宋体" w:cs="宋体"/>
          <w:color w:val="auto"/>
          <w:szCs w:val="21"/>
          <w:highlight w:val="none"/>
          <w:u w:val="single"/>
        </w:rPr>
        <w:t xml:space="preserve">           /          </w:t>
      </w:r>
      <w:bookmarkStart w:id="395" w:name="_Toc9300"/>
      <w:bookmarkStart w:id="396" w:name="_Toc282779636"/>
      <w:bookmarkStart w:id="397" w:name="_Toc11814"/>
      <w:bookmarkStart w:id="398" w:name="_Toc32131"/>
      <w:bookmarkStart w:id="399" w:name="_Toc282787582"/>
      <w:bookmarkStart w:id="400" w:name="_Toc282779127"/>
      <w:bookmarkStart w:id="401" w:name="_Toc288491652"/>
      <w:bookmarkStart w:id="402" w:name="_Toc283794324"/>
      <w:bookmarkStart w:id="403" w:name="_Toc287853476"/>
      <w:bookmarkStart w:id="404" w:name="_Toc29518"/>
    </w:p>
    <w:p>
      <w:pPr>
        <w:pStyle w:val="28"/>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3"/>
        <w:rPr>
          <w:rFonts w:hint="eastAsia" w:ascii="宋体" w:hAnsi="宋体" w:eastAsia="宋体" w:cs="宋体"/>
          <w:b/>
          <w:bCs w:val="0"/>
          <w:color w:val="auto"/>
          <w:sz w:val="28"/>
          <w:szCs w:val="28"/>
          <w:highlight w:val="none"/>
        </w:rPr>
      </w:pPr>
      <w:bookmarkStart w:id="405" w:name="_Toc31588"/>
      <w:bookmarkStart w:id="406" w:name="_Toc13299"/>
      <w:r>
        <w:rPr>
          <w:rFonts w:hint="eastAsia" w:ascii="宋体" w:hAnsi="宋体" w:eastAsia="宋体" w:cs="宋体"/>
          <w:b/>
          <w:bCs w:val="0"/>
          <w:color w:val="auto"/>
          <w:sz w:val="28"/>
          <w:szCs w:val="28"/>
          <w:highlight w:val="none"/>
        </w:rPr>
        <w:t>6.施工设备和临时设施</w:t>
      </w:r>
      <w:bookmarkEnd w:id="405"/>
      <w:bookmarkEnd w:id="406"/>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rPr>
      </w:pPr>
      <w:bookmarkStart w:id="407" w:name="_Toc3924"/>
      <w:r>
        <w:rPr>
          <w:rFonts w:hint="eastAsia" w:ascii="宋体" w:hAnsi="宋体" w:eastAsia="宋体" w:cs="宋体"/>
          <w:color w:val="auto"/>
          <w:sz w:val="21"/>
          <w:szCs w:val="21"/>
          <w:highlight w:val="none"/>
        </w:rPr>
        <w:t>6.1承包人提供的施工设备和临时设施</w:t>
      </w:r>
      <w:bookmarkEnd w:id="407"/>
      <w:r>
        <w:rPr>
          <w:rFonts w:hint="eastAsia" w:ascii="宋体" w:hAnsi="宋体" w:eastAsia="宋体" w:cs="宋体"/>
          <w:color w:val="auto"/>
          <w:sz w:val="21"/>
          <w:szCs w:val="21"/>
          <w:highlight w:val="none"/>
        </w:rPr>
        <w:t xml:space="preserve"> </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本款补充第 6.1.3 项：</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6.1.3  承包人按照合同附件提出的最低要求填报的主要机械设备和试验检测设备，在经招标人审批后作为主要设备不得任意更换。</w:t>
      </w:r>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rPr>
      </w:pPr>
      <w:bookmarkStart w:id="408" w:name="_Toc4956"/>
      <w:r>
        <w:rPr>
          <w:rFonts w:hint="eastAsia" w:ascii="宋体" w:hAnsi="宋体" w:eastAsia="宋体" w:cs="宋体"/>
          <w:color w:val="auto"/>
          <w:sz w:val="21"/>
          <w:szCs w:val="21"/>
          <w:highlight w:val="none"/>
        </w:rPr>
        <w:t>6.3要求承包人增加或更换施工设备</w:t>
      </w:r>
      <w:bookmarkEnd w:id="408"/>
      <w:r>
        <w:rPr>
          <w:rFonts w:hint="eastAsia" w:ascii="宋体" w:hAnsi="宋体" w:eastAsia="宋体" w:cs="宋体"/>
          <w:color w:val="auto"/>
          <w:sz w:val="21"/>
          <w:szCs w:val="21"/>
          <w:highlight w:val="none"/>
        </w:rPr>
        <w:t xml:space="preserve"> </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本款补充：</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承包人的机械、车辆必须证 (照) 齐全，三无车辆不得进场。</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违反本款规定，则按第22.1款承包人违约处理。</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3"/>
        <w:rPr>
          <w:rFonts w:hint="eastAsia" w:ascii="宋体" w:hAnsi="宋体" w:eastAsia="宋体" w:cs="宋体"/>
          <w:b/>
          <w:bCs w:val="0"/>
          <w:color w:val="auto"/>
          <w:sz w:val="28"/>
          <w:szCs w:val="28"/>
          <w:highlight w:val="none"/>
        </w:rPr>
      </w:pPr>
      <w:bookmarkStart w:id="409" w:name="_Toc22191"/>
      <w:bookmarkStart w:id="410" w:name="_Toc12783"/>
      <w:r>
        <w:rPr>
          <w:rFonts w:hint="eastAsia" w:ascii="宋体" w:hAnsi="宋体" w:eastAsia="宋体" w:cs="宋体"/>
          <w:b/>
          <w:bCs w:val="0"/>
          <w:color w:val="auto"/>
          <w:sz w:val="28"/>
          <w:szCs w:val="28"/>
          <w:highlight w:val="none"/>
        </w:rPr>
        <w:t>7.交通运输</w:t>
      </w:r>
      <w:bookmarkEnd w:id="409"/>
      <w:bookmarkEnd w:id="410"/>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rPr>
      </w:pPr>
      <w:bookmarkStart w:id="411" w:name="_Toc12708"/>
      <w:r>
        <w:rPr>
          <w:rFonts w:hint="eastAsia" w:ascii="宋体" w:hAnsi="宋体" w:eastAsia="宋体" w:cs="宋体"/>
          <w:color w:val="auto"/>
          <w:sz w:val="21"/>
          <w:szCs w:val="21"/>
          <w:highlight w:val="none"/>
        </w:rPr>
        <w:t>7.2 场内施工道路</w:t>
      </w:r>
      <w:bookmarkEnd w:id="411"/>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 7.2.2 项约定为：</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7.2.2  承包人应允许发包人、监理人及发包人安排的其他相关人员无偿使用由承包人修建和维护的临时道路、桥梁等设施。承包人应允许与发包人签订有承包合同的其他承包人或其工作人员使用由承包人修建和维护的临时道路、桥梁等设施；如其他承包人或其工作人员在使用中对临时设施有损坏时，承包人可通过监理人指出由其他承包人给予修复或赔偿的要求。</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3"/>
        <w:rPr>
          <w:rFonts w:hint="eastAsia" w:ascii="宋体" w:hAnsi="宋体" w:eastAsia="宋体" w:cs="宋体"/>
          <w:b/>
          <w:bCs w:val="0"/>
          <w:color w:val="auto"/>
          <w:sz w:val="28"/>
          <w:szCs w:val="28"/>
          <w:highlight w:val="none"/>
        </w:rPr>
      </w:pPr>
      <w:bookmarkStart w:id="412" w:name="_Toc29633"/>
      <w:bookmarkStart w:id="413" w:name="_Toc14441"/>
      <w:r>
        <w:rPr>
          <w:rFonts w:hint="eastAsia" w:ascii="宋体" w:hAnsi="宋体" w:eastAsia="宋体" w:cs="宋体"/>
          <w:b/>
          <w:bCs w:val="0"/>
          <w:color w:val="auto"/>
          <w:sz w:val="28"/>
          <w:szCs w:val="28"/>
          <w:highlight w:val="none"/>
        </w:rPr>
        <w:t>9．施工安全、治安保卫和环境保护</w:t>
      </w:r>
      <w:bookmarkEnd w:id="395"/>
      <w:bookmarkEnd w:id="396"/>
      <w:bookmarkEnd w:id="397"/>
      <w:bookmarkEnd w:id="398"/>
      <w:bookmarkEnd w:id="399"/>
      <w:bookmarkEnd w:id="400"/>
      <w:bookmarkEnd w:id="401"/>
      <w:bookmarkEnd w:id="402"/>
      <w:bookmarkEnd w:id="403"/>
      <w:bookmarkEnd w:id="404"/>
      <w:bookmarkEnd w:id="412"/>
      <w:bookmarkEnd w:id="413"/>
      <w:bookmarkStart w:id="414" w:name="_Toc282787583"/>
      <w:bookmarkStart w:id="415" w:name="_Toc288491653"/>
      <w:bookmarkStart w:id="416" w:name="_Toc572"/>
      <w:bookmarkStart w:id="417" w:name="_Toc283794325"/>
      <w:bookmarkStart w:id="418" w:name="_Toc287853477"/>
      <w:bookmarkStart w:id="419" w:name="_Toc282779637"/>
      <w:bookmarkStart w:id="420" w:name="_Toc282779128"/>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rPr>
      </w:pPr>
      <w:bookmarkStart w:id="421" w:name="_Toc2528"/>
      <w:r>
        <w:rPr>
          <w:rFonts w:hint="eastAsia" w:ascii="宋体" w:hAnsi="宋体" w:eastAsia="宋体" w:cs="宋体"/>
          <w:color w:val="auto"/>
          <w:sz w:val="21"/>
          <w:szCs w:val="21"/>
          <w:highlight w:val="none"/>
        </w:rPr>
        <w:t>9.2  承包人的施工安全责任</w:t>
      </w:r>
      <w:bookmarkEnd w:id="414"/>
      <w:bookmarkEnd w:id="415"/>
      <w:bookmarkEnd w:id="416"/>
      <w:bookmarkEnd w:id="417"/>
      <w:bookmarkEnd w:id="418"/>
      <w:bookmarkEnd w:id="419"/>
      <w:bookmarkEnd w:id="420"/>
      <w:bookmarkEnd w:id="421"/>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第9.2.5项约定为：</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9.2.5  安全生产费用为工程量清单第100章（不含工程一切险及安全生产责任保险费、安全生产费）至第700章的合计金额为2%计取。安全生产费用应用于施工安全防护用具及设施的采购和更新、安全施工措施的落实、安全生产条件的改善，不得挪作他用。如承包人在此基础上增加安全生产费用以满足项目施工需要，则承包人应在本项目工程量清单其他相关子目的单价或总额价中予以考虑，发包人不再另行支付。因采取合同未约定的特殊防护措施增加的费用，由监理人按第3.5款商定或确定。</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承包人还应执行《浙江省交通建设工程质量和安全生产管理条例》的相关规定和要求。 安全生产费的使用和支付按《浙江省交通建设工程安全生产费用管理办法》的相关要求以及相关最新规定办理。</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 9.2.8(1)目细化为：</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按《公路水运工程安全生产监督管理办法》、《浙江省交通建设工程质量和安全生产管理 条例》</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浙江省交通建设工程质量和安全生产监督工作实施办法》、《关于进一步加强全省交通建设工程安全生产管理工作的若干规定》、《省交通运输厅安委办关于印发&lt;浙江省交通建设工程施工安全十条规定&gt;的通知》配备固定专职安全生产管理人员，并履行安全生产管理人员职责。</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 9.2.8(4)目细化为：</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(4) 根据本合同各单位工程的施工特点，严格执行 《公路水运工程安全生产监督管理办法》、 《浙江省交通建设工程质量和安全生产管理条例》、《浙江省交通建设工程质量和安全生产监督工作 实施办法》、《关于进一步加强全省交通建设工程安全生产管理工作的若干规定》、《省交通运输厅 安委办关于印发&lt;浙江省交通建设工程施工安全十条规定&gt;的通知》、《公路工程施工安全技术规范》 等有关规定。</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 9.2.8 项补充第(5)目 ：</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(5) 严格按批准的实施性交通安全组织方案做好施工安全相关组织管理工作。</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补充第9.2.12~9.2.19项：</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9.2.12 承包人应按照《浙江省交通建设工程施工安全风险管理办法》，在施工标段开工前负责组织开展专项风险评估工作，承包人因此增加的费用认为已包括在合同价中， 发包人不另行支付。</w:t>
      </w:r>
    </w:p>
    <w:p>
      <w:pPr>
        <w:keepNext w:val="0"/>
        <w:keepLines w:val="0"/>
        <w:pageBreakBefore w:val="0"/>
        <w:widowControl/>
        <w:kinsoku/>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9.2.13 承包人应对危险性较大的分部分项工程按照《浙江省交通建设危险性较大的分部分项工程专项施工方案管理办法》要求做好专项施工方案编制、审查等工作。由施工引起涉及各类管线的，由承包人负责安全评估等相关工作，以保证施工安全。由施工引起的涉河、涉水等审批应由承包人负责。承包人所采取的所有措施以及因此增加的费用 (含技术、安全论证专题费、风险评估费用、聘请专家的会务费、安评、审批等) 应认为已包括在合同价中，发包人不另行支付。危大工程、关键工序施工时，施工单位项目负责人必须现场带班作业，并指定专业技术人员现场落实方案实施。</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9.2.14 在合同执行期间，承包人应执行发包人和行业主管部门下发的安全生产管理的相关规定和文件。</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9.2.15 在合同执行期间，因承包人原因引起的交通事故，其所涉及的停工、索赔、赔偿、诉讼费用及工程拖延或施工费用增加时，应由承包人承担一切责任和费用。</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9.2.16 承包人要加强源头控制，落实安全管理责任，切实做好施工车辆、施工路段管理。一是强化源头管理，对施工车辆上路条件、安全技术状况和资质进行严格把关。二是加强检查力度，严禁施工车辆超载、违法载人以及遮挡号牌、无牌上路等违法行为。三是做好施工路段管控，严格按照有关标准设置明显的安全警示标志，采取安全防护措施，引导施工路段车辆安全通行，严禁非施工作业车辆进入施工区域。</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9.2.17 承包人原则上不得安排夜间施工，确需施工的，必须制定专项方案，报发包人批准。 夜间施工时，承包人项目负责人必须现场带班作业，并指定工程管理人员和专职安全生产管理人员监督现场施</w:t>
      </w:r>
      <w:bookmarkStart w:id="422" w:name="_bookmark123"/>
      <w:bookmarkEnd w:id="422"/>
      <w:r>
        <w:rPr>
          <w:rFonts w:hint="eastAsia" w:ascii="宋体" w:hAnsi="宋体" w:eastAsia="宋体" w:cs="宋体"/>
          <w:color w:val="auto"/>
          <w:szCs w:val="21"/>
          <w:highlight w:val="none"/>
        </w:rPr>
        <w:t>工。</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9.2.18 承包人应按照《交通运输部 应急管理部关于发布&lt;公路水运工程淘汰危及生产安全施工工艺、设备和材料目录&gt;的公告》、《浙江省交通运输厅关于发布&lt;浙江省公路水运工程落后施工工艺、设备和材料的淘汰目录(第一批)&gt;的通知》等规定，严格淘汰危及生产安全和落后的施工工艺、设备和材料。</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9.2.19 </w:t>
      </w:r>
      <w:r>
        <w:rPr>
          <w:rFonts w:hint="eastAsia" w:ascii="宋体" w:hAnsi="宋体" w:eastAsia="宋体" w:cs="宋体"/>
          <w:color w:val="auto"/>
          <w:szCs w:val="21"/>
          <w:highlight w:val="none"/>
          <w:lang w:val="en-US" w:eastAsia="zh-CN"/>
        </w:rPr>
        <w:t>承包人和联合体牵头单位对施工安全生产负总责，必须设立项目安全生产管理机构，与成员单位签订安全生产专项协议，明确安全生产工作和管控要求。</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违反本款规定，则按第</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22.1</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款承包人违约处理。</w:t>
      </w:r>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lang w:val="en-US" w:eastAsia="zh-CN"/>
        </w:rPr>
      </w:pPr>
      <w:bookmarkStart w:id="423" w:name="_Toc7705"/>
      <w:r>
        <w:rPr>
          <w:rFonts w:hint="eastAsia" w:ascii="宋体" w:hAnsi="宋体" w:eastAsia="宋体" w:cs="宋体"/>
          <w:color w:val="auto"/>
          <w:sz w:val="21"/>
          <w:szCs w:val="21"/>
          <w:highlight w:val="none"/>
          <w:lang w:val="en-US" w:eastAsia="zh-CN"/>
        </w:rPr>
        <w:t>9.4 环境保护</w:t>
      </w:r>
      <w:bookmarkEnd w:id="423"/>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bookmarkStart w:id="424" w:name="_Toc282787584"/>
      <w:bookmarkStart w:id="425" w:name="_Toc287853478"/>
      <w:bookmarkStart w:id="426" w:name="_Toc10465"/>
      <w:bookmarkStart w:id="427" w:name="_Toc283794326"/>
      <w:bookmarkStart w:id="428" w:name="_Toc1824"/>
      <w:bookmarkStart w:id="429" w:name="_Toc30529"/>
      <w:bookmarkStart w:id="430" w:name="_Toc10384"/>
      <w:bookmarkStart w:id="431" w:name="_Toc282779129"/>
      <w:bookmarkStart w:id="432" w:name="_Toc288491654"/>
      <w:bookmarkStart w:id="433" w:name="_Toc282779638"/>
      <w:bookmarkStart w:id="434" w:name="_Toc22042"/>
      <w:r>
        <w:rPr>
          <w:rFonts w:hint="eastAsia" w:ascii="宋体" w:hAnsi="宋体" w:eastAsia="宋体" w:cs="宋体"/>
          <w:color w:val="auto"/>
          <w:szCs w:val="21"/>
          <w:highlight w:val="none"/>
        </w:rPr>
        <w:t>本款补充第9.4.12项：</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9.4.12 承包人在施工中应当贯彻“不破坏就是最大的保护”思想，尊重自然植被地貌，原则上不准在主线视线范围内设置借土场 (取土坑)、弃土场 (弃渣场) ，确需要的，承包人须采取复绿、排水及防护等措施，保证公路沿线美观、和谐、环保。</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承包人对借土场 (取土坑)、弃土场 (弃渣场)以及其他临时用地须按照设计图纸或承包人自行 调查确定，选取工作须报监理人审批、发包人同意，并履行相关职能部门的报批程序后，方可开展施工，所采取的复绿、复耕、排水及防护等措施须通过相关部门的环评、水保、土地等验收，承包人所采取的所有措施以及因此增加的费用应认为已包括在合同价中，发包人不另行支付。若承包人无视借、弃土场的环保、水保等的处理要求，发包人有权指定第三方专业施工队伍履行承包人的上述义务，因此所发生的所有费用将在承包人的计量款中直接扣除。</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3"/>
        <w:rPr>
          <w:rFonts w:hint="eastAsia" w:ascii="宋体" w:hAnsi="宋体" w:eastAsia="宋体" w:cs="宋体"/>
          <w:b/>
          <w:bCs w:val="0"/>
          <w:color w:val="auto"/>
          <w:sz w:val="28"/>
          <w:szCs w:val="28"/>
          <w:highlight w:val="none"/>
        </w:rPr>
      </w:pPr>
      <w:bookmarkStart w:id="435" w:name="_Toc5544"/>
      <w:bookmarkStart w:id="436" w:name="_Toc22977"/>
      <w:r>
        <w:rPr>
          <w:rFonts w:hint="eastAsia" w:ascii="宋体" w:hAnsi="宋体" w:eastAsia="宋体" w:cs="宋体"/>
          <w:b/>
          <w:bCs w:val="0"/>
          <w:color w:val="auto"/>
          <w:sz w:val="28"/>
          <w:szCs w:val="28"/>
          <w:highlight w:val="none"/>
        </w:rPr>
        <w:t>10．进度计划</w:t>
      </w:r>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lang w:val="en-US" w:eastAsia="zh-CN"/>
        </w:rPr>
      </w:pPr>
      <w:bookmarkStart w:id="437" w:name="_Toc18240"/>
      <w:bookmarkStart w:id="438" w:name="_Toc282787585"/>
      <w:r>
        <w:rPr>
          <w:rFonts w:hint="eastAsia" w:ascii="宋体" w:hAnsi="宋体" w:eastAsia="宋体" w:cs="宋体"/>
          <w:color w:val="auto"/>
          <w:sz w:val="21"/>
          <w:szCs w:val="21"/>
          <w:highlight w:val="none"/>
          <w:lang w:val="en-US" w:eastAsia="zh-CN"/>
        </w:rPr>
        <w:t>10.1  合同进度计划</w:t>
      </w:r>
      <w:bookmarkEnd w:id="437"/>
      <w:bookmarkEnd w:id="438"/>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bookmarkStart w:id="439" w:name="_Toc287853479"/>
      <w:bookmarkStart w:id="440" w:name="_Toc288491655"/>
      <w:bookmarkStart w:id="441" w:name="_Toc21759"/>
      <w:bookmarkStart w:id="442" w:name="_Toc75"/>
      <w:bookmarkStart w:id="443" w:name="_Toc282779130"/>
      <w:bookmarkStart w:id="444" w:name="_Toc21417"/>
      <w:bookmarkStart w:id="445" w:name="_Toc15605"/>
      <w:bookmarkStart w:id="446" w:name="_Toc283794327"/>
      <w:bookmarkStart w:id="447" w:name="_Toc29238"/>
      <w:bookmarkStart w:id="448" w:name="_Toc282787586"/>
      <w:bookmarkStart w:id="449" w:name="_Toc282779639"/>
      <w:r>
        <w:rPr>
          <w:rFonts w:hint="eastAsia" w:ascii="宋体" w:hAnsi="宋体" w:eastAsia="宋体" w:cs="宋体"/>
          <w:color w:val="auto"/>
          <w:szCs w:val="21"/>
          <w:highlight w:val="none"/>
        </w:rPr>
        <w:t>本款中</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承包人编制施工方案的内容应包括 (但不限于) ：</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(1)总体施工组织布置及规划</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(2)主要工程项目的施工方案、方法与技术措施 (尤其对重点、关键和难点工程的施工方案、方 法及其措施)</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(3)工期保证体系及保证措施</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(4)工程质量管理体系及保证措施</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(5)安全生产管理体系及保证措施</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(6)环境保护、水土保持保证体系及保证措施</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(7)文明施工、文物保护保证体系及保证措施</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(8)项目风险预测与防范，事故应急预案</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(9)其他应说明的事项以及相应的图表。 </w:t>
      </w:r>
    </w:p>
    <w:p>
      <w:pPr>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补充第 10.5 款：</w:t>
      </w:r>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lang w:val="en-US" w:eastAsia="zh-CN"/>
        </w:rPr>
      </w:pPr>
      <w:bookmarkStart w:id="450" w:name="_Toc16659"/>
      <w:r>
        <w:rPr>
          <w:rFonts w:hint="eastAsia" w:ascii="宋体" w:hAnsi="宋体" w:eastAsia="宋体" w:cs="宋体"/>
          <w:color w:val="auto"/>
          <w:sz w:val="21"/>
          <w:szCs w:val="21"/>
          <w:highlight w:val="none"/>
          <w:lang w:val="en-US" w:eastAsia="zh-CN"/>
        </w:rPr>
        <w:t>10.5  季度计划、月度计划、旬计划</w:t>
      </w:r>
      <w:bookmarkEnd w:id="450"/>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(1)季度计划</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承包人在总体计划(年度计划) 总体要求下编制季度计划，其格式统一按发包人批准后下发的填 报要求执行。季度计划必须保持总体计划 (年度计划)的实现。季度计划应在上一个季度的最后一个月的25日前提交给监理人。</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(2)月度计划</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在季度计划的要求下编制月度计划，其格式统一按发包人批准后下发的填报要求执行。月度计划必须保持季度计划的实现。月度计划如未能完成，应在文字介绍里详述原因，并在剩余工期中的下一阶段进度试刊中补回来，且详述补救措施。</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(3)旬计划</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承包人应根据批复的月底计划编制旬计划，并按要求定期向发包人上报旬计划及完成情况汇报资料。</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3"/>
        <w:rPr>
          <w:rFonts w:hint="eastAsia" w:ascii="宋体" w:hAnsi="宋体" w:eastAsia="宋体" w:cs="宋体"/>
          <w:b/>
          <w:bCs w:val="0"/>
          <w:color w:val="auto"/>
          <w:sz w:val="28"/>
          <w:szCs w:val="28"/>
          <w:highlight w:val="none"/>
        </w:rPr>
      </w:pPr>
      <w:bookmarkStart w:id="451" w:name="_Toc24983"/>
      <w:bookmarkStart w:id="452" w:name="_Toc27088"/>
      <w:r>
        <w:rPr>
          <w:rFonts w:hint="eastAsia" w:ascii="宋体" w:hAnsi="宋体" w:eastAsia="宋体" w:cs="宋体"/>
          <w:b/>
          <w:bCs w:val="0"/>
          <w:color w:val="auto"/>
          <w:sz w:val="28"/>
          <w:szCs w:val="28"/>
          <w:highlight w:val="none"/>
        </w:rPr>
        <w:t>11．开工和交工</w:t>
      </w:r>
      <w:bookmarkEnd w:id="439"/>
      <w:bookmarkEnd w:id="440"/>
      <w:bookmarkEnd w:id="441"/>
      <w:bookmarkEnd w:id="442"/>
      <w:bookmarkEnd w:id="443"/>
      <w:bookmarkEnd w:id="444"/>
      <w:bookmarkEnd w:id="445"/>
      <w:bookmarkEnd w:id="446"/>
      <w:bookmarkEnd w:id="447"/>
      <w:bookmarkEnd w:id="448"/>
      <w:bookmarkEnd w:id="449"/>
      <w:bookmarkEnd w:id="451"/>
      <w:bookmarkEnd w:id="452"/>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lang w:val="en-US" w:eastAsia="zh-CN"/>
        </w:rPr>
      </w:pPr>
      <w:bookmarkStart w:id="453" w:name="_Toc5951"/>
      <w:bookmarkStart w:id="454" w:name="_Toc282787587"/>
      <w:r>
        <w:rPr>
          <w:rFonts w:hint="eastAsia" w:ascii="宋体" w:hAnsi="宋体" w:eastAsia="宋体" w:cs="宋体"/>
          <w:color w:val="auto"/>
          <w:sz w:val="21"/>
          <w:szCs w:val="21"/>
          <w:highlight w:val="none"/>
          <w:lang w:val="en-US" w:eastAsia="zh-CN"/>
        </w:rPr>
        <w:t>11.4  异常恶劣的气候条件</w:t>
      </w:r>
      <w:bookmarkEnd w:id="453"/>
      <w:bookmarkEnd w:id="454"/>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(1)异常恶劣的气候条件， 对本项目而言，是指发生龙卷风、工地受淹、超过桥梁设计洪水位以及不利降水等引起延误的情况。</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(2)不利降水的衡量标准为：</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a.按本省气象部门统计的项目所在地降水资料，取最近二十年的平均降水天数为标准；</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b.按项目所在地实际统计的年降水天数与 a 所指的年降水天数之差，每年计算一次。</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(3)异常恶劣气候的时间，监理人将根据承包人的申请和提交的证明予以评定，但在评定时还将考虑按同等标准，用施工期限内其它月份良好的气候的时间予以抵补。恶劣气候在每个月对工程进度影响的评定，应在整个合同期内予以累计。</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(4)若恶劣气候只是对局部工程有影响，承包人应采取合同措施予以弥补，而不能推迟工程的总工期。</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(5)受本款所述的恶劣气候影响的分项工程， 必须在工程施工进度网络计划的关键线路上，监理人方能考虑延长工程总工期。</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3"/>
        <w:rPr>
          <w:rFonts w:hint="eastAsia" w:ascii="宋体" w:hAnsi="宋体" w:eastAsia="宋体" w:cs="宋体"/>
          <w:b/>
          <w:bCs w:val="0"/>
          <w:color w:val="auto"/>
          <w:sz w:val="28"/>
          <w:szCs w:val="28"/>
          <w:highlight w:val="none"/>
        </w:rPr>
      </w:pPr>
      <w:bookmarkStart w:id="455" w:name="_Toc288491656"/>
      <w:bookmarkStart w:id="456" w:name="_Toc5592"/>
      <w:bookmarkStart w:id="457" w:name="_Toc20202"/>
      <w:bookmarkStart w:id="458" w:name="_Toc19316"/>
      <w:bookmarkStart w:id="459" w:name="_Toc29141"/>
      <w:bookmarkStart w:id="460" w:name="_Toc282779640"/>
      <w:bookmarkStart w:id="461" w:name="_Toc16544"/>
      <w:bookmarkStart w:id="462" w:name="_Toc287853480"/>
      <w:bookmarkStart w:id="463" w:name="_Toc282787588"/>
      <w:bookmarkStart w:id="464" w:name="_Toc282779131"/>
      <w:bookmarkStart w:id="465" w:name="_Toc11546"/>
      <w:bookmarkStart w:id="466" w:name="_Toc12269"/>
      <w:bookmarkStart w:id="467" w:name="_Toc283794328"/>
      <w:r>
        <w:rPr>
          <w:rFonts w:hint="eastAsia" w:ascii="宋体" w:hAnsi="宋体" w:eastAsia="宋体" w:cs="宋体"/>
          <w:b/>
          <w:bCs w:val="0"/>
          <w:color w:val="auto"/>
          <w:sz w:val="28"/>
          <w:szCs w:val="28"/>
          <w:highlight w:val="none"/>
        </w:rPr>
        <w:t>12. 暂停施工</w:t>
      </w:r>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lang w:val="en-US" w:eastAsia="zh-CN"/>
        </w:rPr>
      </w:pPr>
      <w:bookmarkStart w:id="468" w:name="_Toc282787589"/>
      <w:bookmarkStart w:id="469" w:name="_Toc238550384"/>
      <w:bookmarkStart w:id="470" w:name="_Toc4544"/>
      <w:r>
        <w:rPr>
          <w:rFonts w:hint="eastAsia" w:ascii="宋体" w:hAnsi="宋体" w:eastAsia="宋体" w:cs="宋体"/>
          <w:color w:val="auto"/>
          <w:sz w:val="21"/>
          <w:szCs w:val="21"/>
          <w:highlight w:val="none"/>
          <w:lang w:val="en-US" w:eastAsia="zh-CN"/>
        </w:rPr>
        <w:t>12.1  承包人暂停施工的责任</w:t>
      </w:r>
      <w:bookmarkEnd w:id="468"/>
      <w:bookmarkEnd w:id="469"/>
      <w:bookmarkEnd w:id="470"/>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本款第12.1（6）项约定为：</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（6）由承包人承担的其它暂停施工：</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none"/>
          <w:lang w:eastAsia="zh-CN"/>
        </w:rPr>
        <w:t>。</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3"/>
        <w:rPr>
          <w:rFonts w:hint="eastAsia" w:ascii="宋体" w:hAnsi="宋体" w:eastAsia="宋体" w:cs="宋体"/>
          <w:b/>
          <w:bCs w:val="0"/>
          <w:color w:val="auto"/>
          <w:sz w:val="28"/>
          <w:szCs w:val="28"/>
          <w:highlight w:val="none"/>
        </w:rPr>
      </w:pPr>
      <w:bookmarkStart w:id="471" w:name="_Toc14066"/>
      <w:bookmarkStart w:id="472" w:name="_Toc282779132"/>
      <w:bookmarkStart w:id="473" w:name="_Toc288491657"/>
      <w:bookmarkStart w:id="474" w:name="_Toc240883731"/>
      <w:bookmarkStart w:id="475" w:name="_Toc282787591"/>
      <w:bookmarkStart w:id="476" w:name="_Toc5600"/>
      <w:bookmarkStart w:id="477" w:name="_Toc1351"/>
      <w:bookmarkStart w:id="478" w:name="_Toc282779641"/>
      <w:bookmarkStart w:id="479" w:name="_Toc3032"/>
      <w:bookmarkStart w:id="480" w:name="_Toc283794329"/>
      <w:bookmarkStart w:id="481" w:name="_Toc20762"/>
      <w:bookmarkStart w:id="482" w:name="_Toc240724136"/>
      <w:bookmarkStart w:id="483" w:name="_Toc17984"/>
      <w:bookmarkStart w:id="484" w:name="_Toc23917"/>
      <w:bookmarkStart w:id="485" w:name="_Toc287853481"/>
      <w:r>
        <w:rPr>
          <w:rFonts w:hint="eastAsia" w:ascii="宋体" w:hAnsi="宋体" w:eastAsia="宋体" w:cs="宋体"/>
          <w:b/>
          <w:bCs w:val="0"/>
          <w:color w:val="auto"/>
          <w:sz w:val="28"/>
          <w:szCs w:val="28"/>
          <w:highlight w:val="none"/>
          <w:lang w:val="en-US" w:eastAsia="zh-CN"/>
        </w:rPr>
        <w:t xml:space="preserve">13. </w:t>
      </w:r>
      <w:r>
        <w:rPr>
          <w:rFonts w:hint="eastAsia" w:ascii="宋体" w:hAnsi="宋体" w:eastAsia="宋体" w:cs="宋体"/>
          <w:b/>
          <w:bCs w:val="0"/>
          <w:color w:val="auto"/>
          <w:sz w:val="28"/>
          <w:szCs w:val="28"/>
          <w:highlight w:val="none"/>
        </w:rPr>
        <w:t>工程质量</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lang w:val="en-US" w:eastAsia="zh-CN"/>
        </w:rPr>
      </w:pPr>
      <w:bookmarkStart w:id="486" w:name="_Toc27484"/>
      <w:r>
        <w:rPr>
          <w:rFonts w:hint="eastAsia" w:ascii="宋体" w:hAnsi="宋体" w:eastAsia="宋体" w:cs="宋体"/>
          <w:color w:val="auto"/>
          <w:sz w:val="21"/>
          <w:szCs w:val="21"/>
          <w:highlight w:val="none"/>
          <w:lang w:val="en-US" w:eastAsia="zh-CN"/>
        </w:rPr>
        <w:t>13.1 工程质量要求</w:t>
      </w:r>
      <w:bookmarkEnd w:id="486"/>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第13.1.1 项约定为：</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工程质量验收按技术规范及《公路工程质量检验评定标准》 执行。本工程的质量目标为：标段工程交工验收的质量评定：</w:t>
      </w:r>
      <w:r>
        <w:rPr>
          <w:rFonts w:hint="eastAsia" w:ascii="宋体" w:hAnsi="宋体" w:eastAsia="宋体" w:cs="宋体"/>
          <w:color w:val="auto"/>
          <w:szCs w:val="21"/>
          <w:highlight w:val="none"/>
          <w:u w:val="single"/>
          <w:lang w:val="en-US" w:eastAsia="zh-CN"/>
        </w:rPr>
        <w:t xml:space="preserve"> 合格 </w:t>
      </w:r>
      <w:r>
        <w:rPr>
          <w:rFonts w:hint="eastAsia" w:ascii="宋体" w:hAnsi="宋体" w:eastAsia="宋体" w:cs="宋体"/>
          <w:color w:val="auto"/>
          <w:szCs w:val="21"/>
          <w:highlight w:val="none"/>
        </w:rPr>
        <w:t xml:space="preserve"> ；标段工程竣工验收的质量评定：</w:t>
      </w:r>
      <w:r>
        <w:rPr>
          <w:rFonts w:hint="eastAsia" w:ascii="宋体" w:hAnsi="宋体" w:eastAsia="宋体" w:cs="宋体"/>
          <w:color w:val="auto"/>
          <w:szCs w:val="21"/>
          <w:highlight w:val="none"/>
          <w:u w:val="single"/>
          <w:lang w:val="en-US" w:eastAsia="zh-CN"/>
        </w:rPr>
        <w:t xml:space="preserve"> 90分及以上 </w:t>
      </w:r>
      <w:r>
        <w:rPr>
          <w:rFonts w:hint="eastAsia" w:ascii="宋体" w:hAnsi="宋体" w:eastAsia="宋体" w:cs="宋体"/>
          <w:color w:val="auto"/>
          <w:szCs w:val="21"/>
          <w:highlight w:val="none"/>
        </w:rPr>
        <w:t>。</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根据《浙江省公路水运工程施工原材料和产品质量管理若干规定》，外购的碎石、沥青等原材料，承包人应当组织对产地、料源、生产设备和工艺进行调查，调查结果应当报送监理单位、建设单位。对每批次进场的碎石、沥青等原材料应当严格按照规定进行检验，检验合格并批准后方可使用。</w:t>
      </w:r>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lang w:val="en-US" w:eastAsia="zh-CN"/>
        </w:rPr>
      </w:pPr>
      <w:bookmarkStart w:id="487" w:name="_Toc29458"/>
      <w:r>
        <w:rPr>
          <w:rFonts w:hint="eastAsia" w:ascii="宋体" w:hAnsi="宋体" w:eastAsia="宋体" w:cs="宋体"/>
          <w:color w:val="auto"/>
          <w:sz w:val="21"/>
          <w:szCs w:val="21"/>
          <w:highlight w:val="none"/>
          <w:lang w:val="en-US" w:eastAsia="zh-CN"/>
        </w:rPr>
        <w:t xml:space="preserve">13.2 承包人的质量管理 </w:t>
      </w:r>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20" w:firstLineChars="200"/>
        <w:textAlignment w:val="baseline"/>
        <w:outlineLvl w:val="4"/>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 13.2.4项细化为：</w:t>
      </w:r>
      <w:bookmarkEnd w:id="487"/>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13.2.4 承包人应当建立健全工程质量保证体系，制定质量管理制度，强化工程质量管理措施，完善工程质量目标保障机制；严格遵守国家有关法律、法规、规章及《浙江省交通建设工程质量和安全生产管理条例》，严格执行公路工程强制性技术标准、各类技术规范及规程，全面履行工程合同义务。</w:t>
      </w:r>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lang w:val="en-US" w:eastAsia="zh-CN"/>
        </w:rPr>
      </w:pPr>
      <w:bookmarkStart w:id="488" w:name="_Toc31274"/>
      <w:r>
        <w:rPr>
          <w:rFonts w:hint="eastAsia" w:ascii="宋体" w:hAnsi="宋体" w:eastAsia="宋体" w:cs="宋体"/>
          <w:color w:val="auto"/>
          <w:sz w:val="21"/>
          <w:szCs w:val="21"/>
          <w:highlight w:val="none"/>
          <w:lang w:val="en-US" w:eastAsia="zh-CN"/>
        </w:rPr>
        <w:t>13.5 工程隐蔽部位覆盖前的检查 第 13.5.1 项补充：</w:t>
      </w:r>
      <w:bookmarkEnd w:id="488"/>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隐蔽工程覆盖前应经监理人检查签认，分阶段 (工序) 进行摄像或照相，并向监理人提供相关资料作为计量支付的依据。</w:t>
      </w:r>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补充第 13.7 款：</w:t>
      </w:r>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lang w:val="en-US" w:eastAsia="zh-CN"/>
        </w:rPr>
      </w:pPr>
      <w:bookmarkStart w:id="489" w:name="_Toc25892"/>
      <w:r>
        <w:rPr>
          <w:rFonts w:hint="eastAsia" w:ascii="宋体" w:hAnsi="宋体" w:eastAsia="宋体" w:cs="宋体"/>
          <w:color w:val="auto"/>
          <w:sz w:val="21"/>
          <w:szCs w:val="21"/>
          <w:highlight w:val="none"/>
          <w:lang w:val="en-US" w:eastAsia="zh-CN"/>
        </w:rPr>
        <w:t>13.7 质量抽检</w:t>
      </w:r>
      <w:bookmarkEnd w:id="489"/>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主管交通工程质量监督机构有权对承包人施工质量随时进行抽检，并通过监理人对工程质量实施否决，承包人应积极配合并免费提供试验用的试件。承包人为配合上述工作发生的材料、机械、人员及试验和检验等费用不另行支付。</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3"/>
        <w:rPr>
          <w:rFonts w:hint="eastAsia" w:ascii="宋体" w:hAnsi="宋体" w:eastAsia="宋体" w:cs="宋体"/>
          <w:b/>
          <w:bCs w:val="0"/>
          <w:color w:val="auto"/>
          <w:sz w:val="28"/>
          <w:szCs w:val="28"/>
          <w:highlight w:val="none"/>
        </w:rPr>
      </w:pPr>
      <w:bookmarkStart w:id="490" w:name="_Toc32728"/>
      <w:bookmarkStart w:id="491" w:name="_Toc21153"/>
      <w:r>
        <w:rPr>
          <w:rFonts w:hint="eastAsia" w:ascii="宋体" w:hAnsi="宋体" w:eastAsia="宋体" w:cs="宋体"/>
          <w:b/>
          <w:bCs w:val="0"/>
          <w:color w:val="auto"/>
          <w:sz w:val="28"/>
          <w:szCs w:val="28"/>
          <w:highlight w:val="none"/>
        </w:rPr>
        <w:t>14. 试验和检验</w:t>
      </w:r>
      <w:bookmarkEnd w:id="490"/>
      <w:bookmarkEnd w:id="491"/>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lang w:val="en-US" w:eastAsia="zh-CN"/>
        </w:rPr>
      </w:pPr>
      <w:bookmarkStart w:id="492" w:name="_Toc12635"/>
      <w:r>
        <w:rPr>
          <w:rFonts w:hint="eastAsia" w:ascii="宋体" w:hAnsi="宋体" w:eastAsia="宋体" w:cs="宋体"/>
          <w:color w:val="auto"/>
          <w:sz w:val="21"/>
          <w:szCs w:val="21"/>
          <w:highlight w:val="none"/>
          <w:lang w:val="en-US" w:eastAsia="zh-CN"/>
        </w:rPr>
        <w:t>14.1  材料、工程设备和工程的试验和检验第14.1.3项细化为：</w:t>
      </w:r>
      <w:bookmarkEnd w:id="492"/>
    </w:p>
    <w:p>
      <w:pPr>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14.1.3 监理人对承包人的试验和检验结果有疑问的，或为查清承包人试验和检验成果的可靠性要求承包人重新试验和检验的，可按合同约定由监理人与承包人共同进行，或由监理人委托给第三方独立的检验单位，该检验单位必须具有国家技术监督局或专业机构的认证资格。重新试验和检验的结果证明该项材料、工程设备或工程的质量不符合合同要求的，由此增加的费用和 (或) 工期延误由承包人承担；重新试验和检验结果证明该项材料、工程设备和工程符合合同要求，由发包人承担由此增加的费用和 (或) 工期延误，并支付承包人合理利润。</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30" w:lineRule="exact"/>
        <w:textAlignment w:val="baseline"/>
        <w:outlineLvl w:val="3"/>
        <w:rPr>
          <w:rFonts w:hint="eastAsia" w:ascii="宋体" w:hAnsi="宋体" w:eastAsia="宋体" w:cs="宋体"/>
          <w:b/>
          <w:bCs w:val="0"/>
          <w:color w:val="auto"/>
          <w:sz w:val="28"/>
          <w:szCs w:val="28"/>
          <w:highlight w:val="none"/>
        </w:rPr>
      </w:pPr>
      <w:bookmarkStart w:id="493" w:name="_Toc18502"/>
      <w:bookmarkStart w:id="494" w:name="_Toc2875"/>
      <w:r>
        <w:rPr>
          <w:rFonts w:hint="eastAsia" w:ascii="宋体" w:hAnsi="宋体" w:eastAsia="宋体" w:cs="宋体"/>
          <w:b/>
          <w:bCs w:val="0"/>
          <w:color w:val="auto"/>
          <w:sz w:val="28"/>
          <w:szCs w:val="28"/>
          <w:highlight w:val="none"/>
        </w:rPr>
        <w:t>15．变更</w:t>
      </w:r>
      <w:bookmarkEnd w:id="493"/>
      <w:bookmarkEnd w:id="494"/>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30" w:lineRule="exact"/>
        <w:textAlignment w:val="baseline"/>
        <w:outlineLvl w:val="4"/>
        <w:rPr>
          <w:rFonts w:hint="eastAsia" w:ascii="宋体" w:hAnsi="宋体" w:eastAsia="宋体" w:cs="宋体"/>
          <w:color w:val="auto"/>
          <w:sz w:val="21"/>
          <w:szCs w:val="21"/>
          <w:highlight w:val="none"/>
          <w:lang w:val="en-US" w:eastAsia="zh-CN"/>
        </w:rPr>
      </w:pPr>
      <w:bookmarkStart w:id="495" w:name="_Toc12332"/>
      <w:r>
        <w:rPr>
          <w:rFonts w:hint="eastAsia" w:ascii="宋体" w:hAnsi="宋体" w:eastAsia="宋体" w:cs="宋体"/>
          <w:color w:val="auto"/>
          <w:sz w:val="21"/>
          <w:szCs w:val="21"/>
          <w:highlight w:val="none"/>
          <w:lang w:val="en-US" w:eastAsia="zh-CN"/>
        </w:rPr>
        <w:t>15.3  变更程序</w:t>
      </w:r>
      <w:bookmarkEnd w:id="495"/>
    </w:p>
    <w:p>
      <w:pPr>
        <w:pageBreakBefore w:val="0"/>
        <w:widowControl/>
        <w:tabs>
          <w:tab w:val="left" w:pos="2790"/>
        </w:tabs>
        <w:kinsoku w:val="0"/>
        <w:wordWrap/>
        <w:overflowPunct/>
        <w:topLinePunct w:val="0"/>
        <w:autoSpaceDE w:val="0"/>
        <w:autoSpaceDN w:val="0"/>
        <w:bidi w:val="0"/>
        <w:adjustRightInd w:val="0"/>
        <w:snapToGrid w:val="0"/>
        <w:spacing w:line="33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公路工程专用合同条款15.3.4款细化为：</w:t>
      </w:r>
    </w:p>
    <w:p>
      <w:pPr>
        <w:pStyle w:val="17"/>
        <w:pageBreakBefore w:val="0"/>
        <w:widowControl/>
        <w:kinsoku w:val="0"/>
        <w:wordWrap/>
        <w:overflowPunct/>
        <w:topLinePunct w:val="0"/>
        <w:autoSpaceDE w:val="0"/>
        <w:autoSpaceDN w:val="0"/>
        <w:bidi w:val="0"/>
        <w:adjustRightInd w:val="0"/>
        <w:snapToGrid w:val="0"/>
        <w:spacing w:before="0" w:beforeAutospacing="0" w:after="0" w:afterAutospacing="0" w:line="330" w:lineRule="exact"/>
        <w:ind w:firstLine="330"/>
        <w:jc w:val="both"/>
        <w:textAlignment w:val="baseline"/>
        <w:rPr>
          <w:rFonts w:hint="eastAsia" w:ascii="宋体" w:hAnsi="宋体" w:eastAsia="宋体" w:cs="宋体"/>
          <w:color w:val="auto"/>
          <w:kern w:val="2"/>
          <w:sz w:val="21"/>
          <w:szCs w:val="21"/>
          <w:highlight w:val="none"/>
        </w:rPr>
      </w:pPr>
      <w:bookmarkStart w:id="496" w:name="_Toc306888250"/>
      <w:r>
        <w:rPr>
          <w:rFonts w:hint="eastAsia" w:ascii="宋体" w:hAnsi="宋体" w:eastAsia="宋体" w:cs="宋体"/>
          <w:color w:val="auto"/>
          <w:kern w:val="2"/>
          <w:sz w:val="21"/>
          <w:szCs w:val="21"/>
          <w:highlight w:val="none"/>
          <w:lang w:bidi="ar"/>
        </w:rPr>
        <w:t>15.3.4 变更程序按嵊政办〔2021〕98号文件《嵊州市政府及国有资金投资项目工程变更管理办法》及行业主管部门相关文件规定执行。</w:t>
      </w:r>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30" w:lineRule="exact"/>
        <w:textAlignment w:val="baseline"/>
        <w:outlineLvl w:val="4"/>
        <w:rPr>
          <w:rFonts w:hint="eastAsia" w:ascii="宋体" w:hAnsi="宋体" w:eastAsia="宋体" w:cs="宋体"/>
          <w:color w:val="auto"/>
          <w:sz w:val="21"/>
          <w:szCs w:val="21"/>
          <w:highlight w:val="none"/>
          <w:lang w:val="en-US" w:eastAsia="zh-CN"/>
        </w:rPr>
      </w:pPr>
      <w:bookmarkStart w:id="497" w:name="_Toc24760"/>
      <w:r>
        <w:rPr>
          <w:rFonts w:hint="eastAsia" w:ascii="宋体" w:hAnsi="宋体" w:eastAsia="宋体" w:cs="宋体"/>
          <w:color w:val="auto"/>
          <w:sz w:val="21"/>
          <w:szCs w:val="21"/>
          <w:highlight w:val="none"/>
          <w:lang w:val="en-US" w:eastAsia="zh-CN"/>
        </w:rPr>
        <w:t>15.4  变更的估价原则</w:t>
      </w:r>
      <w:bookmarkEnd w:id="496"/>
      <w:bookmarkEnd w:id="497"/>
    </w:p>
    <w:p>
      <w:pPr>
        <w:keepNext w:val="0"/>
        <w:keepLines w:val="0"/>
        <w:pageBreakBefore w:val="0"/>
        <w:widowControl/>
        <w:kinsoku/>
        <w:wordWrap/>
        <w:overflowPunct/>
        <w:topLinePunct w:val="0"/>
        <w:autoSpaceDE w:val="0"/>
        <w:autoSpaceDN w:val="0"/>
        <w:bidi w:val="0"/>
        <w:adjustRightInd w:val="0"/>
        <w:snapToGrid w:val="0"/>
        <w:spacing w:line="330" w:lineRule="exact"/>
        <w:ind w:firstLine="437"/>
        <w:textAlignment w:val="baseline"/>
        <w:outlineLvl w:val="9"/>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15.4.2 已标价的工程量清单中有适用于变更工作的子目的，采用该子目的单价。但是，如果合同的工程量清单中某一个支付子目所列的“合价”（含变更后的“合价”）超过签约合同价的2%，而且该支付子目变更后的工程实际增（或减）数量超过工程量清单中所列数量的 25%，则该支付子目的单价应子以调整，新单价的确定原则适用 15.4.4 项的规定。当支付子目变更后的工程实际增加数量超过工程量清单中所列数量的 25%的，调整后的新单价适用于该支付子目超过工程量清单中所列数量的工程数量；当支付子目变更后的工程实际减少数量超过工程量清单中所列数量的 25%的，调整后的新单价适用于该支付子目全部工程数量。</w:t>
      </w:r>
    </w:p>
    <w:p>
      <w:pPr>
        <w:pageBreakBefore w:val="0"/>
        <w:widowControl/>
        <w:kinsoku w:val="0"/>
        <w:wordWrap/>
        <w:overflowPunct/>
        <w:topLinePunct w:val="0"/>
        <w:autoSpaceDE w:val="0"/>
        <w:autoSpaceDN w:val="0"/>
        <w:bidi w:val="0"/>
        <w:adjustRightInd w:val="0"/>
        <w:snapToGrid w:val="0"/>
        <w:spacing w:line="330" w:lineRule="exact"/>
        <w:ind w:firstLine="435"/>
        <w:textAlignment w:val="baseline"/>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第15.4.4 项细化为：</w:t>
      </w:r>
    </w:p>
    <w:p>
      <w:pPr>
        <w:pStyle w:val="17"/>
        <w:pageBreakBefore w:val="0"/>
        <w:widowControl/>
        <w:kinsoku w:val="0"/>
        <w:wordWrap/>
        <w:overflowPunct/>
        <w:topLinePunct w:val="0"/>
        <w:autoSpaceDE w:val="0"/>
        <w:autoSpaceDN w:val="0"/>
        <w:bidi w:val="0"/>
        <w:adjustRightInd w:val="0"/>
        <w:snapToGrid w:val="0"/>
        <w:spacing w:before="0" w:beforeAutospacing="0" w:after="0" w:afterAutospacing="0" w:line="330" w:lineRule="exact"/>
        <w:ind w:firstLine="420" w:firstLineChars="200"/>
        <w:jc w:val="both"/>
        <w:textAlignment w:val="baseline"/>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15.4.</w:t>
      </w:r>
      <w:r>
        <w:rPr>
          <w:rFonts w:hint="eastAsia" w:ascii="宋体" w:hAnsi="宋体" w:eastAsia="宋体" w:cs="宋体"/>
          <w:color w:val="auto"/>
          <w:kern w:val="2"/>
          <w:sz w:val="21"/>
          <w:szCs w:val="21"/>
          <w:highlight w:val="none"/>
          <w:lang w:val="en-US" w:eastAsia="zh-CN"/>
        </w:rPr>
        <w:t>4</w:t>
      </w:r>
      <w:r>
        <w:rPr>
          <w:rFonts w:hint="eastAsia" w:ascii="宋体" w:hAnsi="宋体" w:eastAsia="宋体" w:cs="宋体"/>
          <w:color w:val="auto"/>
          <w:kern w:val="2"/>
          <w:sz w:val="21"/>
          <w:szCs w:val="21"/>
          <w:highlight w:val="none"/>
        </w:rPr>
        <w:t xml:space="preserve"> 已标价工程量清单中无适用子目的单价，其综合单价的确定按以下原则进行组价：</w:t>
      </w:r>
    </w:p>
    <w:p>
      <w:pPr>
        <w:pStyle w:val="17"/>
        <w:pageBreakBefore w:val="0"/>
        <w:widowControl/>
        <w:kinsoku w:val="0"/>
        <w:wordWrap/>
        <w:overflowPunct/>
        <w:topLinePunct w:val="0"/>
        <w:autoSpaceDE w:val="0"/>
        <w:autoSpaceDN w:val="0"/>
        <w:bidi w:val="0"/>
        <w:adjustRightInd w:val="0"/>
        <w:snapToGrid w:val="0"/>
        <w:spacing w:before="0" w:beforeAutospacing="0" w:after="0" w:afterAutospacing="0" w:line="330" w:lineRule="exact"/>
        <w:ind w:firstLine="420" w:firstLineChars="200"/>
        <w:jc w:val="both"/>
        <w:textAlignment w:val="baseline"/>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w:t>
      </w:r>
      <w:r>
        <w:rPr>
          <w:rFonts w:hint="eastAsia" w:ascii="宋体" w:hAnsi="宋体" w:eastAsia="宋体" w:cs="宋体"/>
          <w:snapToGrid w:val="0"/>
          <w:color w:val="auto"/>
          <w:kern w:val="2"/>
          <w:sz w:val="21"/>
          <w:szCs w:val="21"/>
          <w:highlight w:val="none"/>
        </w:rPr>
        <w:t>按交通运输部《公路工程建设项目概算预算编制办法》(JTG3830—2018)、《公路工程预 算定额》(JTG/T3832-2018)、《公路工程机械台班费用定额》(JTG/T3833-2018)、浙江省交通运输厅《转发交通部2018年第86号公告的通知》、《财政部税务总局海关总署关于深化增值税改革有关政策的公告》等有关文件及浙江省补充定额进行组价；取费时施工场地建设费和安全生产费不得计取。</w:t>
      </w:r>
    </w:p>
    <w:p>
      <w:pPr>
        <w:pStyle w:val="17"/>
        <w:pageBreakBefore w:val="0"/>
        <w:widowControl/>
        <w:kinsoku w:val="0"/>
        <w:wordWrap/>
        <w:overflowPunct/>
        <w:topLinePunct w:val="0"/>
        <w:autoSpaceDE w:val="0"/>
        <w:autoSpaceDN w:val="0"/>
        <w:bidi w:val="0"/>
        <w:adjustRightInd w:val="0"/>
        <w:snapToGrid w:val="0"/>
        <w:spacing w:before="0" w:beforeAutospacing="0" w:after="0" w:afterAutospacing="0" w:line="330" w:lineRule="exact"/>
        <w:ind w:firstLine="420" w:firstLineChars="200"/>
        <w:jc w:val="both"/>
        <w:textAlignment w:val="baseline"/>
        <w:outlineLvl w:val="9"/>
        <w:rPr>
          <w:rFonts w:hint="eastAsia" w:ascii="宋体" w:hAnsi="宋体" w:eastAsia="宋体" w:cs="宋体"/>
          <w:color w:val="auto"/>
          <w:kern w:val="2"/>
          <w:sz w:val="21"/>
          <w:szCs w:val="21"/>
          <w:highlight w:val="none"/>
        </w:rPr>
      </w:pPr>
      <w:bookmarkStart w:id="498" w:name="_Toc282779643"/>
      <w:bookmarkStart w:id="499" w:name="_Toc282779134"/>
      <w:bookmarkStart w:id="500" w:name="_Toc288491659"/>
      <w:bookmarkStart w:id="501" w:name="_Toc607"/>
      <w:bookmarkStart w:id="502" w:name="_Toc31418"/>
      <w:bookmarkStart w:id="503" w:name="_Toc287853483"/>
      <w:bookmarkStart w:id="504" w:name="_Toc21647"/>
      <w:bookmarkStart w:id="505" w:name="_Toc23793"/>
      <w:bookmarkStart w:id="506" w:name="_Toc6570"/>
      <w:bookmarkStart w:id="507" w:name="_Toc282787593"/>
      <w:bookmarkStart w:id="508" w:name="_Toc283794331"/>
      <w:r>
        <w:rPr>
          <w:rFonts w:hint="eastAsia" w:ascii="宋体" w:hAnsi="宋体" w:eastAsia="宋体" w:cs="宋体"/>
          <w:color w:val="auto"/>
          <w:kern w:val="2"/>
          <w:sz w:val="21"/>
          <w:szCs w:val="21"/>
          <w:highlight w:val="none"/>
        </w:rPr>
        <w:t>(2) 无法套用上述定额和取费标准的，借用水运</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市政、水利、铁路、建筑定额消耗，参照公路组价办法进行组价。上述定额有区域性的，优先适用浙江定额与取费标准。若仍难以确定变更单价，可按照实际的施工工艺经测算后合理确定工料机消耗量进行组价。</w:t>
      </w:r>
    </w:p>
    <w:p>
      <w:pPr>
        <w:pStyle w:val="17"/>
        <w:pageBreakBefore w:val="0"/>
        <w:widowControl/>
        <w:kinsoku w:val="0"/>
        <w:wordWrap/>
        <w:overflowPunct/>
        <w:topLinePunct w:val="0"/>
        <w:autoSpaceDE w:val="0"/>
        <w:autoSpaceDN w:val="0"/>
        <w:bidi w:val="0"/>
        <w:adjustRightInd w:val="0"/>
        <w:snapToGrid w:val="0"/>
        <w:spacing w:before="0" w:beforeAutospacing="0" w:after="0" w:afterAutospacing="0" w:line="330" w:lineRule="exact"/>
        <w:ind w:firstLine="420" w:firstLineChars="200"/>
        <w:jc w:val="both"/>
        <w:textAlignment w:val="baseline"/>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w:t>
      </w:r>
      <w:r>
        <w:rPr>
          <w:rFonts w:hint="eastAsia" w:eastAsia="宋体" w:cs="宋体"/>
          <w:color w:val="auto"/>
          <w:kern w:val="2"/>
          <w:sz w:val="21"/>
          <w:szCs w:val="21"/>
          <w:highlight w:val="none"/>
          <w:lang w:val="en-US" w:eastAsia="zh-CN"/>
        </w:rPr>
        <w:t>组价时，</w:t>
      </w:r>
      <w:r>
        <w:rPr>
          <w:rFonts w:hint="eastAsia" w:ascii="宋体" w:hAnsi="宋体" w:eastAsia="宋体" w:cs="宋体"/>
          <w:color w:val="auto"/>
          <w:kern w:val="2"/>
          <w:sz w:val="21"/>
          <w:szCs w:val="21"/>
          <w:highlight w:val="none"/>
        </w:rPr>
        <w:t>材料</w:t>
      </w:r>
      <w:r>
        <w:rPr>
          <w:rFonts w:hint="eastAsia" w:eastAsia="宋体" w:cs="宋体"/>
          <w:color w:val="auto"/>
          <w:kern w:val="2"/>
          <w:sz w:val="21"/>
          <w:szCs w:val="21"/>
          <w:highlight w:val="none"/>
          <w:lang w:val="en-US" w:eastAsia="zh-CN"/>
        </w:rPr>
        <w:t>和机械台班</w:t>
      </w:r>
      <w:r>
        <w:rPr>
          <w:rFonts w:hint="eastAsia" w:ascii="宋体" w:hAnsi="宋体" w:eastAsia="宋体" w:cs="宋体"/>
          <w:color w:val="auto"/>
          <w:kern w:val="2"/>
          <w:sz w:val="21"/>
          <w:szCs w:val="21"/>
          <w:highlight w:val="none"/>
        </w:rPr>
        <w:t>（均指不含进项税市场信息价平均值）：按2023年</w:t>
      </w:r>
      <w:r>
        <w:rPr>
          <w:rFonts w:hint="eastAsia" w:eastAsia="宋体" w:cs="宋体"/>
          <w:color w:val="auto"/>
          <w:kern w:val="2"/>
          <w:sz w:val="21"/>
          <w:szCs w:val="21"/>
          <w:highlight w:val="none"/>
          <w:lang w:val="en-US" w:eastAsia="zh-CN"/>
        </w:rPr>
        <w:t>5</w:t>
      </w:r>
      <w:r>
        <w:rPr>
          <w:rFonts w:hint="eastAsia" w:ascii="宋体" w:hAnsi="宋体" w:eastAsia="宋体" w:cs="宋体"/>
          <w:color w:val="auto"/>
          <w:kern w:val="2"/>
          <w:sz w:val="21"/>
          <w:szCs w:val="21"/>
          <w:highlight w:val="none"/>
        </w:rPr>
        <w:t>月浙江交通工程管理中心发布的《质监与造价》上的嵊州市信息价平均值计入（地方材料按2023年</w:t>
      </w:r>
      <w:r>
        <w:rPr>
          <w:rFonts w:hint="eastAsia" w:eastAsia="宋体" w:cs="宋体"/>
          <w:color w:val="auto"/>
          <w:kern w:val="2"/>
          <w:sz w:val="21"/>
          <w:szCs w:val="21"/>
          <w:highlight w:val="none"/>
          <w:lang w:val="en-US" w:eastAsia="zh-CN"/>
        </w:rPr>
        <w:t>5</w:t>
      </w:r>
      <w:r>
        <w:rPr>
          <w:rFonts w:hint="eastAsia" w:ascii="宋体" w:hAnsi="宋体" w:eastAsia="宋体" w:cs="宋体"/>
          <w:color w:val="auto"/>
          <w:kern w:val="2"/>
          <w:sz w:val="21"/>
          <w:szCs w:val="21"/>
          <w:highlight w:val="none"/>
        </w:rPr>
        <w:t>月所在季浙江省交通厅工程造价管理站发布的《质监与造价》上的嵊州市信息价平均值计入；外购材料按2023年</w:t>
      </w:r>
      <w:r>
        <w:rPr>
          <w:rFonts w:hint="eastAsia" w:eastAsia="宋体" w:cs="宋体"/>
          <w:color w:val="auto"/>
          <w:kern w:val="2"/>
          <w:sz w:val="21"/>
          <w:szCs w:val="21"/>
          <w:highlight w:val="none"/>
          <w:lang w:val="en-US" w:eastAsia="zh-CN"/>
        </w:rPr>
        <w:t>5</w:t>
      </w:r>
      <w:r>
        <w:rPr>
          <w:rFonts w:hint="eastAsia" w:ascii="宋体" w:hAnsi="宋体" w:eastAsia="宋体" w:cs="宋体"/>
          <w:color w:val="auto"/>
          <w:kern w:val="2"/>
          <w:sz w:val="21"/>
          <w:szCs w:val="21"/>
          <w:highlight w:val="none"/>
        </w:rPr>
        <w:t>月所在季浙江交通工程管理中心发布的《质监与造价》上的绍兴市信息价平均值计入）；《质监与造价》中无信息价的，按2023年</w:t>
      </w:r>
      <w:r>
        <w:rPr>
          <w:rFonts w:hint="eastAsia" w:eastAsia="宋体" w:cs="宋体"/>
          <w:color w:val="auto"/>
          <w:kern w:val="2"/>
          <w:sz w:val="21"/>
          <w:szCs w:val="21"/>
          <w:highlight w:val="none"/>
          <w:lang w:val="en-US" w:eastAsia="zh-CN"/>
        </w:rPr>
        <w:t>5</w:t>
      </w:r>
      <w:r>
        <w:rPr>
          <w:rFonts w:hint="eastAsia" w:ascii="宋体" w:hAnsi="宋体" w:eastAsia="宋体" w:cs="宋体"/>
          <w:color w:val="auto"/>
          <w:kern w:val="2"/>
          <w:sz w:val="21"/>
          <w:szCs w:val="21"/>
          <w:highlight w:val="none"/>
        </w:rPr>
        <w:t>月《绍兴建设工程造价管理信息》上绍兴市除税信息价计入；《绍兴建设工程造价管理信息》中也无信息价的，通过询价签证确定（签证价不下浮）。</w:t>
      </w:r>
    </w:p>
    <w:p>
      <w:pPr>
        <w:pStyle w:val="17"/>
        <w:pageBreakBefore w:val="0"/>
        <w:widowControl/>
        <w:kinsoku w:val="0"/>
        <w:wordWrap/>
        <w:overflowPunct/>
        <w:topLinePunct w:val="0"/>
        <w:autoSpaceDE w:val="0"/>
        <w:autoSpaceDN w:val="0"/>
        <w:bidi w:val="0"/>
        <w:adjustRightInd w:val="0"/>
        <w:snapToGrid w:val="0"/>
        <w:spacing w:before="0" w:beforeAutospacing="0" w:after="0" w:afterAutospacing="0" w:line="330" w:lineRule="exact"/>
        <w:ind w:firstLine="420" w:firstLineChars="200"/>
        <w:jc w:val="both"/>
        <w:textAlignment w:val="baseline"/>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 根据上述原则组价的综合单价，乘以承包人的投标价与招标时公布的工程量清单预算价的 比例，作为该子目的单价。</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30" w:lineRule="exact"/>
        <w:textAlignment w:val="baseline"/>
        <w:outlineLvl w:val="3"/>
        <w:rPr>
          <w:rFonts w:hint="eastAsia" w:ascii="宋体" w:hAnsi="宋体" w:eastAsia="宋体" w:cs="宋体"/>
          <w:b/>
          <w:bCs w:val="0"/>
          <w:color w:val="auto"/>
          <w:sz w:val="28"/>
          <w:szCs w:val="28"/>
          <w:highlight w:val="none"/>
        </w:rPr>
      </w:pPr>
      <w:bookmarkStart w:id="509" w:name="_Toc30462"/>
      <w:bookmarkStart w:id="510" w:name="_Toc3018"/>
      <w:r>
        <w:rPr>
          <w:rFonts w:hint="eastAsia" w:ascii="宋体" w:hAnsi="宋体" w:eastAsia="宋体" w:cs="宋体"/>
          <w:b/>
          <w:bCs w:val="0"/>
          <w:color w:val="auto"/>
          <w:sz w:val="28"/>
          <w:szCs w:val="28"/>
          <w:highlight w:val="none"/>
        </w:rPr>
        <w:t>16．价格调整</w:t>
      </w:r>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30" w:lineRule="exact"/>
        <w:textAlignment w:val="baseline"/>
        <w:outlineLvl w:val="4"/>
        <w:rPr>
          <w:rFonts w:hint="eastAsia" w:ascii="宋体" w:hAnsi="宋体" w:eastAsia="宋体" w:cs="宋体"/>
          <w:color w:val="auto"/>
          <w:sz w:val="21"/>
          <w:szCs w:val="21"/>
          <w:highlight w:val="none"/>
          <w:lang w:val="en-US" w:eastAsia="zh-CN"/>
        </w:rPr>
      </w:pPr>
      <w:bookmarkStart w:id="511" w:name="_Toc282787594"/>
      <w:bookmarkStart w:id="512" w:name="_Toc13351"/>
      <w:r>
        <w:rPr>
          <w:rFonts w:hint="eastAsia" w:ascii="宋体" w:hAnsi="宋体" w:eastAsia="宋体" w:cs="宋体"/>
          <w:color w:val="auto"/>
          <w:sz w:val="21"/>
          <w:szCs w:val="21"/>
          <w:highlight w:val="none"/>
          <w:lang w:val="en-US" w:eastAsia="zh-CN"/>
        </w:rPr>
        <w:t>16.1  物价波动引起的价格调整</w:t>
      </w:r>
      <w:bookmarkEnd w:id="511"/>
      <w:bookmarkEnd w:id="512"/>
    </w:p>
    <w:p>
      <w:pPr>
        <w:pageBreakBefore w:val="0"/>
        <w:kinsoku w:val="0"/>
        <w:wordWrap/>
        <w:overflowPunct/>
        <w:topLinePunct w:val="0"/>
        <w:autoSpaceDE w:val="0"/>
        <w:autoSpaceDN w:val="0"/>
        <w:bidi w:val="0"/>
        <w:adjustRightInd w:val="0"/>
        <w:snapToGrid w:val="0"/>
        <w:spacing w:line="360" w:lineRule="exact"/>
        <w:ind w:left="0" w:leftChars="0" w:firstLine="422" w:firstLineChars="200"/>
        <w:jc w:val="left"/>
        <w:textAlignment w:val="baseline"/>
        <w:rPr>
          <w:rFonts w:hint="eastAsia" w:ascii="宋体" w:hAnsi="宋体" w:eastAsia="宋体" w:cs="宋体"/>
          <w:color w:val="auto"/>
          <w:sz w:val="21"/>
          <w:szCs w:val="21"/>
          <w:highlight w:val="none"/>
          <w:lang w:eastAsia="zh-CN"/>
        </w:rPr>
      </w:pPr>
      <w:bookmarkStart w:id="513" w:name="_Toc240883737"/>
      <w:bookmarkStart w:id="514" w:name="_Toc287853484"/>
      <w:bookmarkStart w:id="515" w:name="_Toc282787595"/>
      <w:bookmarkStart w:id="516" w:name="_Toc240724142"/>
      <w:bookmarkStart w:id="517" w:name="_Toc282779644"/>
      <w:bookmarkStart w:id="518" w:name="_Toc282779135"/>
      <w:bookmarkStart w:id="519" w:name="_Toc26930"/>
      <w:bookmarkStart w:id="520" w:name="_Toc283794332"/>
      <w:bookmarkStart w:id="521" w:name="_Toc288491660"/>
      <w:r>
        <w:rPr>
          <w:rFonts w:hint="eastAsia" w:ascii="宋体" w:hAnsi="宋体" w:eastAsia="宋体" w:cs="宋体"/>
          <w:b/>
          <w:color w:val="auto"/>
          <w:kern w:val="0"/>
          <w:sz w:val="21"/>
          <w:szCs w:val="21"/>
          <w:highlight w:val="none"/>
        </w:rPr>
        <w:t>调整范围：</w:t>
      </w:r>
      <w:r>
        <w:rPr>
          <w:rFonts w:hint="eastAsia" w:ascii="宋体" w:hAnsi="宋体" w:eastAsia="宋体" w:cs="宋体"/>
          <w:b/>
          <w:color w:val="auto"/>
          <w:sz w:val="21"/>
          <w:szCs w:val="21"/>
          <w:highlight w:val="none"/>
        </w:rPr>
        <w:t>主要材料为</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用于永久性工程的</w:t>
      </w:r>
      <w:r>
        <w:rPr>
          <w:rFonts w:hint="eastAsia" w:ascii="宋体" w:hAnsi="宋体" w:eastAsia="宋体" w:cs="宋体"/>
          <w:b/>
          <w:color w:val="auto"/>
          <w:sz w:val="21"/>
          <w:szCs w:val="21"/>
          <w:highlight w:val="none"/>
        </w:rPr>
        <w:t>钢材</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仅限圆钢、螺纹钢</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rPr>
        <w:t>、</w:t>
      </w:r>
      <w:r>
        <w:rPr>
          <w:rFonts w:hint="eastAsia" w:ascii="宋体" w:hAnsi="宋体" w:eastAsia="宋体" w:cs="宋体"/>
          <w:b/>
          <w:color w:val="auto"/>
          <w:sz w:val="21"/>
          <w:szCs w:val="21"/>
          <w:highlight w:val="none"/>
          <w:lang w:val="en-US" w:eastAsia="zh-CN"/>
        </w:rPr>
        <w:t>钢绞线、</w:t>
      </w:r>
      <w:r>
        <w:rPr>
          <w:rFonts w:hint="eastAsia" w:ascii="宋体" w:hAnsi="宋体" w:eastAsia="宋体" w:cs="宋体"/>
          <w:b/>
          <w:color w:val="auto"/>
          <w:sz w:val="21"/>
          <w:szCs w:val="21"/>
          <w:highlight w:val="none"/>
        </w:rPr>
        <w:t>水泥、</w:t>
      </w:r>
      <w:r>
        <w:rPr>
          <w:rFonts w:hint="eastAsia" w:ascii="宋体" w:hAnsi="宋体" w:eastAsia="宋体" w:cs="宋体"/>
          <w:b/>
          <w:color w:val="auto"/>
          <w:sz w:val="21"/>
          <w:szCs w:val="21"/>
          <w:highlight w:val="none"/>
          <w:lang w:val="en-US" w:eastAsia="zh-CN"/>
        </w:rPr>
        <w:t>黄砂、碎石、沥青</w:t>
      </w:r>
      <w:r>
        <w:rPr>
          <w:rFonts w:hint="eastAsia" w:ascii="宋体" w:hAnsi="宋体" w:eastAsia="宋体" w:cs="宋体"/>
          <w:b/>
          <w:color w:val="auto"/>
          <w:sz w:val="21"/>
          <w:szCs w:val="21"/>
          <w:highlight w:val="none"/>
        </w:rPr>
        <w:t>。</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数量按定额配合比计算</w:t>
      </w:r>
      <w:r>
        <w:rPr>
          <w:rFonts w:hint="eastAsia" w:ascii="宋体" w:hAnsi="宋体" w:eastAsia="宋体" w:cs="宋体"/>
          <w:b/>
          <w:color w:val="auto"/>
          <w:sz w:val="21"/>
          <w:szCs w:val="21"/>
          <w:highlight w:val="none"/>
          <w:lang w:eastAsia="zh-CN"/>
        </w:rPr>
        <w:t>）</w:t>
      </w:r>
    </w:p>
    <w:p>
      <w:pPr>
        <w:pageBreakBefore w:val="0"/>
        <w:widowControl/>
        <w:kinsoku w:val="0"/>
        <w:wordWrap/>
        <w:overflowPunct/>
        <w:topLinePunct w:val="0"/>
        <w:autoSpaceDE w:val="0"/>
        <w:autoSpaceDN w:val="0"/>
        <w:bidi w:val="0"/>
        <w:adjustRightInd w:val="0"/>
        <w:snapToGrid w:val="0"/>
        <w:spacing w:line="360" w:lineRule="exact"/>
        <w:ind w:left="0" w:leftChars="0" w:firstLine="420"/>
        <w:textAlignment w:val="baseline"/>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调整方法：依次按施工期</w:t>
      </w:r>
      <w:r>
        <w:rPr>
          <w:rFonts w:hint="eastAsia" w:ascii="宋体" w:hAnsi="宋体" w:eastAsia="宋体" w:cs="宋体"/>
          <w:b/>
          <w:color w:val="auto"/>
          <w:kern w:val="0"/>
          <w:sz w:val="21"/>
          <w:szCs w:val="21"/>
          <w:highlight w:val="none"/>
          <w:lang w:eastAsia="zh-CN"/>
        </w:rPr>
        <w:t>（</w:t>
      </w:r>
      <w:r>
        <w:rPr>
          <w:rFonts w:hint="eastAsia" w:ascii="宋体" w:hAnsi="宋体" w:eastAsia="宋体" w:cs="宋体"/>
          <w:b/>
          <w:color w:val="auto"/>
          <w:kern w:val="0"/>
          <w:sz w:val="21"/>
          <w:szCs w:val="21"/>
          <w:highlight w:val="none"/>
          <w:lang w:val="en-US" w:eastAsia="zh-CN"/>
        </w:rPr>
        <w:t>自开工令发出后至完工</w:t>
      </w:r>
      <w:r>
        <w:rPr>
          <w:rFonts w:hint="eastAsia" w:ascii="宋体" w:hAnsi="宋体" w:eastAsia="宋体" w:cs="宋体"/>
          <w:b/>
          <w:color w:val="auto"/>
          <w:kern w:val="0"/>
          <w:sz w:val="21"/>
          <w:szCs w:val="21"/>
          <w:highlight w:val="none"/>
          <w:lang w:eastAsia="zh-CN"/>
        </w:rPr>
        <w:t>）</w:t>
      </w:r>
      <w:r>
        <w:rPr>
          <w:rFonts w:hint="eastAsia" w:ascii="宋体" w:hAnsi="宋体" w:eastAsia="宋体" w:cs="宋体"/>
          <w:b/>
          <w:color w:val="auto"/>
          <w:kern w:val="0"/>
          <w:sz w:val="21"/>
          <w:szCs w:val="21"/>
          <w:highlight w:val="none"/>
        </w:rPr>
        <w:t>前80%月份浙江省交通工程管理中心发布的《</w:t>
      </w:r>
      <w:r>
        <w:rPr>
          <w:rFonts w:hint="eastAsia" w:ascii="宋体" w:hAnsi="宋体" w:eastAsia="宋体" w:cs="宋体"/>
          <w:b/>
          <w:color w:val="auto"/>
          <w:kern w:val="0"/>
          <w:sz w:val="21"/>
          <w:szCs w:val="21"/>
          <w:highlight w:val="none"/>
          <w:lang w:val="en-US" w:eastAsia="zh-CN"/>
        </w:rPr>
        <w:t>质监与造价</w:t>
      </w:r>
      <w:r>
        <w:rPr>
          <w:rFonts w:hint="eastAsia" w:ascii="宋体" w:hAnsi="宋体" w:eastAsia="宋体" w:cs="宋体"/>
          <w:b/>
          <w:color w:val="auto"/>
          <w:kern w:val="0"/>
          <w:sz w:val="21"/>
          <w:szCs w:val="21"/>
          <w:highlight w:val="none"/>
        </w:rPr>
        <w:t>》嵊州价</w:t>
      </w:r>
      <w:r>
        <w:rPr>
          <w:rFonts w:hint="eastAsia" w:ascii="宋体" w:hAnsi="宋体" w:eastAsia="宋体" w:cs="宋体"/>
          <w:b/>
          <w:color w:val="auto"/>
          <w:kern w:val="0"/>
          <w:sz w:val="21"/>
          <w:szCs w:val="21"/>
          <w:highlight w:val="none"/>
          <w:lang w:val="en-US" w:eastAsia="zh-CN"/>
        </w:rPr>
        <w:t>的</w:t>
      </w:r>
      <w:r>
        <w:rPr>
          <w:rFonts w:hint="eastAsia" w:ascii="宋体" w:hAnsi="宋体" w:eastAsia="宋体" w:cs="宋体"/>
          <w:b/>
          <w:color w:val="auto"/>
          <w:kern w:val="0"/>
          <w:sz w:val="21"/>
          <w:szCs w:val="21"/>
          <w:highlight w:val="none"/>
        </w:rPr>
        <w:t>平均值与</w:t>
      </w:r>
      <w:r>
        <w:rPr>
          <w:rFonts w:hint="eastAsia" w:ascii="宋体" w:hAnsi="宋体" w:eastAsia="宋体" w:cs="宋体"/>
          <w:b/>
          <w:color w:val="auto"/>
          <w:kern w:val="0"/>
          <w:sz w:val="21"/>
          <w:szCs w:val="21"/>
          <w:highlight w:val="none"/>
          <w:lang w:val="en-US" w:eastAsia="zh-CN"/>
        </w:rPr>
        <w:t>预算编审采用月</w:t>
      </w:r>
      <w:r>
        <w:rPr>
          <w:rFonts w:hint="eastAsia" w:ascii="宋体" w:hAnsi="宋体" w:eastAsia="宋体" w:cs="宋体"/>
          <w:b/>
          <w:color w:val="auto"/>
          <w:kern w:val="0"/>
          <w:sz w:val="21"/>
          <w:szCs w:val="21"/>
          <w:highlight w:val="none"/>
        </w:rPr>
        <w:t>《</w:t>
      </w:r>
      <w:r>
        <w:rPr>
          <w:rFonts w:hint="eastAsia" w:ascii="宋体" w:hAnsi="宋体" w:eastAsia="宋体" w:cs="宋体"/>
          <w:b/>
          <w:color w:val="auto"/>
          <w:kern w:val="0"/>
          <w:sz w:val="21"/>
          <w:szCs w:val="21"/>
          <w:highlight w:val="none"/>
          <w:lang w:val="en-US" w:eastAsia="zh-CN"/>
        </w:rPr>
        <w:t>质监与造价</w:t>
      </w:r>
      <w:r>
        <w:rPr>
          <w:rFonts w:hint="eastAsia" w:ascii="宋体" w:hAnsi="宋体" w:eastAsia="宋体" w:cs="宋体"/>
          <w:b/>
          <w:color w:val="auto"/>
          <w:kern w:val="0"/>
          <w:sz w:val="21"/>
          <w:szCs w:val="21"/>
          <w:highlight w:val="none"/>
        </w:rPr>
        <w:t>》嵊州价相比波动在±5%以上时仅对波动率在±5%以上部分进行调整，±5%以内（含±5%）部分不予调整。</w:t>
      </w:r>
    </w:p>
    <w:p>
      <w:pPr>
        <w:pStyle w:val="3"/>
        <w:pageBreakBefore w:val="0"/>
        <w:kinsoku w:val="0"/>
        <w:wordWrap/>
        <w:overflowPunct/>
        <w:topLinePunct w:val="0"/>
        <w:autoSpaceDE w:val="0"/>
        <w:autoSpaceDN w:val="0"/>
        <w:bidi w:val="0"/>
        <w:adjustRightInd w:val="0"/>
        <w:snapToGrid w:val="0"/>
        <w:spacing w:after="0" w:line="360" w:lineRule="exact"/>
        <w:ind w:left="0" w:leftChars="0" w:firstLine="42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调整公式：</w:t>
      </w:r>
      <w:r>
        <w:rPr>
          <w:rFonts w:hint="eastAsia" w:ascii="宋体" w:hAnsi="宋体" w:eastAsia="宋体" w:cs="宋体"/>
          <w:color w:val="auto"/>
          <w:sz w:val="21"/>
          <w:szCs w:val="21"/>
          <w:highlight w:val="none"/>
        </w:rPr>
        <w:t>△C＝± (︱I︱-5%)×C2(施工期价格上涨为“＋”，价格下降为“－”)</w:t>
      </w:r>
    </w:p>
    <w:p>
      <w:pPr>
        <w:pStyle w:val="3"/>
        <w:pageBreakBefore w:val="0"/>
        <w:kinsoku w:val="0"/>
        <w:wordWrap/>
        <w:overflowPunct/>
        <w:topLinePunct w:val="0"/>
        <w:autoSpaceDE w:val="0"/>
        <w:autoSpaceDN w:val="0"/>
        <w:bidi w:val="0"/>
        <w:adjustRightInd w:val="0"/>
        <w:snapToGrid w:val="0"/>
        <w:spacing w:after="0" w:line="360" w:lineRule="exact"/>
        <w:ind w:left="0" w:leftChars="0" w:firstLine="1470" w:firstLineChars="7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其中I=︱A-C2︱/C2×100%</w:t>
      </w:r>
    </w:p>
    <w:p>
      <w:pPr>
        <w:pStyle w:val="3"/>
        <w:pageBreakBefore w:val="0"/>
        <w:kinsoku w:val="0"/>
        <w:wordWrap/>
        <w:overflowPunct/>
        <w:topLinePunct w:val="0"/>
        <w:autoSpaceDE w:val="0"/>
        <w:autoSpaceDN w:val="0"/>
        <w:bidi w:val="0"/>
        <w:adjustRightInd w:val="0"/>
        <w:snapToGrid w:val="0"/>
        <w:spacing w:after="0" w:line="360" w:lineRule="exact"/>
        <w:ind w:left="0" w:leftChars="0" w:firstLine="1785" w:firstLineChars="85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︱I︱≦5%时，价格不调整；</w:t>
      </w:r>
    </w:p>
    <w:p>
      <w:pPr>
        <w:pStyle w:val="3"/>
        <w:pageBreakBefore w:val="0"/>
        <w:kinsoku w:val="0"/>
        <w:wordWrap/>
        <w:overflowPunct/>
        <w:topLinePunct w:val="0"/>
        <w:autoSpaceDE w:val="0"/>
        <w:autoSpaceDN w:val="0"/>
        <w:bidi w:val="0"/>
        <w:adjustRightInd w:val="0"/>
        <w:snapToGrid w:val="0"/>
        <w:spacing w:after="0" w:line="360" w:lineRule="exact"/>
        <w:ind w:left="0" w:leftChars="0" w:firstLine="1785" w:firstLineChars="85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︱I︱﹥5%时调整；</w:t>
      </w:r>
    </w:p>
    <w:p>
      <w:pPr>
        <w:pStyle w:val="3"/>
        <w:pageBreakBefore w:val="0"/>
        <w:kinsoku w:val="0"/>
        <w:wordWrap/>
        <w:overflowPunct/>
        <w:topLinePunct w:val="0"/>
        <w:autoSpaceDE w:val="0"/>
        <w:autoSpaceDN w:val="0"/>
        <w:bidi w:val="0"/>
        <w:adjustRightInd w:val="0"/>
        <w:snapToGrid w:val="0"/>
        <w:spacing w:after="0" w:line="360" w:lineRule="exact"/>
        <w:ind w:left="0" w:leftChars="0" w:firstLine="1785" w:firstLineChars="85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I—价格波动率；</w:t>
      </w:r>
    </w:p>
    <w:p>
      <w:pPr>
        <w:pStyle w:val="3"/>
        <w:pageBreakBefore w:val="0"/>
        <w:kinsoku w:val="0"/>
        <w:wordWrap/>
        <w:overflowPunct/>
        <w:topLinePunct w:val="0"/>
        <w:autoSpaceDE w:val="0"/>
        <w:autoSpaceDN w:val="0"/>
        <w:bidi w:val="0"/>
        <w:adjustRightInd w:val="0"/>
        <w:snapToGrid w:val="0"/>
        <w:spacing w:after="0" w:line="360" w:lineRule="exact"/>
        <w:ind w:left="0" w:leftChars="0" w:firstLine="1785" w:firstLineChars="85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w:t>
      </w:r>
      <w:r>
        <w:rPr>
          <w:rFonts w:hint="eastAsia" w:ascii="宋体" w:hAnsi="宋体" w:eastAsia="宋体" w:cs="宋体"/>
          <w:color w:val="auto"/>
          <w:kern w:val="0"/>
          <w:sz w:val="21"/>
          <w:szCs w:val="21"/>
          <w:highlight w:val="none"/>
        </w:rPr>
        <w:t>施工期</w:t>
      </w:r>
      <w:r>
        <w:rPr>
          <w:rFonts w:hint="eastAsia" w:ascii="宋体" w:hAnsi="宋体" w:eastAsia="宋体" w:cs="宋体"/>
          <w:b/>
          <w:color w:val="auto"/>
          <w:kern w:val="0"/>
          <w:sz w:val="21"/>
          <w:szCs w:val="21"/>
          <w:highlight w:val="none"/>
          <w:lang w:eastAsia="zh-CN"/>
        </w:rPr>
        <w:t>（</w:t>
      </w:r>
      <w:r>
        <w:rPr>
          <w:rFonts w:hint="eastAsia" w:ascii="宋体" w:hAnsi="宋体" w:eastAsia="宋体" w:cs="宋体"/>
          <w:b/>
          <w:color w:val="auto"/>
          <w:kern w:val="0"/>
          <w:sz w:val="21"/>
          <w:szCs w:val="21"/>
          <w:highlight w:val="none"/>
          <w:lang w:val="en-US" w:eastAsia="zh-CN"/>
        </w:rPr>
        <w:t>自开工令发出后至完工</w:t>
      </w:r>
      <w:r>
        <w:rPr>
          <w:rFonts w:hint="eastAsia" w:ascii="宋体" w:hAnsi="宋体" w:eastAsia="宋体" w:cs="宋体"/>
          <w:b/>
          <w:color w:val="auto"/>
          <w:kern w:val="0"/>
          <w:sz w:val="21"/>
          <w:szCs w:val="21"/>
          <w:highlight w:val="none"/>
          <w:lang w:eastAsia="zh-CN"/>
        </w:rPr>
        <w:t>）</w:t>
      </w:r>
      <w:r>
        <w:rPr>
          <w:rFonts w:hint="eastAsia" w:ascii="宋体" w:hAnsi="宋体" w:eastAsia="宋体" w:cs="宋体"/>
          <w:color w:val="auto"/>
          <w:kern w:val="0"/>
          <w:sz w:val="21"/>
          <w:szCs w:val="21"/>
          <w:highlight w:val="none"/>
        </w:rPr>
        <w:t>前80%月份</w:t>
      </w:r>
      <w:r>
        <w:rPr>
          <w:rFonts w:hint="eastAsia" w:ascii="宋体" w:hAnsi="宋体" w:eastAsia="宋体" w:cs="宋体"/>
          <w:color w:val="auto"/>
          <w:sz w:val="21"/>
          <w:szCs w:val="21"/>
          <w:highlight w:val="none"/>
        </w:rPr>
        <w:t>材料</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浙江省交通工程管理中心发布的《质监与造价》中</w:t>
      </w:r>
      <w:r>
        <w:rPr>
          <w:rFonts w:hint="eastAsia" w:ascii="宋体" w:hAnsi="宋体" w:eastAsia="宋体" w:cs="宋体"/>
          <w:color w:val="auto"/>
          <w:sz w:val="21"/>
          <w:szCs w:val="21"/>
          <w:highlight w:val="none"/>
          <w:lang w:val="en-US" w:eastAsia="zh-CN"/>
        </w:rPr>
        <w:t>嵊州价</w:t>
      </w:r>
      <w:r>
        <w:rPr>
          <w:rFonts w:hint="eastAsia" w:ascii="宋体" w:hAnsi="宋体" w:eastAsia="宋体" w:cs="宋体"/>
          <w:color w:val="auto"/>
          <w:sz w:val="21"/>
          <w:szCs w:val="21"/>
          <w:highlight w:val="none"/>
        </w:rPr>
        <w:t>）嵊州价</w:t>
      </w:r>
      <w:r>
        <w:rPr>
          <w:rFonts w:hint="eastAsia" w:eastAsia="宋体" w:cs="宋体"/>
          <w:color w:val="auto"/>
          <w:sz w:val="21"/>
          <w:szCs w:val="21"/>
          <w:highlight w:val="none"/>
          <w:lang w:val="en-US" w:eastAsia="zh-CN"/>
        </w:rPr>
        <w:t>或绍兴市平均值</w:t>
      </w:r>
      <w:r>
        <w:rPr>
          <w:rFonts w:hint="eastAsia" w:ascii="宋体" w:hAnsi="宋体" w:eastAsia="宋体" w:cs="宋体"/>
          <w:color w:val="auto"/>
          <w:sz w:val="21"/>
          <w:szCs w:val="21"/>
          <w:highlight w:val="none"/>
        </w:rPr>
        <w:t>；</w:t>
      </w:r>
    </w:p>
    <w:p>
      <w:pPr>
        <w:pStyle w:val="3"/>
        <w:pageBreakBefore w:val="0"/>
        <w:kinsoku w:val="0"/>
        <w:wordWrap/>
        <w:overflowPunct/>
        <w:topLinePunct w:val="0"/>
        <w:autoSpaceDE w:val="0"/>
        <w:autoSpaceDN w:val="0"/>
        <w:bidi w:val="0"/>
        <w:adjustRightInd w:val="0"/>
        <w:snapToGrid w:val="0"/>
        <w:spacing w:after="0" w:line="360" w:lineRule="exact"/>
        <w:ind w:left="0" w:leftChars="0" w:firstLine="1785" w:firstLineChars="85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△C—该材料调整价差；</w:t>
      </w:r>
    </w:p>
    <w:p>
      <w:pPr>
        <w:pageBreakBefore w:val="0"/>
        <w:widowControl/>
        <w:kinsoku w:val="0"/>
        <w:wordWrap/>
        <w:overflowPunct/>
        <w:topLinePunct w:val="0"/>
        <w:autoSpaceDE w:val="0"/>
        <w:autoSpaceDN w:val="0"/>
        <w:bidi w:val="0"/>
        <w:adjustRightInd w:val="0"/>
        <w:snapToGrid w:val="0"/>
        <w:spacing w:line="360" w:lineRule="exact"/>
        <w:ind w:left="0" w:leftChars="0" w:firstLine="1812" w:firstLineChars="863"/>
        <w:textAlignment w:val="baseline"/>
        <w:rPr>
          <w:rFonts w:hint="eastAsia" w:ascii="宋体" w:hAnsi="宋体" w:eastAsia="宋体" w:cs="宋体"/>
          <w:b w:val="0"/>
          <w:bCs w:val="0"/>
          <w:color w:val="auto"/>
          <w:szCs w:val="21"/>
          <w:highlight w:val="none"/>
        </w:rPr>
      </w:pPr>
      <w:r>
        <w:rPr>
          <w:rFonts w:hint="eastAsia" w:ascii="宋体" w:hAnsi="宋体" w:eastAsia="宋体" w:cs="宋体"/>
          <w:color w:val="auto"/>
          <w:sz w:val="21"/>
          <w:szCs w:val="21"/>
          <w:highlight w:val="none"/>
        </w:rPr>
        <w:t>C2—该材</w:t>
      </w:r>
      <w:r>
        <w:rPr>
          <w:rFonts w:hint="eastAsia" w:ascii="宋体" w:hAnsi="宋体" w:eastAsia="宋体" w:cs="宋体"/>
          <w:b w:val="0"/>
          <w:bCs w:val="0"/>
          <w:color w:val="auto"/>
          <w:sz w:val="21"/>
          <w:szCs w:val="21"/>
          <w:highlight w:val="none"/>
        </w:rPr>
        <w:t>料</w:t>
      </w:r>
      <w:r>
        <w:rPr>
          <w:rFonts w:hint="eastAsia" w:ascii="宋体" w:hAnsi="宋体" w:eastAsia="宋体" w:cs="宋体"/>
          <w:b w:val="0"/>
          <w:bCs w:val="0"/>
          <w:color w:val="auto"/>
          <w:kern w:val="0"/>
          <w:sz w:val="21"/>
          <w:szCs w:val="21"/>
          <w:highlight w:val="none"/>
          <w:lang w:val="en-US" w:eastAsia="zh-CN"/>
        </w:rPr>
        <w:t>预算编制采用月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浙江省交通工程管理中心发布的《质监与造价》中</w:t>
      </w:r>
      <w:r>
        <w:rPr>
          <w:rFonts w:hint="eastAsia" w:ascii="宋体" w:hAnsi="宋体" w:eastAsia="宋体" w:cs="宋体"/>
          <w:color w:val="auto"/>
          <w:sz w:val="21"/>
          <w:szCs w:val="21"/>
          <w:highlight w:val="none"/>
          <w:lang w:val="en-US" w:eastAsia="zh-CN"/>
        </w:rPr>
        <w:t>嵊州价</w:t>
      </w:r>
      <w:r>
        <w:rPr>
          <w:rFonts w:hint="eastAsia" w:ascii="宋体" w:hAnsi="宋体" w:eastAsia="宋体" w:cs="宋体"/>
          <w:color w:val="auto"/>
          <w:sz w:val="21"/>
          <w:szCs w:val="21"/>
          <w:highlight w:val="none"/>
        </w:rPr>
        <w:t>）</w:t>
      </w:r>
      <w:r>
        <w:rPr>
          <w:rFonts w:hint="eastAsia" w:eastAsia="宋体" w:cs="宋体"/>
          <w:color w:val="auto"/>
          <w:sz w:val="21"/>
          <w:szCs w:val="21"/>
          <w:highlight w:val="none"/>
          <w:lang w:val="en-US" w:eastAsia="zh-CN"/>
        </w:rPr>
        <w:t>或绍兴市平均值</w:t>
      </w:r>
      <w:r>
        <w:rPr>
          <w:rFonts w:hint="eastAsia" w:ascii="宋体" w:hAnsi="宋体" w:eastAsia="宋体" w:cs="宋体"/>
          <w:color w:val="auto"/>
          <w:sz w:val="21"/>
          <w:szCs w:val="21"/>
          <w:highlight w:val="none"/>
        </w:rPr>
        <w:t>；</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30" w:lineRule="exact"/>
        <w:textAlignment w:val="baseline"/>
        <w:outlineLvl w:val="3"/>
        <w:rPr>
          <w:rFonts w:hint="eastAsia" w:ascii="宋体" w:hAnsi="宋体" w:eastAsia="宋体" w:cs="宋体"/>
          <w:b/>
          <w:bCs w:val="0"/>
          <w:color w:val="auto"/>
          <w:sz w:val="28"/>
          <w:szCs w:val="28"/>
          <w:highlight w:val="none"/>
        </w:rPr>
      </w:pPr>
      <w:bookmarkStart w:id="522" w:name="_Toc24388"/>
      <w:r>
        <w:rPr>
          <w:rFonts w:hint="eastAsia" w:ascii="宋体" w:hAnsi="宋体" w:eastAsia="宋体" w:cs="宋体"/>
          <w:b/>
          <w:bCs w:val="0"/>
          <w:color w:val="auto"/>
          <w:sz w:val="28"/>
          <w:szCs w:val="28"/>
          <w:highlight w:val="none"/>
        </w:rPr>
        <w:t>17．计量与支付</w:t>
      </w:r>
      <w:bookmarkEnd w:id="513"/>
      <w:bookmarkEnd w:id="514"/>
      <w:bookmarkEnd w:id="515"/>
      <w:bookmarkEnd w:id="516"/>
      <w:bookmarkEnd w:id="517"/>
      <w:bookmarkEnd w:id="518"/>
      <w:bookmarkEnd w:id="519"/>
      <w:bookmarkEnd w:id="520"/>
      <w:bookmarkEnd w:id="521"/>
      <w:bookmarkEnd w:id="522"/>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30" w:lineRule="exact"/>
        <w:textAlignment w:val="baseline"/>
        <w:outlineLvl w:val="4"/>
        <w:rPr>
          <w:rFonts w:hint="eastAsia" w:ascii="宋体" w:hAnsi="宋体" w:eastAsia="宋体" w:cs="宋体"/>
          <w:color w:val="auto"/>
          <w:sz w:val="21"/>
          <w:szCs w:val="21"/>
          <w:highlight w:val="none"/>
          <w:lang w:val="en-US" w:eastAsia="zh-CN"/>
        </w:rPr>
      </w:pPr>
      <w:bookmarkStart w:id="523" w:name="_Toc20093"/>
      <w:r>
        <w:rPr>
          <w:rFonts w:hint="eastAsia" w:ascii="宋体" w:hAnsi="宋体" w:eastAsia="宋体" w:cs="宋体"/>
          <w:color w:val="auto"/>
          <w:sz w:val="21"/>
          <w:szCs w:val="21"/>
          <w:highlight w:val="none"/>
          <w:lang w:val="en-US" w:eastAsia="zh-CN"/>
        </w:rPr>
        <w:t>17.1  计量</w:t>
      </w:r>
      <w:bookmarkEnd w:id="523"/>
    </w:p>
    <w:p>
      <w:pPr>
        <w:pStyle w:val="17"/>
        <w:pageBreakBefore w:val="0"/>
        <w:widowControl/>
        <w:kinsoku w:val="0"/>
        <w:wordWrap/>
        <w:overflowPunct/>
        <w:topLinePunct w:val="0"/>
        <w:autoSpaceDE w:val="0"/>
        <w:autoSpaceDN w:val="0"/>
        <w:bidi w:val="0"/>
        <w:adjustRightInd w:val="0"/>
        <w:snapToGrid w:val="0"/>
        <w:spacing w:before="0" w:beforeAutospacing="0" w:after="0" w:afterAutospacing="0" w:line="330" w:lineRule="exact"/>
        <w:ind w:left="420" w:leftChars="200" w:firstLine="0" w:firstLineChars="0"/>
        <w:jc w:val="both"/>
        <w:textAlignment w:val="baseline"/>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17.1.5  总价子目的计量。</w:t>
      </w:r>
    </w:p>
    <w:p>
      <w:pPr>
        <w:pStyle w:val="17"/>
        <w:pageBreakBefore w:val="0"/>
        <w:widowControl/>
        <w:kinsoku w:val="0"/>
        <w:wordWrap/>
        <w:overflowPunct/>
        <w:topLinePunct w:val="0"/>
        <w:autoSpaceDE w:val="0"/>
        <w:autoSpaceDN w:val="0"/>
        <w:bidi w:val="0"/>
        <w:adjustRightInd w:val="0"/>
        <w:snapToGrid w:val="0"/>
        <w:spacing w:before="0" w:beforeAutospacing="0" w:after="0" w:afterAutospacing="0" w:line="330" w:lineRule="exact"/>
        <w:ind w:left="0" w:leftChars="0" w:firstLine="420" w:firstLineChars="200"/>
        <w:jc w:val="both"/>
        <w:textAlignment w:val="baseline"/>
        <w:rPr>
          <w:rFonts w:hint="eastAsia" w:ascii="宋体" w:hAnsi="宋体" w:eastAsia="宋体" w:cs="宋体"/>
          <w:color w:val="auto"/>
          <w:kern w:val="2"/>
          <w:sz w:val="21"/>
          <w:szCs w:val="21"/>
          <w:highlight w:val="none"/>
        </w:rPr>
      </w:pPr>
      <w:bookmarkStart w:id="524" w:name="_Toc240883738"/>
      <w:bookmarkStart w:id="525" w:name="_Toc239488083"/>
      <w:bookmarkStart w:id="526" w:name="_Toc287853485"/>
      <w:bookmarkStart w:id="527" w:name="_Toc282787596"/>
      <w:bookmarkStart w:id="528" w:name="_Toc283794333"/>
      <w:bookmarkStart w:id="529" w:name="_Toc288491661"/>
      <w:bookmarkStart w:id="530" w:name="_Toc240724143"/>
      <w:bookmarkStart w:id="531" w:name="_Toc2949"/>
      <w:bookmarkStart w:id="532" w:name="_Toc282779645"/>
      <w:bookmarkStart w:id="533" w:name="_Toc282779136"/>
      <w:r>
        <w:rPr>
          <w:rFonts w:hint="eastAsia" w:ascii="宋体" w:hAnsi="宋体" w:eastAsia="宋体" w:cs="宋体"/>
          <w:color w:val="auto"/>
          <w:kern w:val="2"/>
          <w:sz w:val="21"/>
          <w:szCs w:val="21"/>
          <w:highlight w:val="none"/>
        </w:rPr>
        <w:t>本项目工程量清单中以总额为计量单位的总价子目，除安全生产费和暂估价外，实行总价包干，合同履行过程中不予调整。</w:t>
      </w:r>
    </w:p>
    <w:p>
      <w:pPr>
        <w:pStyle w:val="17"/>
        <w:pageBreakBefore w:val="0"/>
        <w:widowControl/>
        <w:kinsoku w:val="0"/>
        <w:wordWrap/>
        <w:overflowPunct/>
        <w:topLinePunct w:val="0"/>
        <w:autoSpaceDE w:val="0"/>
        <w:autoSpaceDN w:val="0"/>
        <w:bidi w:val="0"/>
        <w:adjustRightInd w:val="0"/>
        <w:snapToGrid w:val="0"/>
        <w:spacing w:before="0" w:beforeAutospacing="0" w:after="0" w:afterAutospacing="0" w:line="330" w:lineRule="exact"/>
        <w:ind w:left="420" w:leftChars="200" w:firstLine="0" w:firstLineChars="0"/>
        <w:jc w:val="both"/>
        <w:textAlignment w:val="baseline"/>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总价子目的支付原则和支付进度见《第八章 工程量清单计量规则》。</w:t>
      </w:r>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30" w:lineRule="exact"/>
        <w:textAlignment w:val="baseline"/>
        <w:outlineLvl w:val="4"/>
        <w:rPr>
          <w:rFonts w:hint="eastAsia" w:ascii="宋体" w:hAnsi="宋体" w:eastAsia="宋体" w:cs="宋体"/>
          <w:color w:val="auto"/>
          <w:sz w:val="21"/>
          <w:szCs w:val="21"/>
          <w:highlight w:val="none"/>
          <w:lang w:val="en-US" w:eastAsia="zh-CN"/>
        </w:rPr>
      </w:pPr>
      <w:bookmarkStart w:id="534" w:name="_Toc22420"/>
      <w:r>
        <w:rPr>
          <w:rFonts w:hint="eastAsia" w:ascii="宋体" w:hAnsi="宋体" w:eastAsia="宋体" w:cs="宋体"/>
          <w:color w:val="auto"/>
          <w:sz w:val="21"/>
          <w:szCs w:val="21"/>
          <w:highlight w:val="none"/>
          <w:lang w:val="en-US" w:eastAsia="zh-CN"/>
        </w:rPr>
        <w:t>17.2  预付款</w:t>
      </w:r>
      <w:bookmarkEnd w:id="534"/>
    </w:p>
    <w:p>
      <w:pPr>
        <w:keepNext w:val="0"/>
        <w:keepLines w:val="0"/>
        <w:pageBreakBefore w:val="0"/>
        <w:widowControl/>
        <w:kinsoku w:val="0"/>
        <w:wordWrap/>
        <w:overflowPunct/>
        <w:topLinePunct w:val="0"/>
        <w:autoSpaceDE w:val="0"/>
        <w:autoSpaceDN w:val="0"/>
        <w:bidi w:val="0"/>
        <w:adjustRightInd w:val="0"/>
        <w:snapToGrid w:val="0"/>
        <w:spacing w:line="33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17.2.1  预付款为开工预付款。具体额度和预付办法细化为如下： </w:t>
      </w:r>
    </w:p>
    <w:p>
      <w:pPr>
        <w:keepNext w:val="0"/>
        <w:keepLines w:val="0"/>
        <w:pageBreakBefore w:val="0"/>
        <w:widowControl/>
        <w:kinsoku w:val="0"/>
        <w:wordWrap/>
        <w:overflowPunct/>
        <w:topLinePunct w:val="0"/>
        <w:autoSpaceDE w:val="0"/>
        <w:autoSpaceDN w:val="0"/>
        <w:bidi w:val="0"/>
        <w:adjustRightInd w:val="0"/>
        <w:snapToGrid w:val="0"/>
        <w:spacing w:line="33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开工预付款的金额为签约合同价的10％。在承包人签订了合同协议书、农民工工资专用账户开设后，监理人应在当期进度付款证书中向承包人支付开工预付款的30％；在承包人的主要人员、设备进场并经监理人确认且监理人发出开工令后，再支付开工预付款的70％。 </w:t>
      </w:r>
    </w:p>
    <w:p>
      <w:pPr>
        <w:keepNext w:val="0"/>
        <w:keepLines w:val="0"/>
        <w:pageBreakBefore w:val="0"/>
        <w:widowControl/>
        <w:kinsoku w:val="0"/>
        <w:wordWrap/>
        <w:overflowPunct/>
        <w:topLinePunct w:val="0"/>
        <w:autoSpaceDE w:val="0"/>
        <w:autoSpaceDN w:val="0"/>
        <w:bidi w:val="0"/>
        <w:adjustRightInd w:val="0"/>
        <w:snapToGrid w:val="0"/>
        <w:spacing w:line="330" w:lineRule="exact"/>
        <w:ind w:firstLine="420" w:firstLineChars="200"/>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承包人不得将该预付款用于与本工程无关的支出，监理人有权监督承包人对该项费用的使用，如经查实承包人滥用开工预付款，发包人有权立即通过向银行发出通知收回开工预付款保函的方式，将该款收回。</w:t>
      </w:r>
    </w:p>
    <w:p>
      <w:pPr>
        <w:keepNext w:val="0"/>
        <w:keepLines w:val="0"/>
        <w:pageBreakBefore w:val="0"/>
        <w:widowControl/>
        <w:kinsoku w:val="0"/>
        <w:wordWrap/>
        <w:overflowPunct/>
        <w:topLinePunct w:val="0"/>
        <w:autoSpaceDE w:val="0"/>
        <w:autoSpaceDN w:val="0"/>
        <w:bidi w:val="0"/>
        <w:adjustRightInd w:val="0"/>
        <w:snapToGrid w:val="0"/>
        <w:spacing w:line="330" w:lineRule="exact"/>
        <w:ind w:firstLine="420" w:firstLineChars="200"/>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17.2.2 预付款的扣回与还清细化为 </w:t>
      </w:r>
    </w:p>
    <w:p>
      <w:pPr>
        <w:keepNext w:val="0"/>
        <w:keepLines w:val="0"/>
        <w:pageBreakBefore w:val="0"/>
        <w:widowControl/>
        <w:kinsoku w:val="0"/>
        <w:wordWrap/>
        <w:overflowPunct/>
        <w:topLinePunct w:val="0"/>
        <w:autoSpaceDE w:val="0"/>
        <w:autoSpaceDN w:val="0"/>
        <w:bidi w:val="0"/>
        <w:adjustRightInd w:val="0"/>
        <w:snapToGrid w:val="0"/>
        <w:spacing w:line="33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开工预付款在进度付款证书（审定价）的累计金额达到签约合同价30%之后，开始按工程进度以固定比例（即每完成签约合同价的1%，扣回开工预付款的2%）分期在进度付款证书中扣回，全部金额在进度付款证书（审定价）的累计金额达到签约合同价的80%时扣完。</w:t>
      </w:r>
    </w:p>
    <w:bookmarkEnd w:id="524"/>
    <w:bookmarkEnd w:id="525"/>
    <w:bookmarkEnd w:id="526"/>
    <w:bookmarkEnd w:id="527"/>
    <w:bookmarkEnd w:id="528"/>
    <w:bookmarkEnd w:id="529"/>
    <w:bookmarkEnd w:id="530"/>
    <w:bookmarkEnd w:id="531"/>
    <w:bookmarkEnd w:id="532"/>
    <w:bookmarkEnd w:id="533"/>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30" w:lineRule="exact"/>
        <w:textAlignment w:val="baseline"/>
        <w:outlineLvl w:val="4"/>
        <w:rPr>
          <w:rFonts w:hint="eastAsia" w:ascii="宋体" w:hAnsi="宋体" w:eastAsia="宋体" w:cs="宋体"/>
          <w:color w:val="auto"/>
          <w:sz w:val="21"/>
          <w:szCs w:val="21"/>
          <w:highlight w:val="none"/>
          <w:lang w:val="en-US" w:eastAsia="zh-CN"/>
        </w:rPr>
      </w:pPr>
      <w:bookmarkStart w:id="535" w:name="_Toc288546724"/>
      <w:bookmarkStart w:id="536" w:name="_Toc32442"/>
      <w:bookmarkStart w:id="537" w:name="_Toc19547"/>
      <w:r>
        <w:rPr>
          <w:rFonts w:hint="eastAsia" w:ascii="宋体" w:hAnsi="宋体" w:eastAsia="宋体" w:cs="宋体"/>
          <w:color w:val="auto"/>
          <w:sz w:val="21"/>
          <w:szCs w:val="21"/>
          <w:highlight w:val="none"/>
          <w:lang w:val="en-US" w:eastAsia="zh-CN"/>
        </w:rPr>
        <w:t>17.3  工程进度付款</w:t>
      </w:r>
      <w:bookmarkEnd w:id="535"/>
      <w:bookmarkEnd w:id="536"/>
      <w:bookmarkEnd w:id="537"/>
    </w:p>
    <w:p>
      <w:pPr>
        <w:pStyle w:val="17"/>
        <w:keepNext w:val="0"/>
        <w:keepLines w:val="0"/>
        <w:pageBreakBefore w:val="0"/>
        <w:widowControl/>
        <w:kinsoku w:val="0"/>
        <w:wordWrap/>
        <w:overflowPunct/>
        <w:topLinePunct w:val="0"/>
        <w:autoSpaceDE w:val="0"/>
        <w:autoSpaceDN w:val="0"/>
        <w:bidi w:val="0"/>
        <w:adjustRightInd w:val="0"/>
        <w:snapToGrid w:val="0"/>
        <w:spacing w:beforeAutospacing="0" w:afterAutospacing="0" w:line="360" w:lineRule="exact"/>
        <w:ind w:left="0" w:leftChars="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17.3.4  进度付款证书和支付时间细化为：</w:t>
      </w:r>
    </w:p>
    <w:p>
      <w:pPr>
        <w:pStyle w:val="17"/>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exact"/>
        <w:ind w:left="0" w:leftChars="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1.合同签订、开工通知发出，主要人员和机械设备进场并正式施工后，经监理工程师审核、发包人代表批准，支付预付款；2.当月完成的工程量经监理工程师、跟踪审计审核后，按审核造价的</w:t>
      </w:r>
      <w:r>
        <w:rPr>
          <w:rFonts w:hint="eastAsia" w:eastAsia="宋体" w:cs="宋体"/>
          <w:snapToGrid w:val="0"/>
          <w:color w:val="auto"/>
          <w:kern w:val="0"/>
          <w:sz w:val="21"/>
          <w:szCs w:val="21"/>
          <w:highlight w:val="none"/>
          <w:lang w:val="en-US" w:eastAsia="zh-CN" w:bidi="ar"/>
        </w:rPr>
        <w:t>8</w:t>
      </w:r>
      <w:r>
        <w:rPr>
          <w:rFonts w:hint="eastAsia" w:ascii="宋体" w:hAnsi="宋体" w:eastAsia="宋体" w:cs="宋体"/>
          <w:snapToGrid w:val="0"/>
          <w:color w:val="auto"/>
          <w:kern w:val="0"/>
          <w:sz w:val="21"/>
          <w:szCs w:val="21"/>
          <w:highlight w:val="none"/>
          <w:lang w:val="en-US" w:eastAsia="zh-CN" w:bidi="ar"/>
        </w:rPr>
        <w:t>0%支付进度款；3.工程交工验收合格</w:t>
      </w:r>
      <w:r>
        <w:rPr>
          <w:rFonts w:hint="eastAsia" w:eastAsia="宋体" w:cs="宋体"/>
          <w:snapToGrid w:val="0"/>
          <w:color w:val="auto"/>
          <w:kern w:val="0"/>
          <w:sz w:val="21"/>
          <w:szCs w:val="21"/>
          <w:highlight w:val="none"/>
          <w:lang w:val="en-US" w:eastAsia="zh-CN" w:bidi="ar"/>
        </w:rPr>
        <w:t>，</w:t>
      </w:r>
      <w:r>
        <w:rPr>
          <w:rFonts w:hint="eastAsia" w:ascii="宋体" w:hAnsi="宋体" w:eastAsia="宋体" w:cs="宋体"/>
          <w:snapToGrid w:val="0"/>
          <w:color w:val="auto"/>
          <w:kern w:val="0"/>
          <w:sz w:val="21"/>
          <w:szCs w:val="21"/>
          <w:highlight w:val="none"/>
          <w:lang w:val="en-US" w:eastAsia="zh-CN" w:bidi="ar"/>
        </w:rPr>
        <w:t>工程结算审定完成并经审计中心备案后，支付至审定工程结算价的9</w:t>
      </w:r>
      <w:r>
        <w:rPr>
          <w:rFonts w:hint="eastAsia" w:eastAsia="宋体" w:cs="宋体"/>
          <w:snapToGrid w:val="0"/>
          <w:color w:val="auto"/>
          <w:kern w:val="0"/>
          <w:sz w:val="21"/>
          <w:szCs w:val="21"/>
          <w:highlight w:val="none"/>
          <w:lang w:val="en-US" w:eastAsia="zh-CN" w:bidi="ar"/>
        </w:rPr>
        <w:t>0</w:t>
      </w:r>
      <w:r>
        <w:rPr>
          <w:rFonts w:hint="eastAsia" w:ascii="宋体" w:hAnsi="宋体" w:eastAsia="宋体" w:cs="宋体"/>
          <w:snapToGrid w:val="0"/>
          <w:color w:val="auto"/>
          <w:kern w:val="0"/>
          <w:sz w:val="21"/>
          <w:szCs w:val="21"/>
          <w:highlight w:val="none"/>
          <w:lang w:val="en-US" w:eastAsia="zh-CN" w:bidi="ar"/>
        </w:rPr>
        <w:t>%；</w:t>
      </w:r>
      <w:r>
        <w:rPr>
          <w:rFonts w:hint="eastAsia" w:eastAsia="宋体" w:cs="宋体"/>
          <w:snapToGrid w:val="0"/>
          <w:color w:val="auto"/>
          <w:kern w:val="0"/>
          <w:sz w:val="21"/>
          <w:szCs w:val="21"/>
          <w:highlight w:val="none"/>
          <w:lang w:val="en-US" w:eastAsia="zh-CN" w:bidi="ar"/>
        </w:rPr>
        <w:t>4.</w:t>
      </w:r>
      <w:r>
        <w:rPr>
          <w:rFonts w:hint="eastAsia" w:ascii="宋体" w:hAnsi="宋体" w:eastAsia="宋体" w:cs="宋体"/>
          <w:snapToGrid w:val="0"/>
          <w:color w:val="auto"/>
          <w:kern w:val="0"/>
          <w:sz w:val="21"/>
          <w:szCs w:val="21"/>
          <w:highlight w:val="none"/>
          <w:lang w:val="en-US" w:eastAsia="zh-CN" w:bidi="ar"/>
        </w:rPr>
        <w:t>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w:t>
      </w:r>
      <w:r>
        <w:rPr>
          <w:rFonts w:hint="eastAsia" w:eastAsia="宋体" w:cs="宋体"/>
          <w:snapToGrid w:val="0"/>
          <w:color w:val="auto"/>
          <w:kern w:val="0"/>
          <w:sz w:val="21"/>
          <w:szCs w:val="21"/>
          <w:highlight w:val="none"/>
          <w:lang w:val="en-US" w:eastAsia="zh-CN" w:bidi="ar"/>
        </w:rPr>
        <w:t>；5</w:t>
      </w:r>
      <w:r>
        <w:rPr>
          <w:rFonts w:hint="eastAsia" w:ascii="宋体" w:hAnsi="宋体" w:eastAsia="宋体" w:cs="宋体"/>
          <w:snapToGrid w:val="0"/>
          <w:color w:val="auto"/>
          <w:kern w:val="0"/>
          <w:sz w:val="21"/>
          <w:szCs w:val="21"/>
          <w:highlight w:val="none"/>
          <w:lang w:val="en-US" w:eastAsia="zh-CN" w:bidi="ar"/>
        </w:rPr>
        <w:t>.剩余结算审定价的1.5%为工程质量保证金，在保修期满且通过竣工验收后28天内支付（不计息）。</w:t>
      </w:r>
    </w:p>
    <w:p>
      <w:pPr>
        <w:keepNext w:val="0"/>
        <w:keepLines w:val="0"/>
        <w:pageBreakBefore w:val="0"/>
        <w:widowControl/>
        <w:kinsoku/>
        <w:wordWrap/>
        <w:overflowPunct/>
        <w:topLinePunct w:val="0"/>
        <w:autoSpaceDE w:val="0"/>
        <w:autoSpaceDN w:val="0"/>
        <w:bidi w:val="0"/>
        <w:adjustRightInd w:val="0"/>
        <w:snapToGrid w:val="0"/>
        <w:spacing w:line="330" w:lineRule="exact"/>
        <w:ind w:firstLine="420" w:firstLineChars="200"/>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 xml:space="preserve">发包人应在监理人收到进度付款申请单后的28天内，将进度应付款支付给承包人。发包人不按期支付的，按项目专用合同条款数据表中约定的利率向承包人支付逾期付款违约金。违约金计算基数为发包人的全部未付款额，时间从应付而未付该款额之日算起(不计复利)。  </w:t>
      </w:r>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30" w:lineRule="exact"/>
        <w:textAlignment w:val="baseline"/>
        <w:outlineLvl w:val="4"/>
        <w:rPr>
          <w:rFonts w:hint="eastAsia" w:ascii="宋体" w:hAnsi="宋体" w:eastAsia="宋体" w:cs="宋体"/>
          <w:color w:val="auto"/>
          <w:sz w:val="21"/>
          <w:szCs w:val="21"/>
          <w:highlight w:val="none"/>
          <w:lang w:val="en-US" w:eastAsia="zh-CN"/>
        </w:rPr>
      </w:pPr>
      <w:bookmarkStart w:id="538" w:name="_Toc11769"/>
      <w:r>
        <w:rPr>
          <w:rFonts w:hint="eastAsia" w:ascii="宋体" w:hAnsi="宋体" w:eastAsia="宋体" w:cs="宋体"/>
          <w:color w:val="auto"/>
          <w:sz w:val="21"/>
          <w:szCs w:val="21"/>
          <w:highlight w:val="none"/>
          <w:lang w:val="en-US" w:eastAsia="zh-CN"/>
        </w:rPr>
        <w:t>17.4 质量保证金</w:t>
      </w:r>
      <w:bookmarkEnd w:id="538"/>
    </w:p>
    <w:p>
      <w:pPr>
        <w:pageBreakBefore w:val="0"/>
        <w:widowControl/>
        <w:kinsoku w:val="0"/>
        <w:wordWrap/>
        <w:overflowPunct/>
        <w:topLinePunct w:val="0"/>
        <w:autoSpaceDE w:val="0"/>
        <w:autoSpaceDN w:val="0"/>
        <w:bidi w:val="0"/>
        <w:adjustRightInd w:val="0"/>
        <w:snapToGrid w:val="0"/>
        <w:spacing w:line="330" w:lineRule="exact"/>
        <w:ind w:firstLine="420" w:firstLineChars="200"/>
        <w:textAlignment w:val="baseline"/>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第 17.4.1 项细化为：</w:t>
      </w:r>
    </w:p>
    <w:p>
      <w:pPr>
        <w:pageBreakBefore w:val="0"/>
        <w:widowControl/>
        <w:kinsoku w:val="0"/>
        <w:wordWrap/>
        <w:overflowPunct/>
        <w:topLinePunct w:val="0"/>
        <w:autoSpaceDE w:val="0"/>
        <w:autoSpaceDN w:val="0"/>
        <w:bidi w:val="0"/>
        <w:adjustRightInd w:val="0"/>
        <w:snapToGrid w:val="0"/>
        <w:spacing w:line="330" w:lineRule="exact"/>
        <w:ind w:firstLine="420" w:firstLineChars="200"/>
        <w:textAlignment w:val="baseline"/>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17.4.1 交工验收证书签发后14天内，承包人应向发包人缴纳质量保证金。质量保证金可以采用 现金、支票或工程保函形式(按照“关于在全省工程建设领域改革保证金制度的通知” (浙建〔2020〕7号) ，工程保函包括银行保函、保险机构保证保险保单和融资担保公司保函) ，金额应符合项目专用合同条款数据表的规定。采用工程保函时，出具保函的机构须具有相应担保能力，且按照发包人批准的格式出具，所需费用由承包人承担。</w:t>
      </w:r>
    </w:p>
    <w:p>
      <w:pPr>
        <w:pageBreakBefore w:val="0"/>
        <w:widowControl/>
        <w:kinsoku w:val="0"/>
        <w:wordWrap/>
        <w:overflowPunct/>
        <w:topLinePunct w:val="0"/>
        <w:autoSpaceDE w:val="0"/>
        <w:autoSpaceDN w:val="0"/>
        <w:bidi w:val="0"/>
        <w:adjustRightInd w:val="0"/>
        <w:snapToGrid w:val="0"/>
        <w:spacing w:line="330" w:lineRule="exact"/>
        <w:ind w:firstLine="420" w:firstLineChars="200"/>
        <w:textAlignment w:val="baseline"/>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质量保证金采用现金、支票形式提交的，不计息。</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30" w:lineRule="exact"/>
        <w:textAlignment w:val="baseline"/>
        <w:outlineLvl w:val="3"/>
        <w:rPr>
          <w:rFonts w:hint="eastAsia" w:ascii="宋体" w:hAnsi="宋体" w:eastAsia="宋体" w:cs="宋体"/>
          <w:b/>
          <w:bCs w:val="0"/>
          <w:color w:val="auto"/>
          <w:sz w:val="28"/>
          <w:szCs w:val="28"/>
          <w:highlight w:val="none"/>
        </w:rPr>
      </w:pPr>
      <w:bookmarkStart w:id="539" w:name="_Toc13481"/>
      <w:bookmarkStart w:id="540" w:name="_Toc288491662"/>
      <w:bookmarkStart w:id="541" w:name="_Toc11863"/>
      <w:bookmarkStart w:id="542" w:name="_Toc5385"/>
      <w:bookmarkStart w:id="543" w:name="_Toc283794334"/>
      <w:bookmarkStart w:id="544" w:name="_Toc287853486"/>
      <w:bookmarkStart w:id="545" w:name="_Toc282787597"/>
      <w:bookmarkStart w:id="546" w:name="_Toc282779137"/>
      <w:bookmarkStart w:id="547" w:name="_Toc24544"/>
      <w:bookmarkStart w:id="548" w:name="_Toc9816"/>
      <w:bookmarkStart w:id="549" w:name="_Toc14012"/>
      <w:bookmarkStart w:id="550" w:name="_Toc282779646"/>
      <w:bookmarkStart w:id="551" w:name="_Toc237255140"/>
      <w:bookmarkStart w:id="552" w:name="_Toc238550390"/>
      <w:bookmarkStart w:id="553" w:name="_Toc237744624"/>
      <w:r>
        <w:rPr>
          <w:rFonts w:hint="eastAsia" w:ascii="宋体" w:hAnsi="宋体" w:eastAsia="宋体" w:cs="宋体"/>
          <w:b/>
          <w:bCs w:val="0"/>
          <w:color w:val="auto"/>
          <w:sz w:val="28"/>
          <w:szCs w:val="28"/>
          <w:highlight w:val="none"/>
        </w:rPr>
        <w:t>18．交（竣）工验收</w:t>
      </w:r>
      <w:bookmarkEnd w:id="539"/>
      <w:bookmarkEnd w:id="540"/>
      <w:bookmarkEnd w:id="541"/>
      <w:bookmarkEnd w:id="542"/>
      <w:bookmarkEnd w:id="543"/>
      <w:bookmarkEnd w:id="544"/>
      <w:bookmarkEnd w:id="545"/>
      <w:bookmarkEnd w:id="546"/>
      <w:bookmarkEnd w:id="547"/>
      <w:bookmarkEnd w:id="548"/>
      <w:bookmarkEnd w:id="549"/>
      <w:bookmarkEnd w:id="550"/>
    </w:p>
    <w:bookmarkEnd w:id="551"/>
    <w:bookmarkEnd w:id="552"/>
    <w:bookmarkEnd w:id="553"/>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30" w:lineRule="exact"/>
        <w:textAlignment w:val="baseline"/>
        <w:outlineLvl w:val="4"/>
        <w:rPr>
          <w:rFonts w:hint="eastAsia" w:ascii="宋体" w:hAnsi="宋体" w:eastAsia="宋体" w:cs="宋体"/>
          <w:color w:val="auto"/>
          <w:sz w:val="21"/>
          <w:szCs w:val="21"/>
          <w:highlight w:val="none"/>
          <w:lang w:val="en-US" w:eastAsia="zh-CN"/>
        </w:rPr>
      </w:pPr>
      <w:bookmarkStart w:id="554" w:name="_Toc20056"/>
      <w:r>
        <w:rPr>
          <w:rFonts w:hint="eastAsia" w:ascii="宋体" w:hAnsi="宋体" w:eastAsia="宋体" w:cs="宋体"/>
          <w:color w:val="auto"/>
          <w:sz w:val="21"/>
          <w:szCs w:val="21"/>
          <w:highlight w:val="none"/>
          <w:lang w:val="en-US" w:eastAsia="zh-CN"/>
        </w:rPr>
        <w:t>18.9  竣工文件</w:t>
      </w:r>
      <w:bookmarkEnd w:id="554"/>
      <w:r>
        <w:rPr>
          <w:rFonts w:hint="eastAsia" w:ascii="宋体" w:hAnsi="宋体" w:eastAsia="宋体" w:cs="宋体"/>
          <w:color w:val="auto"/>
          <w:sz w:val="21"/>
          <w:szCs w:val="21"/>
          <w:highlight w:val="none"/>
          <w:lang w:val="en-US" w:eastAsia="zh-CN"/>
        </w:rPr>
        <w:t xml:space="preserve">  </w:t>
      </w:r>
    </w:p>
    <w:p>
      <w:pPr>
        <w:pageBreakBefore w:val="0"/>
        <w:widowControl/>
        <w:kinsoku w:val="0"/>
        <w:wordWrap/>
        <w:overflowPunct/>
        <w:topLinePunct w:val="0"/>
        <w:autoSpaceDE w:val="0"/>
        <w:autoSpaceDN w:val="0"/>
        <w:bidi w:val="0"/>
        <w:adjustRightInd w:val="0"/>
        <w:snapToGrid w:val="0"/>
        <w:spacing w:line="330" w:lineRule="exact"/>
        <w:ind w:firstLine="420" w:firstLineChars="200"/>
        <w:textAlignment w:val="baseline"/>
        <w:outlineLvl w:val="9"/>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本款细化为：</w:t>
      </w:r>
    </w:p>
    <w:p>
      <w:pPr>
        <w:pageBreakBefore w:val="0"/>
        <w:widowControl/>
        <w:kinsoku w:val="0"/>
        <w:wordWrap/>
        <w:overflowPunct/>
        <w:topLinePunct w:val="0"/>
        <w:autoSpaceDE w:val="0"/>
        <w:autoSpaceDN w:val="0"/>
        <w:bidi w:val="0"/>
        <w:adjustRightInd w:val="0"/>
        <w:snapToGrid w:val="0"/>
        <w:spacing w:line="330" w:lineRule="exact"/>
        <w:ind w:firstLine="420" w:firstLineChars="200"/>
        <w:textAlignment w:val="baseline"/>
        <w:outlineLvl w:val="9"/>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竣工文件应按交通运输部《公路工程竣 (交) 工验收办法》和浙江省交通运输厅《浙江省公路工程竣工文件编制办法》、《浙江省公路工程竣 (交) 工验收办法》等编制。在缺陷责任期内应为竣工验收补充竣工资料，并在缺陷责任期满 45 天之前提交。承包人还应按交通运输部《交通基本建设项目竣工决算报告编制办法》的规定和要求编制 (由承包人实施的部分) 竣工决算一式六套，提交监理人审核，同时应提交全套竣工资料的电子文档刻录光盘或其他电子存储介质，费用由承包人承担。</w:t>
      </w:r>
    </w:p>
    <w:p>
      <w:pPr>
        <w:pageBreakBefore w:val="0"/>
        <w:widowControl/>
        <w:kinsoku w:val="0"/>
        <w:wordWrap/>
        <w:overflowPunct/>
        <w:topLinePunct w:val="0"/>
        <w:autoSpaceDE w:val="0"/>
        <w:autoSpaceDN w:val="0"/>
        <w:bidi w:val="0"/>
        <w:adjustRightInd w:val="0"/>
        <w:snapToGrid w:val="0"/>
        <w:spacing w:line="330" w:lineRule="exact"/>
        <w:ind w:firstLine="420" w:firstLineChars="200"/>
        <w:textAlignment w:val="baseline"/>
        <w:outlineLvl w:val="9"/>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承包人应综合考虑本项目阶段性交工、节点工程试运营、验收等的特殊性，按规定整理完成并经阶段性验收合格后，最后按整个项目进行汇总整理及评定。承包人因此增加的费用应认为已包括在投标价之中，发包人不另行支付。</w:t>
      </w:r>
    </w:p>
    <w:p>
      <w:pPr>
        <w:pageBreakBefore w:val="0"/>
        <w:widowControl/>
        <w:kinsoku w:val="0"/>
        <w:wordWrap/>
        <w:overflowPunct/>
        <w:topLinePunct w:val="0"/>
        <w:autoSpaceDE w:val="0"/>
        <w:autoSpaceDN w:val="0"/>
        <w:bidi w:val="0"/>
        <w:adjustRightInd w:val="0"/>
        <w:snapToGrid w:val="0"/>
        <w:spacing w:line="330" w:lineRule="exact"/>
        <w:ind w:firstLine="420" w:firstLineChars="200"/>
        <w:textAlignment w:val="baseline"/>
        <w:outlineLvl w:val="9"/>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竣工文件中涉及施工及监理文件的有关表式，应按《浙江省公路建设项目施工统一用表管理系统》 规定的统一试验用表选用。</w:t>
      </w:r>
    </w:p>
    <w:p>
      <w:pPr>
        <w:pageBreakBefore w:val="0"/>
        <w:widowControl/>
        <w:kinsoku w:val="0"/>
        <w:wordWrap/>
        <w:overflowPunct/>
        <w:topLinePunct w:val="0"/>
        <w:autoSpaceDE w:val="0"/>
        <w:autoSpaceDN w:val="0"/>
        <w:bidi w:val="0"/>
        <w:adjustRightInd w:val="0"/>
        <w:snapToGrid w:val="0"/>
        <w:spacing w:line="330" w:lineRule="exact"/>
        <w:ind w:firstLine="420" w:firstLineChars="200"/>
        <w:textAlignment w:val="baseline"/>
        <w:outlineLvl w:val="9"/>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补充第 18.10 款：</w:t>
      </w:r>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30" w:lineRule="exact"/>
        <w:ind w:firstLine="420" w:firstLineChars="200"/>
        <w:textAlignment w:val="baseline"/>
        <w:outlineLvl w:val="4"/>
        <w:rPr>
          <w:rFonts w:hint="eastAsia" w:ascii="宋体" w:hAnsi="宋体" w:eastAsia="宋体" w:cs="宋体"/>
          <w:color w:val="auto"/>
          <w:sz w:val="21"/>
          <w:szCs w:val="21"/>
          <w:highlight w:val="none"/>
          <w:lang w:val="en-US" w:eastAsia="zh-CN"/>
        </w:rPr>
      </w:pPr>
      <w:bookmarkStart w:id="555" w:name="_Toc26803"/>
      <w:r>
        <w:rPr>
          <w:rFonts w:hint="eastAsia" w:ascii="宋体" w:hAnsi="宋体" w:eastAsia="宋体" w:cs="宋体"/>
          <w:color w:val="auto"/>
          <w:sz w:val="21"/>
          <w:szCs w:val="21"/>
          <w:highlight w:val="none"/>
          <w:lang w:val="en-US" w:eastAsia="zh-CN"/>
        </w:rPr>
        <w:t>18.10  工程档案管理</w:t>
      </w:r>
      <w:bookmarkEnd w:id="555"/>
    </w:p>
    <w:p>
      <w:pPr>
        <w:keepNext w:val="0"/>
        <w:keepLines w:val="0"/>
        <w:pageBreakBefore w:val="0"/>
        <w:widowControl/>
        <w:kinsoku w:val="0"/>
        <w:wordWrap/>
        <w:overflowPunct/>
        <w:topLinePunct w:val="0"/>
        <w:autoSpaceDE w:val="0"/>
        <w:autoSpaceDN w:val="0"/>
        <w:bidi w:val="0"/>
        <w:adjustRightInd w:val="0"/>
        <w:snapToGrid w:val="0"/>
        <w:spacing w:line="330" w:lineRule="exact"/>
        <w:ind w:firstLine="420" w:firstLineChars="200"/>
        <w:textAlignment w:val="baseline"/>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承包人必须确保工程施工原始资料与工程进度同步完成， 并由专人负责档案管理工作，同时按照 《中华人民共和国档案法》、交通运输部《关于印发公路建设项目文件材料立卷归档管理办法的通知》、《浙江省公路工程竣工文件编制办法》、《重大建设项目档案验收办法》、《浙江省档案登记备份管理办法》以及交通运输部 《公路工程竣 (交) 工验收办法》等有关规定做好工程竣工资料的编制，必须配备具有档案资质的专职人员负责竣工档案编制，且人员应稳定，未经发包人同意不得变更。承包人在工程施工结束并在发包人要求的规定时间内，通过档案专项验收，并移交所有工程档案资料、工程竣工结算报告的电子版给发包人，纸质资料存档至嵊州市档案馆。。</w:t>
      </w:r>
    </w:p>
    <w:p>
      <w:pPr>
        <w:keepNext w:val="0"/>
        <w:keepLines w:val="0"/>
        <w:pageBreakBefore w:val="0"/>
        <w:widowControl/>
        <w:kinsoku w:val="0"/>
        <w:wordWrap/>
        <w:overflowPunct/>
        <w:topLinePunct w:val="0"/>
        <w:autoSpaceDE w:val="0"/>
        <w:autoSpaceDN w:val="0"/>
        <w:bidi w:val="0"/>
        <w:adjustRightInd w:val="0"/>
        <w:snapToGrid w:val="0"/>
        <w:spacing w:line="330" w:lineRule="exact"/>
        <w:ind w:firstLine="420" w:firstLineChars="200"/>
        <w:textAlignment w:val="baseline"/>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bidi="ar"/>
        </w:rPr>
        <w:t>省重点建设项目应按《浙江省重点建设项目档案登记备份办法》做好建设项目档案登记备份工作。</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3"/>
        <w:rPr>
          <w:rFonts w:hint="eastAsia" w:ascii="宋体" w:hAnsi="宋体" w:eastAsia="宋体" w:cs="宋体"/>
          <w:b/>
          <w:bCs w:val="0"/>
          <w:color w:val="auto"/>
          <w:sz w:val="28"/>
          <w:szCs w:val="28"/>
          <w:highlight w:val="none"/>
        </w:rPr>
      </w:pPr>
      <w:bookmarkStart w:id="556" w:name="_Toc283794335"/>
      <w:bookmarkStart w:id="557" w:name="_Toc282779138"/>
      <w:bookmarkStart w:id="558" w:name="_Toc17391"/>
      <w:bookmarkStart w:id="559" w:name="_Toc282779647"/>
      <w:bookmarkStart w:id="560" w:name="_Toc25704"/>
      <w:bookmarkStart w:id="561" w:name="_Toc26070"/>
      <w:bookmarkStart w:id="562" w:name="_Toc287853487"/>
      <w:bookmarkStart w:id="563" w:name="_Toc32235"/>
      <w:bookmarkStart w:id="564" w:name="_Toc20859"/>
      <w:bookmarkStart w:id="565" w:name="_Toc288491663"/>
      <w:bookmarkStart w:id="566" w:name="_Toc27609"/>
      <w:bookmarkStart w:id="567" w:name="_Toc282787599"/>
      <w:r>
        <w:rPr>
          <w:rFonts w:hint="eastAsia" w:ascii="宋体" w:hAnsi="宋体" w:eastAsia="宋体" w:cs="宋体"/>
          <w:b/>
          <w:bCs w:val="0"/>
          <w:color w:val="auto"/>
          <w:sz w:val="28"/>
          <w:szCs w:val="28"/>
          <w:highlight w:val="none"/>
        </w:rPr>
        <w:t>20. 保险</w:t>
      </w:r>
      <w:bookmarkEnd w:id="556"/>
      <w:bookmarkEnd w:id="557"/>
      <w:bookmarkEnd w:id="558"/>
      <w:bookmarkEnd w:id="559"/>
      <w:bookmarkEnd w:id="560"/>
      <w:bookmarkEnd w:id="561"/>
      <w:bookmarkEnd w:id="562"/>
      <w:bookmarkEnd w:id="563"/>
      <w:bookmarkEnd w:id="564"/>
      <w:bookmarkEnd w:id="565"/>
      <w:bookmarkEnd w:id="566"/>
      <w:bookmarkEnd w:id="567"/>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lang w:val="en-US" w:eastAsia="zh-CN"/>
        </w:rPr>
      </w:pPr>
      <w:bookmarkStart w:id="568" w:name="_Toc15049"/>
      <w:r>
        <w:rPr>
          <w:rFonts w:hint="eastAsia" w:ascii="宋体" w:hAnsi="宋体" w:eastAsia="宋体" w:cs="宋体"/>
          <w:color w:val="auto"/>
          <w:sz w:val="21"/>
          <w:szCs w:val="21"/>
          <w:highlight w:val="none"/>
          <w:lang w:val="en-US" w:eastAsia="zh-CN"/>
        </w:rPr>
        <w:t>20.2 人员工伤事故的保险</w:t>
      </w:r>
      <w:bookmarkEnd w:id="568"/>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20.2.1包人员工伤事故的保险本项补充：</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承包人应按《浙江省人力资源和社会保障厅等六部门转发人力资源社会保障部等六部门关于铁路、公路、水运、水利、能源、机场工程建设项目参加工伤保险工作的通知》要求，根据项目所在地规定在开工前及时缴纳工伤保险。</w:t>
      </w:r>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lang w:val="en-US" w:eastAsia="zh-CN"/>
        </w:rPr>
      </w:pPr>
      <w:bookmarkStart w:id="569" w:name="_Toc29280"/>
      <w:r>
        <w:rPr>
          <w:rFonts w:hint="eastAsia" w:ascii="宋体" w:hAnsi="宋体" w:eastAsia="宋体" w:cs="宋体"/>
          <w:color w:val="auto"/>
          <w:sz w:val="21"/>
          <w:szCs w:val="21"/>
          <w:highlight w:val="none"/>
          <w:lang w:val="en-US" w:eastAsia="zh-CN"/>
        </w:rPr>
        <w:t>20.5 其他保险</w:t>
      </w:r>
      <w:bookmarkEnd w:id="569"/>
    </w:p>
    <w:p>
      <w:pPr>
        <w:pStyle w:val="28"/>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16" w:firstLineChars="200"/>
        <w:textAlignment w:val="baseline"/>
        <w:outlineLvl w:val="3"/>
        <w:rPr>
          <w:rFonts w:hint="eastAsia" w:ascii="宋体" w:hAnsi="宋体" w:eastAsia="宋体" w:cs="宋体"/>
          <w:color w:val="auto"/>
          <w:spacing w:val="-1"/>
          <w:sz w:val="21"/>
          <w:szCs w:val="21"/>
          <w:highlight w:val="none"/>
        </w:rPr>
      </w:pPr>
      <w:bookmarkStart w:id="570" w:name="_Toc7934"/>
      <w:r>
        <w:rPr>
          <w:rFonts w:hint="eastAsia" w:ascii="宋体" w:hAnsi="宋体" w:eastAsia="宋体" w:cs="宋体"/>
          <w:color w:val="auto"/>
          <w:spacing w:val="-1"/>
          <w:sz w:val="21"/>
          <w:szCs w:val="21"/>
          <w:highlight w:val="none"/>
        </w:rPr>
        <w:t>本款约定为：</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16" w:firstLineChars="200"/>
        <w:textAlignment w:val="baseline"/>
        <w:outlineLvl w:val="3"/>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承包人应为其施工设备等办理保险，其投保金额应足以现场重置。</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16" w:firstLineChars="200"/>
        <w:textAlignment w:val="baseline"/>
        <w:outlineLvl w:val="3"/>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承包人应办理法律法规规定必须投保的其他保险。</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16" w:firstLineChars="200"/>
        <w:textAlignment w:val="baseline"/>
        <w:outlineLvl w:val="3"/>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承包人为本项目办理保险的一切费用，除在工程量清单中另有列明外，均视为已包含在合同价中，不另行支付。</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3"/>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20.6 对各项保险的一般要求</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3"/>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 xml:space="preserve">20.6.4 保险金不足的补偿 </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3"/>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本项补充：</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20" w:lineRule="exact"/>
        <w:ind w:firstLine="416" w:firstLineChars="200"/>
        <w:textAlignment w:val="baseline"/>
        <w:outlineLvl w:val="3"/>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保险金的赔偿金额以有资质的公估单位确定的金额为准，免赔额和超过赔偿限额的部分由承包人承担。</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3"/>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21. 不可抗力</w:t>
      </w:r>
      <w:bookmarkEnd w:id="570"/>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lang w:val="en-US" w:eastAsia="zh-CN"/>
        </w:rPr>
      </w:pPr>
      <w:bookmarkStart w:id="571" w:name="_Toc29508"/>
      <w:r>
        <w:rPr>
          <w:rFonts w:hint="eastAsia" w:ascii="宋体" w:hAnsi="宋体" w:eastAsia="宋体" w:cs="宋体"/>
          <w:color w:val="auto"/>
          <w:sz w:val="21"/>
          <w:szCs w:val="21"/>
          <w:highlight w:val="none"/>
          <w:lang w:val="en-US" w:eastAsia="zh-CN"/>
        </w:rPr>
        <w:t>21.1  不可抗力的确认</w:t>
      </w:r>
      <w:bookmarkEnd w:id="571"/>
    </w:p>
    <w:p>
      <w:pPr>
        <w:keepNext w:val="0"/>
        <w:keepLines w:val="0"/>
        <w:pageBreakBefore w:val="0"/>
        <w:widowControl/>
        <w:kinsoku w:val="0"/>
        <w:wordWrap/>
        <w:overflowPunct/>
        <w:topLinePunct w:val="0"/>
        <w:autoSpaceDE w:val="0"/>
        <w:autoSpaceDN w:val="0"/>
        <w:bidi w:val="0"/>
        <w:adjustRightInd w:val="0"/>
        <w:snapToGrid w:val="0"/>
        <w:spacing w:before="132" w:line="320" w:lineRule="exact"/>
        <w:ind w:left="432"/>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position w:val="2"/>
          <w:sz w:val="21"/>
          <w:szCs w:val="21"/>
          <w:highlight w:val="none"/>
        </w:rPr>
        <w:t>公路工程专用合同条款21.1.1项(</w:t>
      </w:r>
      <w:r>
        <w:rPr>
          <w:rFonts w:hint="eastAsia" w:ascii="宋体" w:hAnsi="宋体" w:eastAsia="宋体" w:cs="宋体"/>
          <w:color w:val="auto"/>
          <w:spacing w:val="1"/>
          <w:position w:val="2"/>
          <w:sz w:val="21"/>
          <w:szCs w:val="21"/>
          <w:highlight w:val="none"/>
        </w:rPr>
        <w:t>6)目约定为：</w:t>
      </w:r>
    </w:p>
    <w:p>
      <w:pPr>
        <w:keepNext w:val="0"/>
        <w:keepLines w:val="0"/>
        <w:pageBreakBefore w:val="0"/>
        <w:widowControl/>
        <w:kinsoku w:val="0"/>
        <w:wordWrap/>
        <w:overflowPunct/>
        <w:topLinePunct w:val="0"/>
        <w:autoSpaceDE w:val="0"/>
        <w:autoSpaceDN w:val="0"/>
        <w:bidi w:val="0"/>
        <w:adjustRightInd w:val="0"/>
        <w:snapToGrid w:val="0"/>
        <w:spacing w:line="320" w:lineRule="exact"/>
        <w:ind w:firstLine="444" w:firstLineChars="200"/>
        <w:textAlignment w:val="baseline"/>
        <w:rPr>
          <w:rFonts w:hint="eastAsia" w:ascii="宋体" w:hAnsi="宋体" w:eastAsia="宋体" w:cs="宋体"/>
          <w:color w:val="auto"/>
          <w:spacing w:val="5"/>
          <w:sz w:val="21"/>
          <w:szCs w:val="21"/>
          <w:highlight w:val="none"/>
        </w:rPr>
      </w:pPr>
      <w:r>
        <w:rPr>
          <w:rFonts w:hint="eastAsia" w:ascii="宋体" w:hAnsi="宋体" w:eastAsia="宋体" w:cs="宋体"/>
          <w:color w:val="auto"/>
          <w:spacing w:val="6"/>
          <w:sz w:val="21"/>
          <w:szCs w:val="21"/>
          <w:highlight w:val="none"/>
        </w:rPr>
        <w:t>21</w:t>
      </w:r>
      <w:r>
        <w:rPr>
          <w:rFonts w:hint="eastAsia" w:ascii="宋体" w:hAnsi="宋体" w:eastAsia="宋体" w:cs="宋体"/>
          <w:color w:val="auto"/>
          <w:spacing w:val="5"/>
          <w:sz w:val="21"/>
          <w:szCs w:val="21"/>
          <w:highlight w:val="none"/>
        </w:rPr>
        <w:t>.</w:t>
      </w:r>
      <w:r>
        <w:rPr>
          <w:rFonts w:hint="eastAsia" w:ascii="宋体" w:hAnsi="宋体" w:eastAsia="宋体" w:cs="宋体"/>
          <w:color w:val="auto"/>
          <w:spacing w:val="3"/>
          <w:sz w:val="21"/>
          <w:szCs w:val="21"/>
          <w:highlight w:val="none"/>
          <w:lang w:val="en-US" w:eastAsia="zh-CN"/>
        </w:rPr>
        <w:t>3</w:t>
      </w:r>
      <w:r>
        <w:rPr>
          <w:rFonts w:hint="eastAsia" w:ascii="宋体" w:hAnsi="宋体" w:eastAsia="宋体" w:cs="宋体"/>
          <w:color w:val="auto"/>
          <w:spacing w:val="3"/>
          <w:sz w:val="21"/>
          <w:szCs w:val="21"/>
          <w:highlight w:val="none"/>
        </w:rPr>
        <w:t>.1 (6)不可抗力的其他情形：</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lang w:val="en-US" w:eastAsia="zh-CN"/>
        </w:rPr>
        <w:t>/</w:t>
      </w:r>
      <w:r>
        <w:rPr>
          <w:rFonts w:hint="eastAsia" w:ascii="宋体" w:hAnsi="宋体" w:eastAsia="宋体" w:cs="宋体"/>
          <w:color w:val="auto"/>
          <w:sz w:val="21"/>
          <w:szCs w:val="21"/>
          <w:highlight w:val="none"/>
          <w:u w:val="single" w:color="auto"/>
        </w:rPr>
        <w:t xml:space="preserve">       </w:t>
      </w:r>
    </w:p>
    <w:p>
      <w:pPr>
        <w:pStyle w:val="28"/>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3"/>
        <w:rPr>
          <w:rFonts w:hint="eastAsia" w:ascii="宋体" w:hAnsi="宋体" w:eastAsia="宋体" w:cs="宋体"/>
          <w:b/>
          <w:bCs w:val="0"/>
          <w:color w:val="auto"/>
          <w:sz w:val="28"/>
          <w:szCs w:val="28"/>
          <w:highlight w:val="none"/>
        </w:rPr>
      </w:pPr>
      <w:bookmarkStart w:id="572" w:name="_Toc12831"/>
      <w:bookmarkStart w:id="573" w:name="_Toc287853488"/>
      <w:bookmarkStart w:id="574" w:name="_Toc282779648"/>
      <w:bookmarkStart w:id="575" w:name="_Toc2084"/>
      <w:bookmarkStart w:id="576" w:name="_Toc14018"/>
      <w:bookmarkStart w:id="577" w:name="_Toc288491664"/>
      <w:bookmarkStart w:id="578" w:name="_Toc12631"/>
      <w:bookmarkStart w:id="579" w:name="_Toc282779139"/>
      <w:bookmarkStart w:id="580" w:name="_Toc282787602"/>
      <w:bookmarkStart w:id="581" w:name="_Toc283794336"/>
      <w:bookmarkStart w:id="582" w:name="_Toc31576"/>
      <w:bookmarkStart w:id="583" w:name="_Toc17251"/>
      <w:r>
        <w:rPr>
          <w:rFonts w:hint="eastAsia" w:ascii="宋体" w:hAnsi="宋体" w:eastAsia="宋体" w:cs="宋体"/>
          <w:b/>
          <w:bCs w:val="0"/>
          <w:color w:val="auto"/>
          <w:sz w:val="28"/>
          <w:szCs w:val="28"/>
          <w:highlight w:val="none"/>
        </w:rPr>
        <w:t>22．违约</w:t>
      </w:r>
      <w:bookmarkEnd w:id="572"/>
      <w:bookmarkEnd w:id="573"/>
      <w:bookmarkEnd w:id="574"/>
      <w:bookmarkEnd w:id="575"/>
      <w:bookmarkEnd w:id="576"/>
      <w:bookmarkEnd w:id="577"/>
      <w:bookmarkEnd w:id="578"/>
      <w:bookmarkEnd w:id="579"/>
      <w:bookmarkEnd w:id="580"/>
      <w:bookmarkEnd w:id="581"/>
      <w:bookmarkEnd w:id="582"/>
      <w:bookmarkEnd w:id="583"/>
    </w:p>
    <w:p>
      <w:pPr>
        <w:pStyle w:val="28"/>
        <w:keepNext/>
        <w:keepLines/>
        <w:pageBreakBefore w:val="0"/>
        <w:widowControl/>
        <w:kinsoku w:val="0"/>
        <w:wordWrap/>
        <w:overflowPunct/>
        <w:topLinePunct w:val="0"/>
        <w:autoSpaceDE w:val="0"/>
        <w:autoSpaceDN w:val="0"/>
        <w:bidi w:val="0"/>
        <w:adjustRightInd w:val="0"/>
        <w:snapToGrid w:val="0"/>
        <w:spacing w:before="120" w:beforeLines="50" w:after="120" w:afterLines="50" w:line="320" w:lineRule="exact"/>
        <w:textAlignment w:val="baseline"/>
        <w:outlineLvl w:val="4"/>
        <w:rPr>
          <w:rFonts w:hint="eastAsia" w:ascii="宋体" w:hAnsi="宋体" w:eastAsia="宋体" w:cs="宋体"/>
          <w:color w:val="auto"/>
          <w:sz w:val="21"/>
          <w:szCs w:val="21"/>
          <w:highlight w:val="none"/>
          <w:lang w:val="en-US" w:eastAsia="zh-CN"/>
        </w:rPr>
      </w:pPr>
      <w:bookmarkStart w:id="584" w:name="_Toc282787603"/>
      <w:bookmarkStart w:id="585" w:name="_Toc12316"/>
      <w:r>
        <w:rPr>
          <w:rFonts w:hint="eastAsia" w:ascii="宋体" w:hAnsi="宋体" w:eastAsia="宋体" w:cs="宋体"/>
          <w:color w:val="auto"/>
          <w:sz w:val="21"/>
          <w:szCs w:val="21"/>
          <w:highlight w:val="none"/>
          <w:lang w:val="en-US" w:eastAsia="zh-CN"/>
        </w:rPr>
        <w:t>22.1  承包人违约</w:t>
      </w:r>
      <w:bookmarkEnd w:id="584"/>
      <w:bookmarkEnd w:id="585"/>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本项细化为：</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(1)承包人违反第 1.8 款或第 4.3 款的约定，私自将合同的全部或部分权利转让给其他人，或私自将合同的全部或部分义务转移给其他人；</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(2)承包人违反第 5.3 款或第 6.4 款的约定，未经监理人批准，私自将已按合同约定进入施工场地的施工设备、临时设施、材料或工程设备撤离施工场地；</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(3)承包人违反第5.4 款的约定使用了不合格材料或工程设备，工程质量达不到标准要求，又拒绝清除不合格工程；</w:t>
      </w:r>
    </w:p>
    <w:p>
      <w:pPr>
        <w:pStyle w:val="17"/>
        <w:keepNext w:val="0"/>
        <w:keepLines w:val="0"/>
        <w:pageBreakBefore w:val="0"/>
        <w:widowControl/>
        <w:kinsoku/>
        <w:wordWrap/>
        <w:overflowPunct/>
        <w:topLinePunct w:val="0"/>
        <w:autoSpaceDE w:val="0"/>
        <w:autoSpaceDN w:val="0"/>
        <w:bidi w:val="0"/>
        <w:adjustRightInd w:val="0"/>
        <w:snapToGrid w:val="0"/>
        <w:spacing w:before="0" w:beforeAutospacing="0" w:after="0" w:afterAutospacing="0" w:line="360" w:lineRule="auto"/>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(4)承包人未能按合同进度计划、节点计划及时完成合同约定的工作，已造成或预期造成工期延误；</w:t>
      </w:r>
    </w:p>
    <w:p>
      <w:pPr>
        <w:pStyle w:val="17"/>
        <w:keepNext w:val="0"/>
        <w:keepLines w:val="0"/>
        <w:pageBreakBefore w:val="0"/>
        <w:widowControl/>
        <w:kinsoku/>
        <w:wordWrap/>
        <w:overflowPunct/>
        <w:topLinePunct w:val="0"/>
        <w:autoSpaceDE w:val="0"/>
        <w:autoSpaceDN w:val="0"/>
        <w:bidi w:val="0"/>
        <w:adjustRightInd w:val="0"/>
        <w:snapToGrid w:val="0"/>
        <w:spacing w:before="0" w:beforeAutospacing="0" w:after="0" w:afterAutospacing="0" w:line="360" w:lineRule="auto"/>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(5)承包人在缺陷责任期内，未能对工程接收证书所列的缺陷清单的内容或缺陷责任期内发生的缺陷进行修复，而又拒绝按监理人指示再进行修补；</w:t>
      </w:r>
    </w:p>
    <w:p>
      <w:pPr>
        <w:pStyle w:val="17"/>
        <w:keepNext w:val="0"/>
        <w:keepLines w:val="0"/>
        <w:pageBreakBefore w:val="0"/>
        <w:widowControl/>
        <w:kinsoku/>
        <w:wordWrap/>
        <w:overflowPunct/>
        <w:topLinePunct w:val="0"/>
        <w:autoSpaceDE w:val="0"/>
        <w:autoSpaceDN w:val="0"/>
        <w:bidi w:val="0"/>
        <w:adjustRightInd w:val="0"/>
        <w:snapToGrid w:val="0"/>
        <w:spacing w:before="0" w:beforeAutospacing="0" w:after="0" w:afterAutospacing="0" w:line="360" w:lineRule="auto"/>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(6)承包人无法继续履行或明确表示不履行或实质上已停止履行合同；</w:t>
      </w:r>
    </w:p>
    <w:p>
      <w:pPr>
        <w:pStyle w:val="17"/>
        <w:keepNext w:val="0"/>
        <w:keepLines w:val="0"/>
        <w:pageBreakBefore w:val="0"/>
        <w:widowControl/>
        <w:kinsoku/>
        <w:wordWrap/>
        <w:overflowPunct/>
        <w:topLinePunct w:val="0"/>
        <w:autoSpaceDE w:val="0"/>
        <w:autoSpaceDN w:val="0"/>
        <w:bidi w:val="0"/>
        <w:adjustRightInd w:val="0"/>
        <w:snapToGrid w:val="0"/>
        <w:spacing w:before="0" w:beforeAutospacing="0" w:after="0" w:afterAutospacing="0" w:line="360" w:lineRule="auto"/>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(7)项目已具备开工条件，因承包人原因，承包人未能按期开工；</w:t>
      </w:r>
    </w:p>
    <w:p>
      <w:pPr>
        <w:pStyle w:val="17"/>
        <w:keepNext w:val="0"/>
        <w:keepLines w:val="0"/>
        <w:pageBreakBefore w:val="0"/>
        <w:widowControl/>
        <w:kinsoku/>
        <w:wordWrap/>
        <w:overflowPunct/>
        <w:topLinePunct w:val="0"/>
        <w:autoSpaceDE w:val="0"/>
        <w:autoSpaceDN w:val="0"/>
        <w:bidi w:val="0"/>
        <w:adjustRightInd w:val="0"/>
        <w:snapToGrid w:val="0"/>
        <w:spacing w:before="0" w:beforeAutospacing="0" w:after="0" w:afterAutospacing="0" w:line="360" w:lineRule="auto"/>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(8)承包人违反第 6.1 款或第 6.3 款的规定，未按承诺或未按监理人的要求及时配备合同约定的关键施工设备；</w:t>
      </w:r>
    </w:p>
    <w:p>
      <w:pPr>
        <w:pStyle w:val="17"/>
        <w:keepNext w:val="0"/>
        <w:keepLines w:val="0"/>
        <w:pageBreakBefore w:val="0"/>
        <w:widowControl/>
        <w:kinsoku/>
        <w:wordWrap/>
        <w:overflowPunct/>
        <w:topLinePunct w:val="0"/>
        <w:autoSpaceDE w:val="0"/>
        <w:autoSpaceDN w:val="0"/>
        <w:bidi w:val="0"/>
        <w:adjustRightInd w:val="0"/>
        <w:snapToGrid w:val="0"/>
        <w:spacing w:before="0" w:beforeAutospacing="0" w:after="0" w:afterAutospacing="0" w:line="360" w:lineRule="auto"/>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(9)经监理人和发包人检查，发现承包人违反 9.2 项约定有安全问题或有违反安全管理规章制度的情形；</w:t>
      </w:r>
    </w:p>
    <w:p>
      <w:pPr>
        <w:pStyle w:val="17"/>
        <w:keepNext w:val="0"/>
        <w:keepLines w:val="0"/>
        <w:pageBreakBefore w:val="0"/>
        <w:widowControl/>
        <w:kinsoku/>
        <w:wordWrap/>
        <w:overflowPunct/>
        <w:topLinePunct w:val="0"/>
        <w:autoSpaceDE w:val="0"/>
        <w:autoSpaceDN w:val="0"/>
        <w:bidi w:val="0"/>
        <w:adjustRightInd w:val="0"/>
        <w:snapToGrid w:val="0"/>
        <w:spacing w:before="0" w:beforeAutospacing="0" w:after="0" w:afterAutospacing="0" w:line="360" w:lineRule="auto"/>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(10)承包人违反第 13. 1.1 项的约定，工程质量未达到标段竣工验收的质量评定要求的；</w:t>
      </w:r>
    </w:p>
    <w:p>
      <w:pPr>
        <w:pStyle w:val="17"/>
        <w:keepNext w:val="0"/>
        <w:keepLines w:val="0"/>
        <w:pageBreakBefore w:val="0"/>
        <w:widowControl/>
        <w:kinsoku/>
        <w:wordWrap/>
        <w:overflowPunct/>
        <w:topLinePunct w:val="0"/>
        <w:autoSpaceDE w:val="0"/>
        <w:autoSpaceDN w:val="0"/>
        <w:bidi w:val="0"/>
        <w:adjustRightInd w:val="0"/>
        <w:snapToGrid w:val="0"/>
        <w:spacing w:before="0" w:beforeAutospacing="0" w:after="0" w:afterAutospacing="0" w:line="360" w:lineRule="auto"/>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(11)承包人违反第 4.9 款及 17.2 款的约定，将发包人支付给承包人的各项价款转移或用于其他工程；</w:t>
      </w:r>
    </w:p>
    <w:p>
      <w:pPr>
        <w:pStyle w:val="17"/>
        <w:keepNext w:val="0"/>
        <w:keepLines w:val="0"/>
        <w:pageBreakBefore w:val="0"/>
        <w:widowControl/>
        <w:kinsoku/>
        <w:wordWrap/>
        <w:overflowPunct/>
        <w:topLinePunct w:val="0"/>
        <w:autoSpaceDE w:val="0"/>
        <w:autoSpaceDN w:val="0"/>
        <w:bidi w:val="0"/>
        <w:adjustRightInd w:val="0"/>
        <w:snapToGrid w:val="0"/>
        <w:spacing w:before="0" w:beforeAutospacing="0" w:after="0" w:afterAutospacing="0" w:line="360" w:lineRule="auto"/>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(12)承包人违反第 4.6 款的规定，未按承诺或未按监理人的要求及时配备称职的主要管理人员、技术骨干，或未按规定替换，或擅离职守的；</w:t>
      </w:r>
    </w:p>
    <w:p>
      <w:pPr>
        <w:pStyle w:val="17"/>
        <w:keepNext w:val="0"/>
        <w:keepLines w:val="0"/>
        <w:pageBreakBefore w:val="0"/>
        <w:widowControl/>
        <w:kinsoku/>
        <w:wordWrap/>
        <w:overflowPunct/>
        <w:topLinePunct w:val="0"/>
        <w:autoSpaceDE w:val="0"/>
        <w:autoSpaceDN w:val="0"/>
        <w:bidi w:val="0"/>
        <w:adjustRightInd w:val="0"/>
        <w:snapToGrid w:val="0"/>
        <w:spacing w:before="0" w:beforeAutospacing="0" w:after="0" w:afterAutospacing="0" w:line="360" w:lineRule="auto"/>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(13)承包人违反投标人须知 3.5 款的规定，在合同实施期间发现承包人在投标时提供了虚假资料的。</w:t>
      </w:r>
    </w:p>
    <w:p>
      <w:pPr>
        <w:pStyle w:val="17"/>
        <w:keepNext w:val="0"/>
        <w:keepLines w:val="0"/>
        <w:pageBreakBefore w:val="0"/>
        <w:widowControl/>
        <w:kinsoku/>
        <w:wordWrap/>
        <w:overflowPunct/>
        <w:topLinePunct w:val="0"/>
        <w:autoSpaceDE w:val="0"/>
        <w:autoSpaceDN w:val="0"/>
        <w:bidi w:val="0"/>
        <w:adjustRightInd w:val="0"/>
        <w:snapToGrid w:val="0"/>
        <w:spacing w:before="0" w:beforeAutospacing="0" w:after="0" w:afterAutospacing="0" w:line="360" w:lineRule="auto"/>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(14)安全目标未达到招标文件规定要求的；</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22. 1.2 对承包人违约的处理</w:t>
      </w:r>
    </w:p>
    <w:p>
      <w:pPr>
        <w:pStyle w:val="17"/>
        <w:keepNext w:val="0"/>
        <w:keepLines w:val="0"/>
        <w:pageBreakBefore w:val="0"/>
        <w:widowControl/>
        <w:kinsoku/>
        <w:wordWrap/>
        <w:overflowPunct/>
        <w:topLinePunct w:val="0"/>
        <w:autoSpaceDE w:val="0"/>
        <w:autoSpaceDN w:val="0"/>
        <w:bidi w:val="0"/>
        <w:adjustRightInd w:val="0"/>
        <w:snapToGrid w:val="0"/>
        <w:spacing w:before="0" w:beforeAutospacing="0" w:after="0" w:afterAutospacing="0" w:line="360" w:lineRule="auto"/>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本项细化为：</w:t>
      </w:r>
    </w:p>
    <w:p>
      <w:pPr>
        <w:pStyle w:val="17"/>
        <w:keepNext w:val="0"/>
        <w:keepLines w:val="0"/>
        <w:pageBreakBefore w:val="0"/>
        <w:widowControl/>
        <w:kinsoku/>
        <w:wordWrap/>
        <w:overflowPunct/>
        <w:topLinePunct w:val="0"/>
        <w:autoSpaceDE w:val="0"/>
        <w:autoSpaceDN w:val="0"/>
        <w:bidi w:val="0"/>
        <w:adjustRightInd w:val="0"/>
        <w:snapToGrid w:val="0"/>
        <w:spacing w:before="0" w:beforeAutospacing="0" w:after="0" w:afterAutospacing="0" w:line="360" w:lineRule="auto"/>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(1)承包人发生第 22.1.1(6)目约定的违约情形时，发包人可通知承包人立即解除合同，并按有关法律处理。</w:t>
      </w:r>
    </w:p>
    <w:p>
      <w:pPr>
        <w:pStyle w:val="17"/>
        <w:keepNext w:val="0"/>
        <w:keepLines w:val="0"/>
        <w:pageBreakBefore w:val="0"/>
        <w:widowControl/>
        <w:kinsoku/>
        <w:wordWrap/>
        <w:overflowPunct/>
        <w:topLinePunct w:val="0"/>
        <w:autoSpaceDE w:val="0"/>
        <w:autoSpaceDN w:val="0"/>
        <w:bidi w:val="0"/>
        <w:adjustRightInd w:val="0"/>
        <w:snapToGrid w:val="0"/>
        <w:spacing w:before="0" w:beforeAutospacing="0" w:after="0" w:afterAutospacing="0" w:line="360" w:lineRule="auto"/>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(2)承包人发生除第 22.1.1(6)目约定以外的其他违约情形时，监理人可向承包人发出整改通知，要求其在指定的期限内改正。承包人应承担其违约所引起的费用增加和(或)工期延误。</w:t>
      </w:r>
    </w:p>
    <w:p>
      <w:pPr>
        <w:pStyle w:val="17"/>
        <w:keepNext w:val="0"/>
        <w:keepLines w:val="0"/>
        <w:pageBreakBefore w:val="0"/>
        <w:widowControl/>
        <w:kinsoku/>
        <w:wordWrap/>
        <w:overflowPunct/>
        <w:topLinePunct w:val="0"/>
        <w:autoSpaceDE w:val="0"/>
        <w:autoSpaceDN w:val="0"/>
        <w:bidi w:val="0"/>
        <w:adjustRightInd w:val="0"/>
        <w:snapToGrid w:val="0"/>
        <w:spacing w:before="0" w:beforeAutospacing="0" w:after="0" w:afterAutospacing="0" w:line="360" w:lineRule="auto"/>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(3)经检查证明承包人已采取了有效措施纠正违约行为，具备复工条件的，可由监理人签发复工通知复工。</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(4)承包人发生第 22.1.1 项约定的违约情形时，无论发包人是否解除合同，发包人均有权向承包人课以违约金，并由发包人将其违约行为上报省级交通主管部门，作为不良记录纳入浙江省交通运输信用综合管理服务系统。当承包人发生第 22.1.1 项约定的违约情形时，发包人有权向承包人课以违约金，具体约定如下：</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a.承包人发生第 22.1.1 项(1)目中违反第 1.8 款约定的情形，除责令立即纠正外，并课以不超过 1％ 签约合同价的违约金；发生第 22.1.1 项(1)目中违反第 4.3 款约定的情形，在发包人向承包人发出书面通知的 14 天内未见纠正后，发包人将酌情向承包人课以不超过1％签约合同价的违约金。即使缴纳了违约金，承包人仍应按合同规定继续实施和完成本合同工程及其缺陷修复；</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b.承包人发生第 22.1.1 项(2)目中违反第 5.3 款约定的情形，在发包人向承包人发出书面通知的 14天内未见纠正后，发包人将向承包人课以不超过材料和工程设备价值两倍的违约金；发生第 22.1.1 项（2）目中违反第 6.4 款约定的情形，在发包人向承包人发出书面通知的 14 天内未见纠正后，发包人将向承包人课以不超过其台班费两倍的违约金；</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c.承包人发生第 22.1.1 项(3)目情形，在发包人向承包人发出书面通知的 14 天内未见纠正后，发包人将按每一情形酌情向承包人课以不超过 0.5％签约合同价的违约金。即使缴纳了违约金，承包人仍应按合同规定继续实施和完成本合同工程及其缺陷修复；</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d.承包人发生第 22.1.1 项(4)目情形，则按第 11.5 款规定处理；</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e.承包人发生第 22.1.1 项(5)目情形，则按第 19.2.4 项规定处理；</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f.承包人发生第 22.1.1 项(7)目情形，发包人有权按第 11.5 款规定的逾期交工违约金金额的二分之一乘以未按期开工天数处以违约金；</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g.承包人发生第 22.1.1 项(8)目情形，在发包人向承包人发出书面通知的 14 天内未见纠正后，发包人将向承包人课以不超过0.5%签约合同价的违约金；</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h.承包人发生第 22.1.1 项(9)目情形，发包人将责令整改；情节严重的，将停工整顿，并酌情扣除安全生产费；</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i.承包人发生第 22.1.1 项(10)目情形，则课以不超过1%签约合同价的违约金；</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j.承包人发生第 22.1.1 项(11)目情形，则课以与转移（挪用）资金等额的违约金；</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k.承包人发生第 22.1.1 项(12)目情形，项目经理或项目技术负责人</w:t>
      </w:r>
      <w:r>
        <w:rPr>
          <w:rFonts w:hint="eastAsia" w:eastAsia="宋体" w:cs="宋体"/>
          <w:snapToGrid w:val="0"/>
          <w:color w:val="auto"/>
          <w:kern w:val="0"/>
          <w:sz w:val="21"/>
          <w:szCs w:val="21"/>
          <w:highlight w:val="none"/>
          <w:lang w:val="en-US" w:eastAsia="zh-CN" w:bidi="ar"/>
        </w:rPr>
        <w:t>或主要管理人员</w:t>
      </w:r>
      <w:r>
        <w:rPr>
          <w:rFonts w:hint="eastAsia" w:ascii="宋体" w:hAnsi="宋体" w:eastAsia="宋体" w:cs="宋体"/>
          <w:snapToGrid w:val="0"/>
          <w:color w:val="auto"/>
          <w:kern w:val="0"/>
          <w:sz w:val="21"/>
          <w:szCs w:val="21"/>
          <w:highlight w:val="none"/>
          <w:lang w:val="en-US" w:eastAsia="zh-CN" w:bidi="ar"/>
        </w:rPr>
        <w:t xml:space="preserve">未经发包人同意擅自离开工地，每天课以违约金2000元/人；若每月在工地天数不足 </w:t>
      </w:r>
      <w:r>
        <w:rPr>
          <w:rFonts w:hint="eastAsia" w:eastAsia="宋体" w:cs="宋体"/>
          <w:snapToGrid w:val="0"/>
          <w:color w:val="auto"/>
          <w:kern w:val="0"/>
          <w:sz w:val="21"/>
          <w:szCs w:val="21"/>
          <w:highlight w:val="none"/>
          <w:lang w:val="en-US" w:eastAsia="zh-CN" w:bidi="ar"/>
        </w:rPr>
        <w:t>22</w:t>
      </w:r>
      <w:r>
        <w:rPr>
          <w:rFonts w:hint="eastAsia" w:ascii="宋体" w:hAnsi="宋体" w:eastAsia="宋体" w:cs="宋体"/>
          <w:snapToGrid w:val="0"/>
          <w:color w:val="auto"/>
          <w:kern w:val="0"/>
          <w:sz w:val="21"/>
          <w:szCs w:val="21"/>
          <w:highlight w:val="none"/>
          <w:lang w:val="en-US" w:eastAsia="zh-CN" w:bidi="ar"/>
        </w:rPr>
        <w:t xml:space="preserve"> 天（特殊情形经监理人批准报发包人同意例外）者，每不足一天额外课以违约金2000元/人；当承包人因工作安排或其它原因确需调换主要人员时，须事先得到发包人的书面批准，更换的人员资质不得低于原被替换人员的资格，经发包人批准同意更换的，按下述规定课以违约金：项目经理20万元/次，技术负责人10万元/次，其他主要人员5万元/次，若未经批准擅自更换的，按下述规定课以违约金：项目经理30万元/次，技术负责人20万元/次，其他主要人员10万元/次；</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l.承包人发生第 22.1.1 项(13)目情形，在合同实施期间发现承包人在投标时提供了虚假材料的，课以不超过5%签约合同价的违约金；</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 xml:space="preserve">m.承包人发生第 22.1.1 项(14)目情形，则课以不超过1%签约合同价的违约金。 </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default" w:ascii="宋体" w:hAnsi="宋体" w:eastAsia="宋体" w:cs="宋体"/>
          <w:snapToGrid w:val="0"/>
          <w:color w:val="auto"/>
          <w:kern w:val="0"/>
          <w:sz w:val="21"/>
          <w:szCs w:val="21"/>
          <w:highlight w:val="none"/>
          <w:lang w:val="en-US" w:eastAsia="zh-CN" w:bidi="ar"/>
        </w:rPr>
      </w:pPr>
      <w:r>
        <w:rPr>
          <w:rFonts w:hint="eastAsia" w:eastAsia="宋体" w:cs="宋体"/>
          <w:snapToGrid w:val="0"/>
          <w:color w:val="auto"/>
          <w:kern w:val="0"/>
          <w:sz w:val="21"/>
          <w:szCs w:val="21"/>
          <w:highlight w:val="none"/>
          <w:lang w:val="en-US" w:eastAsia="zh-CN" w:bidi="ar"/>
        </w:rPr>
        <w:t>n.</w:t>
      </w:r>
      <w:r>
        <w:rPr>
          <w:rFonts w:hint="eastAsia" w:ascii="宋体" w:hAnsi="宋体" w:eastAsia="宋体" w:cs="宋体"/>
          <w:snapToGrid w:val="0"/>
          <w:color w:val="auto"/>
          <w:kern w:val="0"/>
          <w:sz w:val="21"/>
          <w:szCs w:val="21"/>
          <w:highlight w:val="none"/>
          <w:lang w:val="en-US" w:eastAsia="zh-CN" w:bidi="ar"/>
        </w:rPr>
        <w:t>承包人发生第 2</w:t>
      </w:r>
      <w:r>
        <w:rPr>
          <w:rFonts w:hint="eastAsia" w:eastAsia="宋体" w:cs="宋体"/>
          <w:snapToGrid w:val="0"/>
          <w:color w:val="auto"/>
          <w:kern w:val="0"/>
          <w:sz w:val="21"/>
          <w:szCs w:val="21"/>
          <w:highlight w:val="none"/>
          <w:lang w:val="en-US" w:eastAsia="zh-CN" w:bidi="ar"/>
        </w:rPr>
        <w:t>3.7项</w:t>
      </w:r>
      <w:r>
        <w:rPr>
          <w:rFonts w:hint="eastAsia" w:ascii="宋体" w:hAnsi="宋体" w:eastAsia="宋体" w:cs="宋体"/>
          <w:snapToGrid w:val="0"/>
          <w:color w:val="auto"/>
          <w:kern w:val="0"/>
          <w:sz w:val="21"/>
          <w:szCs w:val="21"/>
          <w:highlight w:val="none"/>
          <w:lang w:val="en-US" w:eastAsia="zh-CN" w:bidi="ar"/>
        </w:rPr>
        <w:t>目情形，则课以不超过</w:t>
      </w:r>
      <w:r>
        <w:rPr>
          <w:rFonts w:hint="eastAsia" w:eastAsia="宋体" w:cs="宋体"/>
          <w:snapToGrid w:val="0"/>
          <w:color w:val="auto"/>
          <w:kern w:val="0"/>
          <w:sz w:val="21"/>
          <w:szCs w:val="21"/>
          <w:highlight w:val="none"/>
          <w:lang w:val="en-US" w:eastAsia="zh-CN" w:bidi="ar"/>
        </w:rPr>
        <w:t>0.5</w:t>
      </w:r>
      <w:r>
        <w:rPr>
          <w:rFonts w:hint="eastAsia" w:ascii="宋体" w:hAnsi="宋体" w:eastAsia="宋体" w:cs="宋体"/>
          <w:snapToGrid w:val="0"/>
          <w:color w:val="auto"/>
          <w:kern w:val="0"/>
          <w:sz w:val="21"/>
          <w:szCs w:val="21"/>
          <w:highlight w:val="none"/>
          <w:lang w:val="en-US" w:eastAsia="zh-CN" w:bidi="ar"/>
        </w:rPr>
        <w:t>%签约合同价的违约金。</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22.2  发包人违约</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 xml:space="preserve">22.2.1  发包人违约的情形 </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本项细化为：</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在履行合同过程中发生的下列情形，属发包人违约：</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(1)发包人未能按合同约定支付预付款或合同价款，或拖延、拒绝批准付款申请和支付凭证，导致付款延误的(包括未按照第17.4.2项规定及时退还质量保证金的)；</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(2) 由于发包人征地拆迁不到位、开工的正常条件不具备，导致承包人无法按合同约定如期开工的；</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(3) 由于发包人下列原因造成停工的：</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a.合同约定应由发包人提供的材料、设备未能按时交货或质量不符合要求或变更交货地点导致承包人停工的；</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b.发包人提供的施工图纸延误或施工图存在差错影响施工，工程变更通知未及时下达导致承包人停工的；</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c.非承包人原因发生第三方阻工，而发包人未及时协调处理导致承包人停工的；</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d.监理人无正当理由没有在约定期限内发出复工指示，导致承包人无法复工的；</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(4)发包人无法继续履行或明确表示不履行或实质上已停止履行合同的；</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(5)发包人不履行合同约定其他义务的。</w:t>
      </w:r>
    </w:p>
    <w:p>
      <w:pPr>
        <w:pStyle w:val="17"/>
        <w:pageBreakBefore w:val="0"/>
        <w:widowControl/>
        <w:kinsoku w:val="0"/>
        <w:wordWrap/>
        <w:overflowPunct/>
        <w:topLinePunct w:val="0"/>
        <w:autoSpaceDE w:val="0"/>
        <w:autoSpaceDN w:val="0"/>
        <w:bidi w:val="0"/>
        <w:adjustRightInd w:val="0"/>
        <w:snapToGrid w:val="0"/>
        <w:spacing w:beforeAutospacing="0" w:afterAutospacing="0" w:line="360" w:lineRule="exact"/>
        <w:ind w:left="0" w:right="0" w:firstLine="420"/>
        <w:jc w:val="both"/>
        <w:textAlignment w:val="baseline"/>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22.2.2 发包人无正当理由不按时返还履约保证金、质量保证金或农民工工资保证金的，发包人应向承包人支付的违约金如下：采用保函形式缴纳的，不予支付；采用现金缴纳的，按逾期支付约定执行。</w:t>
      </w:r>
    </w:p>
    <w:p>
      <w:pPr>
        <w:keepNext w:val="0"/>
        <w:keepLines w:val="0"/>
        <w:pageBreakBefore w:val="0"/>
        <w:widowControl/>
        <w:kinsoku w:val="0"/>
        <w:wordWrap/>
        <w:overflowPunct/>
        <w:topLinePunct w:val="0"/>
        <w:autoSpaceDE w:val="0"/>
        <w:autoSpaceDN w:val="0"/>
        <w:bidi w:val="0"/>
        <w:adjustRightInd w:val="0"/>
        <w:snapToGrid w:val="0"/>
        <w:spacing w:before="92" w:line="340" w:lineRule="exact"/>
        <w:ind w:left="3"/>
        <w:textAlignment w:val="baseline"/>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23.补充条款</w:t>
      </w:r>
    </w:p>
    <w:p>
      <w:pPr>
        <w:keepNext w:val="0"/>
        <w:keepLines w:val="0"/>
        <w:pageBreakBefore w:val="0"/>
        <w:widowControl/>
        <w:kinsoku w:val="0"/>
        <w:wordWrap/>
        <w:overflowPunct/>
        <w:topLinePunct w:val="0"/>
        <w:autoSpaceDE w:val="0"/>
        <w:autoSpaceDN w:val="0"/>
        <w:bidi w:val="0"/>
        <w:adjustRightInd w:val="0"/>
        <w:snapToGrid w:val="0"/>
        <w:spacing w:line="340" w:lineRule="exact"/>
        <w:ind w:firstLine="422" w:firstLineChars="200"/>
        <w:textAlignment w:val="baseline"/>
        <w:rPr>
          <w:rFonts w:hint="eastAsia" w:ascii="宋体" w:hAnsi="宋体" w:eastAsia="宋体" w:cs="宋体"/>
          <w:b/>
          <w:color w:val="auto"/>
          <w:kern w:val="0"/>
          <w:szCs w:val="21"/>
          <w:highlight w:val="none"/>
          <w:u w:val="none"/>
        </w:rPr>
      </w:pPr>
      <w:r>
        <w:rPr>
          <w:rFonts w:hint="eastAsia" w:ascii="宋体" w:hAnsi="宋体" w:eastAsia="宋体" w:cs="宋体"/>
          <w:b/>
          <w:color w:val="auto"/>
          <w:kern w:val="0"/>
          <w:szCs w:val="21"/>
          <w:highlight w:val="none"/>
          <w:u w:val="none"/>
        </w:rPr>
        <w:t>23.1招标人发布的工程量清单和计价表视同为投标人已标价的工程量清单，并作为合同文件的组成部分。</w:t>
      </w:r>
    </w:p>
    <w:p>
      <w:pPr>
        <w:pStyle w:val="31"/>
        <w:keepNext w:val="0"/>
        <w:keepLines w:val="0"/>
        <w:pageBreakBefore w:val="0"/>
        <w:widowControl/>
        <w:kinsoku w:val="0"/>
        <w:wordWrap/>
        <w:overflowPunct/>
        <w:topLinePunct w:val="0"/>
        <w:autoSpaceDE w:val="0"/>
        <w:autoSpaceDN w:val="0"/>
        <w:bidi w:val="0"/>
        <w:adjustRightInd w:val="0"/>
        <w:snapToGrid w:val="0"/>
        <w:spacing w:line="340" w:lineRule="exact"/>
        <w:ind w:firstLine="420"/>
        <w:textAlignment w:val="baseline"/>
        <w:rPr>
          <w:rFonts w:hint="eastAsia" w:ascii="宋体" w:hAnsi="宋体" w:eastAsia="宋体" w:cs="宋体"/>
          <w:b/>
          <w:color w:val="auto"/>
          <w:szCs w:val="21"/>
          <w:highlight w:val="none"/>
          <w:u w:val="none"/>
        </w:rPr>
      </w:pPr>
      <w:r>
        <w:rPr>
          <w:rFonts w:hint="eastAsia" w:ascii="宋体" w:hAnsi="宋体" w:eastAsia="宋体" w:cs="宋体"/>
          <w:b/>
          <w:color w:val="auto"/>
          <w:szCs w:val="21"/>
          <w:highlight w:val="none"/>
          <w:u w:val="none"/>
        </w:rPr>
        <w:t>23.2承包人凡出现下列情形之一的，建设单位可根据实际，要求承包人无条件退场并承担违约责任：</w:t>
      </w:r>
    </w:p>
    <w:p>
      <w:pPr>
        <w:keepNext w:val="0"/>
        <w:keepLines w:val="0"/>
        <w:pageBreakBefore w:val="0"/>
        <w:widowControl/>
        <w:kinsoku w:val="0"/>
        <w:wordWrap/>
        <w:overflowPunct/>
        <w:topLinePunct w:val="0"/>
        <w:autoSpaceDE w:val="0"/>
        <w:autoSpaceDN w:val="0"/>
        <w:bidi w:val="0"/>
        <w:adjustRightInd w:val="0"/>
        <w:snapToGrid w:val="0"/>
        <w:spacing w:line="340" w:lineRule="exact"/>
        <w:ind w:firstLine="422" w:firstLineChars="200"/>
        <w:textAlignment w:val="baseline"/>
        <w:rPr>
          <w:rFonts w:hint="eastAsia" w:ascii="宋体" w:hAnsi="宋体" w:eastAsia="宋体" w:cs="宋体"/>
          <w:b/>
          <w:color w:val="auto"/>
          <w:kern w:val="0"/>
          <w:szCs w:val="21"/>
          <w:highlight w:val="none"/>
          <w:u w:val="none"/>
        </w:rPr>
      </w:pPr>
      <w:r>
        <w:rPr>
          <w:rFonts w:hint="eastAsia" w:ascii="宋体" w:hAnsi="宋体" w:eastAsia="宋体" w:cs="宋体"/>
          <w:b/>
          <w:color w:val="auto"/>
          <w:kern w:val="0"/>
          <w:szCs w:val="21"/>
          <w:highlight w:val="none"/>
          <w:u w:val="none"/>
        </w:rPr>
        <w:t>（一）发生违法行为的；</w:t>
      </w:r>
    </w:p>
    <w:p>
      <w:pPr>
        <w:keepNext w:val="0"/>
        <w:keepLines w:val="0"/>
        <w:pageBreakBefore w:val="0"/>
        <w:widowControl/>
        <w:kinsoku w:val="0"/>
        <w:wordWrap/>
        <w:overflowPunct/>
        <w:topLinePunct w:val="0"/>
        <w:autoSpaceDE w:val="0"/>
        <w:autoSpaceDN w:val="0"/>
        <w:bidi w:val="0"/>
        <w:adjustRightInd w:val="0"/>
        <w:snapToGrid w:val="0"/>
        <w:spacing w:line="340" w:lineRule="exact"/>
        <w:ind w:firstLine="422" w:firstLineChars="200"/>
        <w:textAlignment w:val="baseline"/>
        <w:rPr>
          <w:rFonts w:hint="eastAsia" w:ascii="宋体" w:hAnsi="宋体" w:eastAsia="宋体" w:cs="宋体"/>
          <w:b/>
          <w:color w:val="auto"/>
          <w:kern w:val="0"/>
          <w:szCs w:val="21"/>
          <w:highlight w:val="none"/>
          <w:u w:val="none"/>
        </w:rPr>
      </w:pPr>
      <w:r>
        <w:rPr>
          <w:rFonts w:hint="eastAsia" w:ascii="宋体" w:hAnsi="宋体" w:eastAsia="宋体" w:cs="宋体"/>
          <w:b/>
          <w:color w:val="auto"/>
          <w:kern w:val="0"/>
          <w:szCs w:val="21"/>
          <w:highlight w:val="none"/>
          <w:u w:val="none"/>
        </w:rPr>
        <w:t>（二）无正当理由拖延计划工期进度的；</w:t>
      </w:r>
    </w:p>
    <w:p>
      <w:pPr>
        <w:keepNext w:val="0"/>
        <w:keepLines w:val="0"/>
        <w:pageBreakBefore w:val="0"/>
        <w:widowControl/>
        <w:kinsoku w:val="0"/>
        <w:wordWrap/>
        <w:overflowPunct/>
        <w:topLinePunct w:val="0"/>
        <w:autoSpaceDE w:val="0"/>
        <w:autoSpaceDN w:val="0"/>
        <w:bidi w:val="0"/>
        <w:adjustRightInd w:val="0"/>
        <w:snapToGrid w:val="0"/>
        <w:spacing w:line="340" w:lineRule="exact"/>
        <w:ind w:firstLine="422" w:firstLineChars="200"/>
        <w:textAlignment w:val="baseline"/>
        <w:rPr>
          <w:rFonts w:hint="eastAsia" w:ascii="宋体" w:hAnsi="宋体" w:eastAsia="宋体" w:cs="宋体"/>
          <w:b/>
          <w:color w:val="auto"/>
          <w:kern w:val="0"/>
          <w:szCs w:val="21"/>
          <w:highlight w:val="none"/>
          <w:u w:val="none"/>
        </w:rPr>
      </w:pPr>
      <w:r>
        <w:rPr>
          <w:rFonts w:hint="eastAsia" w:ascii="宋体" w:hAnsi="宋体" w:eastAsia="宋体" w:cs="宋体"/>
          <w:b/>
          <w:color w:val="auto"/>
          <w:kern w:val="0"/>
          <w:szCs w:val="21"/>
          <w:highlight w:val="none"/>
          <w:u w:val="none"/>
        </w:rPr>
        <w:t>（三）发生</w:t>
      </w:r>
      <w:r>
        <w:rPr>
          <w:rFonts w:hint="eastAsia" w:ascii="宋体" w:hAnsi="宋体" w:eastAsia="宋体" w:cs="宋体"/>
          <w:b/>
          <w:color w:val="auto"/>
          <w:kern w:val="0"/>
          <w:szCs w:val="21"/>
          <w:highlight w:val="none"/>
          <w:u w:val="none"/>
          <w:lang w:val="en-US" w:eastAsia="zh-CN"/>
        </w:rPr>
        <w:t>重大</w:t>
      </w:r>
      <w:r>
        <w:rPr>
          <w:rFonts w:hint="eastAsia" w:ascii="宋体" w:hAnsi="宋体" w:eastAsia="宋体" w:cs="宋体"/>
          <w:b/>
          <w:color w:val="auto"/>
          <w:kern w:val="0"/>
          <w:szCs w:val="21"/>
          <w:highlight w:val="none"/>
          <w:u w:val="none"/>
        </w:rPr>
        <w:t>质量、安全事故的；</w:t>
      </w:r>
    </w:p>
    <w:p>
      <w:pPr>
        <w:keepNext w:val="0"/>
        <w:keepLines w:val="0"/>
        <w:pageBreakBefore w:val="0"/>
        <w:widowControl/>
        <w:kinsoku w:val="0"/>
        <w:wordWrap/>
        <w:overflowPunct/>
        <w:topLinePunct w:val="0"/>
        <w:autoSpaceDE w:val="0"/>
        <w:autoSpaceDN w:val="0"/>
        <w:bidi w:val="0"/>
        <w:adjustRightInd w:val="0"/>
        <w:snapToGrid w:val="0"/>
        <w:spacing w:line="340" w:lineRule="exact"/>
        <w:ind w:firstLine="422" w:firstLineChars="200"/>
        <w:textAlignment w:val="baseline"/>
        <w:rPr>
          <w:rFonts w:hint="eastAsia" w:ascii="宋体" w:hAnsi="宋体" w:eastAsia="宋体" w:cs="宋体"/>
          <w:b/>
          <w:color w:val="auto"/>
          <w:kern w:val="0"/>
          <w:szCs w:val="21"/>
          <w:highlight w:val="none"/>
          <w:u w:val="none"/>
        </w:rPr>
      </w:pPr>
      <w:r>
        <w:rPr>
          <w:rFonts w:hint="eastAsia" w:ascii="宋体" w:hAnsi="宋体" w:eastAsia="宋体" w:cs="宋体"/>
          <w:b/>
          <w:color w:val="auto"/>
          <w:kern w:val="0"/>
          <w:szCs w:val="21"/>
          <w:highlight w:val="none"/>
          <w:u w:val="none"/>
        </w:rPr>
        <w:t>（四）承包人拒不履行合同义务的；</w:t>
      </w:r>
    </w:p>
    <w:p>
      <w:pPr>
        <w:keepNext w:val="0"/>
        <w:keepLines w:val="0"/>
        <w:pageBreakBefore w:val="0"/>
        <w:widowControl/>
        <w:kinsoku w:val="0"/>
        <w:wordWrap/>
        <w:overflowPunct/>
        <w:topLinePunct w:val="0"/>
        <w:autoSpaceDE w:val="0"/>
        <w:autoSpaceDN w:val="0"/>
        <w:bidi w:val="0"/>
        <w:adjustRightInd w:val="0"/>
        <w:snapToGrid w:val="0"/>
        <w:spacing w:line="340" w:lineRule="exact"/>
        <w:ind w:firstLine="422" w:firstLineChars="200"/>
        <w:textAlignment w:val="baseline"/>
        <w:rPr>
          <w:rFonts w:hint="eastAsia" w:ascii="宋体" w:hAnsi="宋体" w:eastAsia="宋体" w:cs="宋体"/>
          <w:b/>
          <w:color w:val="auto"/>
          <w:kern w:val="0"/>
          <w:szCs w:val="21"/>
          <w:highlight w:val="none"/>
          <w:u w:val="none"/>
        </w:rPr>
      </w:pPr>
      <w:r>
        <w:rPr>
          <w:rFonts w:hint="eastAsia" w:ascii="宋体" w:hAnsi="宋体" w:eastAsia="宋体" w:cs="宋体"/>
          <w:b/>
          <w:color w:val="auto"/>
          <w:kern w:val="0"/>
          <w:szCs w:val="21"/>
          <w:highlight w:val="none"/>
          <w:u w:val="none"/>
        </w:rPr>
        <w:t>（五）施工单位连续两个月以上不按法律、法规规定要求发放工人工资或因其造成工地工人群体上访恶性事件的（因被拖欠工程款引发的除外）。</w:t>
      </w:r>
    </w:p>
    <w:p>
      <w:pPr>
        <w:keepNext w:val="0"/>
        <w:keepLines w:val="0"/>
        <w:pageBreakBefore w:val="0"/>
        <w:widowControl/>
        <w:kinsoku w:val="0"/>
        <w:wordWrap/>
        <w:overflowPunct/>
        <w:topLinePunct w:val="0"/>
        <w:autoSpaceDE w:val="0"/>
        <w:autoSpaceDN w:val="0"/>
        <w:bidi w:val="0"/>
        <w:adjustRightInd w:val="0"/>
        <w:snapToGrid w:val="0"/>
        <w:spacing w:line="340" w:lineRule="exact"/>
        <w:ind w:firstLine="422" w:firstLineChars="200"/>
        <w:textAlignment w:val="baseline"/>
        <w:rPr>
          <w:rFonts w:hint="eastAsia" w:ascii="宋体" w:hAnsi="宋体" w:eastAsia="宋体" w:cs="宋体"/>
          <w:b/>
          <w:color w:val="auto"/>
          <w:kern w:val="0"/>
          <w:szCs w:val="21"/>
          <w:highlight w:val="none"/>
          <w:u w:val="none"/>
        </w:rPr>
      </w:pPr>
      <w:r>
        <w:rPr>
          <w:rFonts w:hint="eastAsia" w:ascii="宋体" w:hAnsi="宋体" w:eastAsia="宋体" w:cs="宋体"/>
          <w:b/>
          <w:color w:val="auto"/>
          <w:kern w:val="0"/>
          <w:szCs w:val="21"/>
          <w:highlight w:val="none"/>
          <w:u w:val="none"/>
        </w:rPr>
        <w:t>（六）发生其它严重违规行为的。</w:t>
      </w:r>
    </w:p>
    <w:p>
      <w:pPr>
        <w:keepNext w:val="0"/>
        <w:keepLines w:val="0"/>
        <w:pageBreakBefore w:val="0"/>
        <w:widowControl/>
        <w:kinsoku w:val="0"/>
        <w:wordWrap/>
        <w:overflowPunct/>
        <w:topLinePunct w:val="0"/>
        <w:autoSpaceDE w:val="0"/>
        <w:autoSpaceDN w:val="0"/>
        <w:bidi w:val="0"/>
        <w:adjustRightInd w:val="0"/>
        <w:snapToGrid w:val="0"/>
        <w:spacing w:line="340" w:lineRule="exact"/>
        <w:ind w:firstLine="420" w:firstLineChars="200"/>
        <w:jc w:val="left"/>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23.3</w:t>
      </w:r>
      <w:r>
        <w:rPr>
          <w:rFonts w:hint="eastAsia" w:ascii="宋体" w:hAnsi="宋体" w:eastAsia="宋体" w:cs="宋体"/>
          <w:color w:val="auto"/>
          <w:szCs w:val="21"/>
          <w:highlight w:val="none"/>
          <w:lang w:val="en-US" w:eastAsia="zh-CN"/>
        </w:rPr>
        <w:t>要求中标单位严格执行嵊市委办发(2020)19 号文件《中共嵊州市委办公室嵊州市人民政府办公室关于印发《嵊州市2020年打赢蓝天保卫战攻坚行动实施方案》《2020年嵊州市大气污染防治考核办法》 《嵊州市大气污染防治工作责任追究办法》的通知》、嵊交发〔2020〕17号《嵊州市交通运输局2020年打赢蓝天保卫战攻坚行动治气工作实施方案》《嵊州市交通运输局 2020年施工扬尘治理行业管理方案》、嵊蓝天办〔2022〕1号文件《关于贯彻落实《绍兴市柴油动力移动源排气污染防治办法》的通知》精神，做好扬尘污染防治工作，做到7个100%和一个100%达标要求，并在中标后签订扬尘污染防治承诺书。</w:t>
      </w:r>
    </w:p>
    <w:p>
      <w:pPr>
        <w:keepNext w:val="0"/>
        <w:keepLines w:val="0"/>
        <w:pageBreakBefore w:val="0"/>
        <w:widowControl/>
        <w:kinsoku w:val="0"/>
        <w:wordWrap/>
        <w:overflowPunct/>
        <w:topLinePunct w:val="0"/>
        <w:autoSpaceDE w:val="0"/>
        <w:autoSpaceDN w:val="0"/>
        <w:bidi w:val="0"/>
        <w:adjustRightInd w:val="0"/>
        <w:snapToGrid w:val="0"/>
        <w:spacing w:line="340" w:lineRule="exact"/>
        <w:ind w:firstLine="420" w:firstLineChars="200"/>
        <w:jc w:val="left"/>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23.4本工程红线外的砂石资源不得以任何形式进行开采，本工程范围内的土石方余方根据嵊州市人民政府办公室印发《嵊州市关于进一步加强普通建筑用砂石土类矿产资源管理的工作意见》的通知（嵊政办【2020】83号）执行，涉及土石方余方方案运输、处置相关费用已包含在投标报价中，发包人不另行支付。超出预算运距的费用，由承包人与属地乡镇自行协商解决。</w:t>
      </w:r>
    </w:p>
    <w:p>
      <w:pPr>
        <w:keepNext w:val="0"/>
        <w:keepLines w:val="0"/>
        <w:pageBreakBefore w:val="0"/>
        <w:widowControl/>
        <w:kinsoku w:val="0"/>
        <w:wordWrap/>
        <w:overflowPunct/>
        <w:topLinePunct w:val="0"/>
        <w:autoSpaceDE w:val="0"/>
        <w:autoSpaceDN w:val="0"/>
        <w:bidi w:val="0"/>
        <w:adjustRightInd w:val="0"/>
        <w:snapToGrid w:val="0"/>
        <w:spacing w:line="340" w:lineRule="exact"/>
        <w:ind w:firstLine="420" w:firstLineChars="200"/>
        <w:jc w:val="left"/>
        <w:textAlignment w:val="baseline"/>
        <w:rPr>
          <w:rFonts w:hint="default"/>
          <w:color w:val="auto"/>
          <w:highlight w:val="none"/>
          <w:lang w:val="en-US" w:eastAsia="zh-CN"/>
        </w:rPr>
      </w:pPr>
      <w:r>
        <w:rPr>
          <w:rFonts w:hint="eastAsia" w:ascii="宋体" w:hAnsi="宋体" w:eastAsia="宋体" w:cs="宋体"/>
          <w:color w:val="auto"/>
          <w:szCs w:val="21"/>
          <w:highlight w:val="none"/>
          <w:lang w:val="en-US" w:eastAsia="zh-CN"/>
        </w:rPr>
        <w:t xml:space="preserve">23.5本项目要求承包人投保安全生产责任险，并按照相关行政部门要求投保农民工工伤保险，由此增加的费用视作已包含在投标报价中，承包人应综合考虑报价，发包人不再另行支付。 </w:t>
      </w:r>
    </w:p>
    <w:p>
      <w:pPr>
        <w:keepNext w:val="0"/>
        <w:keepLines w:val="0"/>
        <w:pageBreakBefore w:val="0"/>
        <w:widowControl/>
        <w:kinsoku w:val="0"/>
        <w:wordWrap/>
        <w:overflowPunct/>
        <w:topLinePunct w:val="0"/>
        <w:autoSpaceDE w:val="0"/>
        <w:autoSpaceDN w:val="0"/>
        <w:bidi w:val="0"/>
        <w:adjustRightInd w:val="0"/>
        <w:snapToGrid w:val="0"/>
        <w:spacing w:line="340" w:lineRule="exact"/>
        <w:ind w:firstLine="420" w:firstLineChars="200"/>
        <w:jc w:val="left"/>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23.6如因政策原因发包人未能办理用地手续而导致该部分不能实施所带来的相关完工、交竣工、验收、结算等延期风险或不予支付风险的，承包人承诺不要求发包人经济赔偿，但工期可相应顺延。</w:t>
      </w:r>
    </w:p>
    <w:p>
      <w:pPr>
        <w:keepNext w:val="0"/>
        <w:keepLines w:val="0"/>
        <w:pageBreakBefore w:val="0"/>
        <w:widowControl/>
        <w:kinsoku w:val="0"/>
        <w:wordWrap/>
        <w:overflowPunct/>
        <w:topLinePunct w:val="0"/>
        <w:autoSpaceDE w:val="0"/>
        <w:autoSpaceDN w:val="0"/>
        <w:bidi w:val="0"/>
        <w:adjustRightInd w:val="0"/>
        <w:snapToGrid w:val="0"/>
        <w:spacing w:line="340" w:lineRule="exact"/>
        <w:ind w:firstLine="420" w:firstLineChars="200"/>
        <w:jc w:val="left"/>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23.7根据《浙江省大气污染防治条例（修正文本）》、绍 兴 市 人 民 政 府 令 第 104 号《绍兴市柴油动力移动源排气污染防治办法》、嵊蓝天办〔2022〕1号 文件《关于贯彻落实《绍兴市柴油动力移动源排气污染防治办法》的通知》等文件要求，柴油动力移动源应当符合低排放要求。中标单位在项目建设过程中因使用不符合标准的柴油动力移动源而产生不利后果由中标单位自行承担。</w:t>
      </w:r>
    </w:p>
    <w:p>
      <w:pPr>
        <w:keepNext w:val="0"/>
        <w:keepLines w:val="0"/>
        <w:pageBreakBefore w:val="0"/>
        <w:widowControl/>
        <w:kinsoku w:val="0"/>
        <w:wordWrap/>
        <w:overflowPunct/>
        <w:topLinePunct w:val="0"/>
        <w:autoSpaceDE w:val="0"/>
        <w:autoSpaceDN w:val="0"/>
        <w:bidi w:val="0"/>
        <w:adjustRightInd w:val="0"/>
        <w:snapToGrid w:val="0"/>
        <w:spacing w:line="340" w:lineRule="exact"/>
        <w:ind w:firstLine="420" w:firstLineChars="200"/>
        <w:jc w:val="left"/>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23.8施工单位与建设单位签订源头治超管理合同。 </w:t>
      </w:r>
    </w:p>
    <w:p>
      <w:pPr>
        <w:keepNext w:val="0"/>
        <w:keepLines w:val="0"/>
        <w:pageBreakBefore w:val="0"/>
        <w:widowControl/>
        <w:kinsoku w:val="0"/>
        <w:wordWrap/>
        <w:overflowPunct/>
        <w:topLinePunct w:val="0"/>
        <w:autoSpaceDE w:val="0"/>
        <w:autoSpaceDN w:val="0"/>
        <w:bidi w:val="0"/>
        <w:adjustRightInd w:val="0"/>
        <w:snapToGrid w:val="0"/>
        <w:spacing w:line="340" w:lineRule="exact"/>
        <w:ind w:firstLine="420" w:firstLineChars="200"/>
        <w:jc w:val="left"/>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23.9按照嵊州市人民政府办公室关于印发《嵊州市政府及国有企业工程建设项目后监督管理实施办法（试行）》的通知（嵊政办〔2022〕86号）文件要求，中标单位须接受标后监管。</w:t>
      </w:r>
    </w:p>
    <w:p>
      <w:pPr>
        <w:keepNext w:val="0"/>
        <w:keepLines w:val="0"/>
        <w:pageBreakBefore w:val="0"/>
        <w:widowControl/>
        <w:kinsoku w:val="0"/>
        <w:wordWrap/>
        <w:overflowPunct/>
        <w:topLinePunct w:val="0"/>
        <w:autoSpaceDE w:val="0"/>
        <w:autoSpaceDN w:val="0"/>
        <w:bidi w:val="0"/>
        <w:adjustRightInd w:val="0"/>
        <w:snapToGrid w:val="0"/>
        <w:spacing w:line="340" w:lineRule="exact"/>
        <w:ind w:firstLine="420" w:firstLineChars="200"/>
        <w:jc w:val="left"/>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23.10拆除未利用的护栏（包括护栏立柱），在工程计量中以固定单价方式予以扣回，允许投标单位有10%的损耗，数量按实确认，由承包人自行处置。扣回单价以招标人备案后的工程量清单预算计算。</w:t>
      </w:r>
    </w:p>
    <w:p>
      <w:pPr>
        <w:keepNext w:val="0"/>
        <w:keepLines w:val="0"/>
        <w:pageBreakBefore w:val="0"/>
        <w:widowControl/>
        <w:kinsoku w:val="0"/>
        <w:wordWrap/>
        <w:overflowPunct/>
        <w:topLinePunct w:val="0"/>
        <w:autoSpaceDE w:val="0"/>
        <w:autoSpaceDN w:val="0"/>
        <w:bidi w:val="0"/>
        <w:adjustRightInd w:val="0"/>
        <w:snapToGrid w:val="0"/>
        <w:spacing w:line="340" w:lineRule="exact"/>
        <w:ind w:firstLine="420" w:firstLineChars="200"/>
        <w:jc w:val="left"/>
        <w:textAlignment w:val="baseline"/>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23.11施工单位与建设单位签订渣土处置补充协议，本工程范围内未利用的渣土根据嵊州市人民政府办公室关于印发《嵊州市进一步规范工程渣土（泥浆）处置实施意见》的通知嵊政办〔2022〕119号执行，涉及渣土运输、处置相关费用已包含在投标报价中，发包人不另行支付。</w:t>
      </w:r>
    </w:p>
    <w:p>
      <w:pPr>
        <w:keepNext w:val="0"/>
        <w:keepLines w:val="0"/>
        <w:pageBreakBefore w:val="0"/>
        <w:widowControl/>
        <w:kinsoku w:val="0"/>
        <w:wordWrap/>
        <w:overflowPunct/>
        <w:topLinePunct w:val="0"/>
        <w:autoSpaceDE w:val="0"/>
        <w:autoSpaceDN w:val="0"/>
        <w:bidi w:val="0"/>
        <w:adjustRightInd w:val="0"/>
        <w:snapToGrid w:val="0"/>
        <w:spacing w:line="340" w:lineRule="exact"/>
        <w:ind w:firstLine="420" w:firstLineChars="200"/>
        <w:jc w:val="left"/>
        <w:textAlignment w:val="baseline"/>
        <w:rPr>
          <w:rFonts w:hint="default" w:ascii="宋体" w:hAnsi="宋体" w:eastAsia="宋体" w:cs="宋体"/>
          <w:color w:val="auto"/>
          <w:szCs w:val="21"/>
          <w:highlight w:val="none"/>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340" w:lineRule="exact"/>
        <w:ind w:firstLine="420" w:firstLineChars="200"/>
        <w:jc w:val="left"/>
        <w:textAlignment w:val="baseline"/>
        <w:rPr>
          <w:rFonts w:hint="eastAsia" w:ascii="宋体" w:hAnsi="宋体" w:eastAsia="宋体" w:cs="宋体"/>
          <w:color w:val="auto"/>
          <w:szCs w:val="21"/>
          <w:highlight w:val="none"/>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340" w:lineRule="exact"/>
        <w:ind w:firstLine="420" w:firstLineChars="200"/>
        <w:jc w:val="left"/>
        <w:textAlignment w:val="baseline"/>
        <w:rPr>
          <w:rFonts w:hint="eastAsia" w:ascii="宋体" w:hAnsi="宋体" w:eastAsia="宋体" w:cs="宋体"/>
          <w:color w:val="auto"/>
          <w:szCs w:val="21"/>
          <w:highlight w:val="none"/>
          <w:lang w:val="en-US" w:eastAsia="zh-CN"/>
        </w:rPr>
      </w:pPr>
    </w:p>
    <w:p>
      <w:pPr>
        <w:pStyle w:val="2"/>
        <w:rPr>
          <w:rFonts w:hint="default"/>
          <w:color w:val="auto"/>
          <w:highlight w:val="none"/>
          <w:lang w:val="en-US" w:eastAsia="zh-CN"/>
        </w:rPr>
      </w:pPr>
    </w:p>
    <w:p>
      <w:pPr>
        <w:pStyle w:val="2"/>
        <w:rPr>
          <w:rFonts w:hint="eastAsia"/>
          <w:color w:val="auto"/>
          <w:highlight w:val="none"/>
          <w:lang w:val="en-US" w:eastAsia="zh-CN"/>
        </w:rPr>
      </w:pPr>
    </w:p>
    <w:p>
      <w:pPr>
        <w:spacing w:line="400" w:lineRule="exact"/>
        <w:jc w:val="left"/>
        <w:rPr>
          <w:rFonts w:hint="eastAsia" w:ascii="宋体" w:hAnsi="宋体" w:eastAsia="宋体" w:cs="宋体"/>
          <w:color w:val="auto"/>
          <w:szCs w:val="21"/>
          <w:highlight w:val="none"/>
        </w:rPr>
      </w:pPr>
    </w:p>
    <w:p>
      <w:pPr>
        <w:spacing w:line="263" w:lineRule="auto"/>
        <w:rPr>
          <w:rFonts w:ascii="Arial"/>
          <w:color w:val="auto"/>
          <w:sz w:val="21"/>
          <w:highlight w:val="none"/>
        </w:rPr>
      </w:pPr>
    </w:p>
    <w:p>
      <w:pPr>
        <w:spacing w:before="91" w:line="222" w:lineRule="auto"/>
        <w:jc w:val="center"/>
        <w:outlineLvl w:val="1"/>
        <w:rPr>
          <w:rFonts w:hint="eastAsia" w:ascii="宋体" w:hAnsi="宋体" w:eastAsia="宋体" w:cs="宋体"/>
          <w:color w:val="auto"/>
          <w:spacing w:val="-1"/>
          <w:sz w:val="28"/>
          <w:szCs w:val="28"/>
          <w:highlight w:val="none"/>
          <w14:textOutline w14:w="5094" w14:cap="flat" w14:cmpd="sng">
            <w14:solidFill>
              <w14:srgbClr w14:val="000000"/>
            </w14:solidFill>
            <w14:prstDash w14:val="solid"/>
            <w14:miter w14:val="0"/>
          </w14:textOutline>
        </w:rPr>
      </w:pPr>
      <w:bookmarkStart w:id="586" w:name="_Toc31552"/>
    </w:p>
    <w:p>
      <w:pPr>
        <w:rPr>
          <w:rFonts w:hint="eastAsia" w:ascii="宋体" w:hAnsi="宋体" w:eastAsia="宋体" w:cs="宋体"/>
          <w:color w:val="auto"/>
          <w:spacing w:val="-1"/>
          <w:sz w:val="28"/>
          <w:szCs w:val="28"/>
          <w:highlight w:val="none"/>
          <w14:textOutline w14:w="5094" w14:cap="flat" w14:cmpd="sng">
            <w14:solidFill>
              <w14:srgbClr w14:val="000000"/>
            </w14:solidFill>
            <w14:prstDash w14:val="solid"/>
            <w14:miter w14:val="0"/>
          </w14:textOutline>
        </w:rPr>
      </w:pPr>
      <w:r>
        <w:rPr>
          <w:rFonts w:hint="eastAsia" w:ascii="宋体" w:hAnsi="宋体" w:eastAsia="宋体" w:cs="宋体"/>
          <w:color w:val="auto"/>
          <w:spacing w:val="-1"/>
          <w:sz w:val="28"/>
          <w:szCs w:val="28"/>
          <w:highlight w:val="none"/>
          <w14:textOutline w14:w="5094" w14:cap="flat" w14:cmpd="sng">
            <w14:solidFill>
              <w14:srgbClr w14:val="000000"/>
            </w14:solidFill>
            <w14:prstDash w14:val="solid"/>
            <w14:miter w14:val="0"/>
          </w14:textOutline>
        </w:rPr>
        <w:br w:type="page"/>
      </w:r>
    </w:p>
    <w:p>
      <w:pPr>
        <w:spacing w:before="91" w:line="222" w:lineRule="auto"/>
        <w:jc w:val="center"/>
        <w:outlineLvl w:val="1"/>
        <w:rPr>
          <w:color w:val="auto"/>
          <w:highlight w:val="none"/>
        </w:rPr>
        <w:sectPr>
          <w:pgSz w:w="11900" w:h="16840"/>
          <w:pgMar w:top="1160" w:right="1354" w:bottom="1448" w:left="1363" w:header="883" w:footer="1234" w:gutter="0"/>
          <w:pgNumType w:fmt="decimal"/>
          <w:cols w:space="720" w:num="1"/>
        </w:sectPr>
      </w:pPr>
      <w:r>
        <w:rPr>
          <w:rFonts w:hint="eastAsia" w:ascii="宋体" w:hAnsi="宋体" w:eastAsia="宋体" w:cs="宋体"/>
          <w:color w:val="auto"/>
          <w:spacing w:val="-1"/>
          <w:sz w:val="28"/>
          <w:szCs w:val="28"/>
          <w:highlight w:val="none"/>
          <w14:textOutline w14:w="5094" w14:cap="flat" w14:cmpd="sng">
            <w14:solidFill>
              <w14:srgbClr w14:val="000000"/>
            </w14:solidFill>
            <w14:prstDash w14:val="solid"/>
            <w14:miter w14:val="0"/>
          </w14:textOutline>
        </w:rPr>
        <w:t>第</w:t>
      </w:r>
      <w:r>
        <w:rPr>
          <w:rFonts w:hint="eastAsia" w:ascii="宋体" w:hAnsi="宋体" w:eastAsia="宋体" w:cs="宋体"/>
          <w:color w:val="auto"/>
          <w:sz w:val="28"/>
          <w:szCs w:val="28"/>
          <w:highlight w:val="none"/>
          <w14:textOutline w14:w="5094" w14:cap="flat" w14:cmpd="sng">
            <w14:solidFill>
              <w14:srgbClr w14:val="000000"/>
            </w14:solidFill>
            <w14:prstDash w14:val="solid"/>
            <w14:miter w14:val="0"/>
          </w14:textOutline>
        </w:rPr>
        <w:t>三节</w:t>
      </w: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14:textOutline w14:w="5094" w14:cap="flat" w14:cmpd="sng">
            <w14:solidFill>
              <w14:srgbClr w14:val="000000"/>
            </w14:solidFill>
            <w14:prstDash w14:val="solid"/>
            <w14:miter w14:val="0"/>
          </w14:textOutline>
        </w:rPr>
        <w:t>合同附件格式</w:t>
      </w:r>
      <w:bookmarkEnd w:id="586"/>
    </w:p>
    <w:p>
      <w:pPr>
        <w:pStyle w:val="2"/>
        <w:ind w:left="0" w:leftChars="0" w:firstLine="0" w:firstLineChars="0"/>
        <w:rPr>
          <w:rFonts w:ascii="宋体" w:hAnsi="宋体" w:eastAsia="宋体" w:cs="宋体"/>
          <w:color w:val="auto"/>
          <w:spacing w:val="-4"/>
          <w:sz w:val="28"/>
          <w:szCs w:val="28"/>
          <w:highlight w:val="none"/>
        </w:rPr>
      </w:pPr>
    </w:p>
    <w:p>
      <w:pPr>
        <w:keepNext w:val="0"/>
        <w:keepLines w:val="0"/>
        <w:pageBreakBefore w:val="0"/>
        <w:widowControl/>
        <w:kinsoku w:val="0"/>
        <w:wordWrap/>
        <w:overflowPunct/>
        <w:topLinePunct w:val="0"/>
        <w:autoSpaceDE w:val="0"/>
        <w:autoSpaceDN w:val="0"/>
        <w:bidi w:val="0"/>
        <w:adjustRightInd w:val="0"/>
        <w:snapToGrid w:val="0"/>
        <w:spacing w:before="313" w:line="380" w:lineRule="exact"/>
        <w:textAlignment w:val="baseline"/>
        <w:outlineLvl w:val="2"/>
        <w:rPr>
          <w:rFonts w:hint="eastAsia" w:ascii="宋体" w:hAnsi="宋体" w:eastAsia="宋体" w:cs="宋体"/>
          <w:color w:val="auto"/>
          <w:sz w:val="28"/>
          <w:szCs w:val="28"/>
          <w:highlight w:val="none"/>
        </w:rPr>
      </w:pPr>
      <w:bookmarkStart w:id="587" w:name="_Toc18703"/>
      <w:r>
        <w:rPr>
          <w:rFonts w:hint="eastAsia" w:ascii="宋体" w:hAnsi="宋体" w:eastAsia="宋体" w:cs="宋体"/>
          <w:color w:val="auto"/>
          <w:spacing w:val="-4"/>
          <w:sz w:val="28"/>
          <w:szCs w:val="28"/>
          <w:highlight w:val="none"/>
        </w:rPr>
        <w:t>附</w:t>
      </w:r>
      <w:r>
        <w:rPr>
          <w:rFonts w:hint="eastAsia" w:ascii="宋体" w:hAnsi="宋体" w:eastAsia="宋体" w:cs="宋体"/>
          <w:color w:val="auto"/>
          <w:spacing w:val="-3"/>
          <w:sz w:val="28"/>
          <w:szCs w:val="28"/>
          <w:highlight w:val="none"/>
        </w:rPr>
        <w:t>件一  合同协议书</w:t>
      </w:r>
      <w:bookmarkEnd w:id="587"/>
    </w:p>
    <w:p>
      <w:pPr>
        <w:keepNext w:val="0"/>
        <w:keepLines w:val="0"/>
        <w:pageBreakBefore w:val="0"/>
        <w:widowControl/>
        <w:kinsoku w:val="0"/>
        <w:wordWrap/>
        <w:overflowPunct/>
        <w:topLinePunct w:val="0"/>
        <w:autoSpaceDE w:val="0"/>
        <w:autoSpaceDN w:val="0"/>
        <w:bidi w:val="0"/>
        <w:adjustRightInd w:val="0"/>
        <w:snapToGrid w:val="0"/>
        <w:spacing w:before="208" w:line="380" w:lineRule="exact"/>
        <w:ind w:left="390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3"/>
          <w:sz w:val="28"/>
          <w:szCs w:val="28"/>
          <w:highlight w:val="none"/>
        </w:rPr>
        <w:t>合</w:t>
      </w:r>
      <w:r>
        <w:rPr>
          <w:rFonts w:hint="eastAsia" w:ascii="宋体" w:hAnsi="宋体" w:eastAsia="宋体" w:cs="宋体"/>
          <w:color w:val="auto"/>
          <w:spacing w:val="-2"/>
          <w:sz w:val="28"/>
          <w:szCs w:val="28"/>
          <w:highlight w:val="none"/>
        </w:rPr>
        <w:t>同协议书</w:t>
      </w:r>
    </w:p>
    <w:p>
      <w:pPr>
        <w:keepNext w:val="0"/>
        <w:keepLines w:val="0"/>
        <w:pageBreakBefore w:val="0"/>
        <w:widowControl/>
        <w:tabs>
          <w:tab w:val="left" w:pos="445"/>
          <w:tab w:val="left" w:pos="2215"/>
        </w:tabs>
        <w:kinsoku w:val="0"/>
        <w:wordWrap/>
        <w:overflowPunct/>
        <w:topLinePunct w:val="0"/>
        <w:autoSpaceDE w:val="0"/>
        <w:autoSpaceDN w:val="0"/>
        <w:bidi w:val="0"/>
        <w:adjustRightInd w:val="0"/>
        <w:snapToGrid w:val="0"/>
        <w:spacing w:before="65" w:line="380" w:lineRule="exact"/>
        <w:ind w:firstLine="420" w:firstLineChars="200"/>
        <w:jc w:val="left"/>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u w:val="single" w:color="auto"/>
        </w:rPr>
        <w:tab/>
      </w:r>
      <w:r>
        <w:rPr>
          <w:rFonts w:hint="eastAsia" w:ascii="宋体" w:hAnsi="宋体" w:eastAsia="宋体" w:cs="宋体"/>
          <w:color w:val="auto"/>
          <w:spacing w:val="0"/>
          <w:position w:val="0"/>
          <w:sz w:val="21"/>
          <w:szCs w:val="21"/>
          <w:highlight w:val="none"/>
          <w:u w:val="single" w:color="auto"/>
        </w:rPr>
        <w:tab/>
      </w:r>
      <w:r>
        <w:rPr>
          <w:rFonts w:hint="eastAsia" w:ascii="宋体" w:hAnsi="宋体" w:eastAsia="宋体" w:cs="宋体"/>
          <w:color w:val="auto"/>
          <w:spacing w:val="0"/>
          <w:position w:val="0"/>
          <w:sz w:val="21"/>
          <w:szCs w:val="21"/>
          <w:highlight w:val="none"/>
        </w:rPr>
        <w:t>(发包人名称，以下简称“发包人”)为实施</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(项目名称) ，已接受 (承包人名称，以下简称“承包人”)对该项目</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 xml:space="preserve">标段施工的投标。发包人和承包人共同达成如下协议。 </w:t>
      </w:r>
      <w:r>
        <w:rPr>
          <w:rFonts w:hint="eastAsia" w:ascii="宋体" w:hAnsi="宋体" w:eastAsia="宋体" w:cs="宋体"/>
          <w:color w:val="auto"/>
          <w:spacing w:val="0"/>
          <w:position w:val="0"/>
          <w:sz w:val="21"/>
          <w:szCs w:val="21"/>
          <w:highlight w:val="none"/>
        </w:rPr>
        <w:tab/>
      </w:r>
    </w:p>
    <w:p>
      <w:pPr>
        <w:keepNext w:val="0"/>
        <w:keepLines w:val="0"/>
        <w:pageBreakBefore w:val="0"/>
        <w:widowControl/>
        <w:tabs>
          <w:tab w:val="left" w:pos="445"/>
          <w:tab w:val="left" w:pos="2215"/>
        </w:tabs>
        <w:kinsoku w:val="0"/>
        <w:wordWrap/>
        <w:overflowPunct/>
        <w:topLinePunct w:val="0"/>
        <w:autoSpaceDE w:val="0"/>
        <w:autoSpaceDN w:val="0"/>
        <w:bidi w:val="0"/>
        <w:adjustRightInd w:val="0"/>
        <w:snapToGrid w:val="0"/>
        <w:spacing w:before="65" w:line="380" w:lineRule="exact"/>
        <w:ind w:firstLine="420" w:firstLineChars="200"/>
        <w:jc w:val="both"/>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1.第</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标段由 K</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 xml:space="preserve"> ＋</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至 K</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 xml:space="preserve"> ＋</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，长约</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km，公路等级为</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，设计时速为</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w:t>
      </w:r>
      <w:r>
        <w:rPr>
          <w:rFonts w:hint="eastAsia" w:ascii="宋体" w:hAnsi="宋体" w:eastAsia="宋体" w:cs="宋体"/>
          <w:color w:val="auto"/>
          <w:spacing w:val="0"/>
          <w:position w:val="0"/>
          <w:sz w:val="21"/>
          <w:szCs w:val="21"/>
          <w:highlight w:val="none"/>
          <w:u w:val="single"/>
        </w:rPr>
        <w:t xml:space="preserve"> </w:t>
      </w:r>
      <w:r>
        <w:rPr>
          <w:rFonts w:hint="eastAsia" w:ascii="宋体" w:hAnsi="宋体" w:eastAsia="宋体" w:cs="宋体"/>
          <w:color w:val="auto"/>
          <w:spacing w:val="0"/>
          <w:position w:val="0"/>
          <w:sz w:val="21"/>
          <w:szCs w:val="21"/>
          <w:highlight w:val="none"/>
          <w:u w:val="single"/>
          <w:lang w:val="en-US" w:eastAsia="zh-CN"/>
        </w:rPr>
        <w:t xml:space="preserve">     </w:t>
      </w:r>
      <w:r>
        <w:rPr>
          <w:rFonts w:hint="eastAsia" w:ascii="宋体" w:hAnsi="宋体" w:eastAsia="宋体" w:cs="宋体"/>
          <w:color w:val="auto"/>
          <w:spacing w:val="0"/>
          <w:position w:val="0"/>
          <w:sz w:val="21"/>
          <w:szCs w:val="21"/>
          <w:highlight w:val="none"/>
        </w:rPr>
        <w:t>路面，有</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立交</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处； 特大桥</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 xml:space="preserve"> 座，计长</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m ；大中桥</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 xml:space="preserve"> 座，计长</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m ；隧道</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座，计长</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m 以及其他构造物工程等。</w:t>
      </w:r>
    </w:p>
    <w:p>
      <w:pPr>
        <w:keepNext w:val="0"/>
        <w:keepLines w:val="0"/>
        <w:pageBreakBefore w:val="0"/>
        <w:widowControl/>
        <w:kinsoku w:val="0"/>
        <w:wordWrap/>
        <w:overflowPunct/>
        <w:topLinePunct w:val="0"/>
        <w:autoSpaceDE w:val="0"/>
        <w:autoSpaceDN w:val="0"/>
        <w:bidi w:val="0"/>
        <w:adjustRightInd w:val="0"/>
        <w:snapToGrid w:val="0"/>
        <w:spacing w:before="1" w:line="380" w:lineRule="exact"/>
        <w:ind w:left="425"/>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2.下列文件应视为构成合同文件的组成部分：</w:t>
      </w:r>
    </w:p>
    <w:p>
      <w:pPr>
        <w:keepNext w:val="0"/>
        <w:keepLines w:val="0"/>
        <w:pageBreakBefore w:val="0"/>
        <w:widowControl/>
        <w:kinsoku w:val="0"/>
        <w:wordWrap/>
        <w:overflowPunct/>
        <w:topLinePunct w:val="0"/>
        <w:autoSpaceDE w:val="0"/>
        <w:autoSpaceDN w:val="0"/>
        <w:bidi w:val="0"/>
        <w:adjustRightInd w:val="0"/>
        <w:snapToGrid w:val="0"/>
        <w:spacing w:before="128" w:line="380" w:lineRule="exact"/>
        <w:ind w:left="10" w:right="74" w:firstLine="41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(1)合同协议书及各种合同附件(含廉政合同、安全生产合同、工程质量责任合同、工程资金监管 协议及评标期间和合同谈判过程中的澄清文件和补充资料)；</w:t>
      </w:r>
    </w:p>
    <w:p>
      <w:pPr>
        <w:keepNext w:val="0"/>
        <w:keepLines w:val="0"/>
        <w:pageBreakBefore w:val="0"/>
        <w:widowControl/>
        <w:kinsoku w:val="0"/>
        <w:wordWrap/>
        <w:overflowPunct/>
        <w:topLinePunct w:val="0"/>
        <w:autoSpaceDE w:val="0"/>
        <w:autoSpaceDN w:val="0"/>
        <w:bidi w:val="0"/>
        <w:adjustRightInd w:val="0"/>
        <w:snapToGrid w:val="0"/>
        <w:spacing w:before="1" w:line="380" w:lineRule="exact"/>
        <w:ind w:left="43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(2)中标通知书；</w:t>
      </w:r>
    </w:p>
    <w:p>
      <w:pPr>
        <w:keepNext w:val="0"/>
        <w:keepLines w:val="0"/>
        <w:pageBreakBefore w:val="0"/>
        <w:widowControl/>
        <w:kinsoku w:val="0"/>
        <w:wordWrap/>
        <w:overflowPunct/>
        <w:topLinePunct w:val="0"/>
        <w:autoSpaceDE w:val="0"/>
        <w:autoSpaceDN w:val="0"/>
        <w:bidi w:val="0"/>
        <w:adjustRightInd w:val="0"/>
        <w:snapToGrid w:val="0"/>
        <w:spacing w:before="134" w:line="380" w:lineRule="exact"/>
        <w:ind w:left="43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(3)投标函及投标函附录；</w:t>
      </w:r>
    </w:p>
    <w:p>
      <w:pPr>
        <w:keepNext w:val="0"/>
        <w:keepLines w:val="0"/>
        <w:pageBreakBefore w:val="0"/>
        <w:widowControl/>
        <w:kinsoku w:val="0"/>
        <w:wordWrap/>
        <w:overflowPunct/>
        <w:topLinePunct w:val="0"/>
        <w:autoSpaceDE w:val="0"/>
        <w:autoSpaceDN w:val="0"/>
        <w:bidi w:val="0"/>
        <w:adjustRightInd w:val="0"/>
        <w:snapToGrid w:val="0"/>
        <w:spacing w:before="134" w:line="380" w:lineRule="exact"/>
        <w:ind w:left="43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(4)项目专用合同条款 (含招标文件补遗书中与此有关的部分)；</w:t>
      </w:r>
    </w:p>
    <w:p>
      <w:pPr>
        <w:keepNext w:val="0"/>
        <w:keepLines w:val="0"/>
        <w:pageBreakBefore w:val="0"/>
        <w:widowControl/>
        <w:kinsoku w:val="0"/>
        <w:wordWrap/>
        <w:overflowPunct/>
        <w:topLinePunct w:val="0"/>
        <w:autoSpaceDE w:val="0"/>
        <w:autoSpaceDN w:val="0"/>
        <w:bidi w:val="0"/>
        <w:adjustRightInd w:val="0"/>
        <w:snapToGrid w:val="0"/>
        <w:spacing w:before="134" w:line="380" w:lineRule="exact"/>
        <w:ind w:left="43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(5)公路工程专用合同条款；</w:t>
      </w:r>
    </w:p>
    <w:p>
      <w:pPr>
        <w:keepNext w:val="0"/>
        <w:keepLines w:val="0"/>
        <w:pageBreakBefore w:val="0"/>
        <w:widowControl/>
        <w:kinsoku w:val="0"/>
        <w:wordWrap/>
        <w:overflowPunct/>
        <w:topLinePunct w:val="0"/>
        <w:autoSpaceDE w:val="0"/>
        <w:autoSpaceDN w:val="0"/>
        <w:bidi w:val="0"/>
        <w:adjustRightInd w:val="0"/>
        <w:snapToGrid w:val="0"/>
        <w:spacing w:before="134" w:line="380" w:lineRule="exact"/>
        <w:ind w:left="43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(6)通用合同条款；</w:t>
      </w:r>
    </w:p>
    <w:p>
      <w:pPr>
        <w:keepNext w:val="0"/>
        <w:keepLines w:val="0"/>
        <w:pageBreakBefore w:val="0"/>
        <w:widowControl/>
        <w:kinsoku w:val="0"/>
        <w:wordWrap/>
        <w:overflowPunct/>
        <w:topLinePunct w:val="0"/>
        <w:autoSpaceDE w:val="0"/>
        <w:autoSpaceDN w:val="0"/>
        <w:bidi w:val="0"/>
        <w:adjustRightInd w:val="0"/>
        <w:snapToGrid w:val="0"/>
        <w:spacing w:before="136" w:line="380" w:lineRule="exact"/>
        <w:ind w:left="43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(7)工程量清单计量规则 (含招标文件补遗书中与此有关的部分)；</w:t>
      </w:r>
    </w:p>
    <w:p>
      <w:pPr>
        <w:keepNext w:val="0"/>
        <w:keepLines w:val="0"/>
        <w:pageBreakBefore w:val="0"/>
        <w:widowControl/>
        <w:kinsoku w:val="0"/>
        <w:wordWrap/>
        <w:overflowPunct/>
        <w:topLinePunct w:val="0"/>
        <w:autoSpaceDE w:val="0"/>
        <w:autoSpaceDN w:val="0"/>
        <w:bidi w:val="0"/>
        <w:adjustRightInd w:val="0"/>
        <w:snapToGrid w:val="0"/>
        <w:spacing w:before="134" w:line="380" w:lineRule="exact"/>
        <w:ind w:left="43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(8)项目专用技术规范 (含招标文件补遗书中与此有关的部分)；</w:t>
      </w:r>
    </w:p>
    <w:p>
      <w:pPr>
        <w:keepNext w:val="0"/>
        <w:keepLines w:val="0"/>
        <w:pageBreakBefore w:val="0"/>
        <w:widowControl/>
        <w:kinsoku w:val="0"/>
        <w:wordWrap/>
        <w:overflowPunct/>
        <w:topLinePunct w:val="0"/>
        <w:autoSpaceDE w:val="0"/>
        <w:autoSpaceDN w:val="0"/>
        <w:bidi w:val="0"/>
        <w:adjustRightInd w:val="0"/>
        <w:snapToGrid w:val="0"/>
        <w:spacing w:before="134" w:line="380" w:lineRule="exact"/>
        <w:ind w:left="43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(9)通用技术规范；</w:t>
      </w:r>
    </w:p>
    <w:p>
      <w:pPr>
        <w:keepNext w:val="0"/>
        <w:keepLines w:val="0"/>
        <w:pageBreakBefore w:val="0"/>
        <w:widowControl/>
        <w:kinsoku w:val="0"/>
        <w:wordWrap/>
        <w:overflowPunct/>
        <w:topLinePunct w:val="0"/>
        <w:autoSpaceDE w:val="0"/>
        <w:autoSpaceDN w:val="0"/>
        <w:bidi w:val="0"/>
        <w:adjustRightInd w:val="0"/>
        <w:snapToGrid w:val="0"/>
        <w:spacing w:before="134" w:line="380" w:lineRule="exact"/>
        <w:ind w:left="43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(10)图纸(含招标文件补遗书中与此有关的部分)；</w:t>
      </w:r>
    </w:p>
    <w:p>
      <w:pPr>
        <w:keepNext w:val="0"/>
        <w:keepLines w:val="0"/>
        <w:pageBreakBefore w:val="0"/>
        <w:widowControl/>
        <w:kinsoku w:val="0"/>
        <w:wordWrap/>
        <w:overflowPunct/>
        <w:topLinePunct w:val="0"/>
        <w:autoSpaceDE w:val="0"/>
        <w:autoSpaceDN w:val="0"/>
        <w:bidi w:val="0"/>
        <w:adjustRightInd w:val="0"/>
        <w:snapToGrid w:val="0"/>
        <w:spacing w:before="136" w:line="380" w:lineRule="exact"/>
        <w:ind w:left="43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(11)已标价工程量清单；</w:t>
      </w:r>
    </w:p>
    <w:p>
      <w:pPr>
        <w:keepNext w:val="0"/>
        <w:keepLines w:val="0"/>
        <w:pageBreakBefore w:val="0"/>
        <w:widowControl/>
        <w:kinsoku w:val="0"/>
        <w:wordWrap/>
        <w:overflowPunct/>
        <w:topLinePunct w:val="0"/>
        <w:autoSpaceDE w:val="0"/>
        <w:autoSpaceDN w:val="0"/>
        <w:bidi w:val="0"/>
        <w:adjustRightInd w:val="0"/>
        <w:snapToGrid w:val="0"/>
        <w:spacing w:before="133" w:line="380" w:lineRule="exact"/>
        <w:ind w:left="43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(12)承包人有关人员、设备投入的承诺及投标文件中的施工组织设计；</w:t>
      </w:r>
    </w:p>
    <w:p>
      <w:pPr>
        <w:keepNext w:val="0"/>
        <w:keepLines w:val="0"/>
        <w:pageBreakBefore w:val="0"/>
        <w:widowControl/>
        <w:kinsoku w:val="0"/>
        <w:wordWrap/>
        <w:overflowPunct/>
        <w:topLinePunct w:val="0"/>
        <w:autoSpaceDE w:val="0"/>
        <w:autoSpaceDN w:val="0"/>
        <w:bidi w:val="0"/>
        <w:adjustRightInd w:val="0"/>
        <w:snapToGrid w:val="0"/>
        <w:spacing w:before="133" w:line="380" w:lineRule="exact"/>
        <w:ind w:left="43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(13)其他合同文件。</w:t>
      </w:r>
    </w:p>
    <w:p>
      <w:pPr>
        <w:keepNext w:val="0"/>
        <w:keepLines w:val="0"/>
        <w:pageBreakBefore w:val="0"/>
        <w:widowControl/>
        <w:kinsoku w:val="0"/>
        <w:wordWrap/>
        <w:overflowPunct/>
        <w:topLinePunct w:val="0"/>
        <w:autoSpaceDE w:val="0"/>
        <w:autoSpaceDN w:val="0"/>
        <w:bidi w:val="0"/>
        <w:adjustRightInd w:val="0"/>
        <w:snapToGrid w:val="0"/>
        <w:spacing w:before="164" w:line="380" w:lineRule="exact"/>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上述合同文件互相补充和解释。如果合同文件之间存在矛盾或不一致之处，以上述排列顺序在先</w:t>
      </w:r>
    </w:p>
    <w:p>
      <w:pPr>
        <w:keepNext w:val="0"/>
        <w:keepLines w:val="0"/>
        <w:pageBreakBefore w:val="0"/>
        <w:widowControl/>
        <w:kinsoku w:val="0"/>
        <w:wordWrap/>
        <w:overflowPunct/>
        <w:topLinePunct w:val="0"/>
        <w:autoSpaceDE w:val="0"/>
        <w:autoSpaceDN w:val="0"/>
        <w:bidi w:val="0"/>
        <w:adjustRightInd w:val="0"/>
        <w:snapToGrid w:val="0"/>
        <w:spacing w:before="1" w:line="380" w:lineRule="exact"/>
        <w:ind w:left="1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者为准。</w:t>
      </w:r>
    </w:p>
    <w:p>
      <w:pPr>
        <w:keepNext w:val="0"/>
        <w:keepLines w:val="0"/>
        <w:pageBreakBefore w:val="0"/>
        <w:widowControl/>
        <w:kinsoku w:val="0"/>
        <w:wordWrap/>
        <w:overflowPunct/>
        <w:topLinePunct w:val="0"/>
        <w:autoSpaceDE w:val="0"/>
        <w:autoSpaceDN w:val="0"/>
        <w:bidi w:val="0"/>
        <w:adjustRightInd w:val="0"/>
        <w:snapToGrid w:val="0"/>
        <w:spacing w:before="129" w:line="380" w:lineRule="exact"/>
        <w:ind w:right="63" w:firstLine="43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3.根据工程量清单所列的预计数量和单价或总额价计算的签约合同价：人民币(大写)</w:t>
      </w:r>
      <w:r>
        <w:rPr>
          <w:rFonts w:hint="eastAsia" w:ascii="宋体" w:hAnsi="宋体" w:eastAsia="宋体" w:cs="宋体"/>
          <w:color w:val="auto"/>
          <w:spacing w:val="0"/>
          <w:position w:val="0"/>
          <w:sz w:val="21"/>
          <w:szCs w:val="21"/>
          <w:highlight w:val="none"/>
          <w:u w:val="single"/>
          <w:lang w:val="en-US" w:eastAsia="zh-CN"/>
        </w:rPr>
        <w:t xml:space="preserve">     </w:t>
      </w:r>
      <w:r>
        <w:rPr>
          <w:rFonts w:hint="eastAsia" w:ascii="宋体" w:hAnsi="宋体" w:eastAsia="宋体" w:cs="宋体"/>
          <w:color w:val="auto"/>
          <w:spacing w:val="0"/>
          <w:position w:val="0"/>
          <w:sz w:val="21"/>
          <w:szCs w:val="21"/>
          <w:highlight w:val="none"/>
        </w:rPr>
        <w:t>元(￥</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before="136" w:line="380"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承包人项目经理：</w:t>
      </w:r>
      <w:r>
        <w:rPr>
          <w:rFonts w:hint="eastAsia" w:ascii="宋体" w:hAnsi="宋体" w:eastAsia="宋体" w:cs="宋体"/>
          <w:color w:val="auto"/>
          <w:spacing w:val="0"/>
          <w:position w:val="0"/>
          <w:sz w:val="21"/>
          <w:szCs w:val="21"/>
          <w:highlight w:val="none"/>
          <w:u w:val="single"/>
        </w:rPr>
        <w:t xml:space="preserve">                </w:t>
      </w:r>
      <w:r>
        <w:rPr>
          <w:rFonts w:hint="eastAsia" w:ascii="宋体" w:hAnsi="宋体" w:eastAsia="宋体" w:cs="宋体"/>
          <w:color w:val="auto"/>
          <w:spacing w:val="0"/>
          <w:position w:val="0"/>
          <w:sz w:val="21"/>
          <w:szCs w:val="21"/>
          <w:highlight w:val="none"/>
        </w:rPr>
        <w:t>。承包人项目技术负责人：</w:t>
      </w:r>
      <w:r>
        <w:rPr>
          <w:rFonts w:hint="eastAsia" w:ascii="宋体" w:hAnsi="宋体" w:eastAsia="宋体" w:cs="宋体"/>
          <w:color w:val="auto"/>
          <w:spacing w:val="0"/>
          <w:position w:val="0"/>
          <w:sz w:val="21"/>
          <w:szCs w:val="21"/>
          <w:highlight w:val="none"/>
          <w:u w:val="single"/>
        </w:rPr>
        <w:t xml:space="preserve">               </w:t>
      </w:r>
      <w:r>
        <w:rPr>
          <w:rFonts w:hint="eastAsia" w:ascii="宋体" w:hAnsi="宋体" w:eastAsia="宋体" w:cs="宋体"/>
          <w:color w:val="auto"/>
          <w:spacing w:val="0"/>
          <w:position w:val="0"/>
          <w:sz w:val="21"/>
          <w:szCs w:val="21"/>
          <w:highlight w:val="none"/>
        </w:rPr>
        <w:t>。安全负责</w:t>
      </w:r>
      <w:r>
        <w:rPr>
          <w:rFonts w:hint="eastAsia" w:ascii="宋体" w:hAnsi="宋体" w:eastAsia="宋体" w:cs="宋体"/>
          <w:color w:val="auto"/>
          <w:spacing w:val="0"/>
          <w:position w:val="0"/>
          <w:sz w:val="21"/>
          <w:szCs w:val="21"/>
          <w:highlight w:val="none"/>
          <w:lang w:val="en-US" w:eastAsia="zh-CN"/>
        </w:rPr>
        <w:t>人：</w:t>
      </w:r>
      <w:r>
        <w:rPr>
          <w:rFonts w:hint="eastAsia" w:ascii="宋体" w:hAnsi="宋体" w:eastAsia="宋体" w:cs="宋体"/>
          <w:color w:val="auto"/>
          <w:spacing w:val="0"/>
          <w:position w:val="0"/>
          <w:sz w:val="21"/>
          <w:szCs w:val="21"/>
          <w:highlight w:val="none"/>
          <w:u w:val="single"/>
          <w:lang w:val="en-US" w:eastAsia="zh-CN"/>
        </w:rPr>
        <w:t xml:space="preserve">         </w:t>
      </w:r>
      <w:r>
        <w:rPr>
          <w:rFonts w:hint="eastAsia" w:ascii="宋体" w:hAnsi="宋体" w:eastAsia="宋体" w:cs="宋体"/>
          <w:color w:val="auto"/>
          <w:spacing w:val="0"/>
          <w:position w:val="0"/>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before="136" w:line="380" w:lineRule="exact"/>
        <w:ind w:left="43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5.工程质量符合</w:t>
      </w:r>
      <w:r>
        <w:rPr>
          <w:rFonts w:hint="eastAsia" w:ascii="宋体" w:hAnsi="宋体" w:eastAsia="宋体" w:cs="宋体"/>
          <w:color w:val="auto"/>
          <w:spacing w:val="0"/>
          <w:position w:val="0"/>
          <w:sz w:val="21"/>
          <w:szCs w:val="21"/>
          <w:highlight w:val="none"/>
          <w:u w:val="single"/>
        </w:rPr>
        <w:t xml:space="preserve">            </w:t>
      </w:r>
      <w:r>
        <w:rPr>
          <w:rFonts w:hint="eastAsia" w:ascii="宋体" w:hAnsi="宋体" w:eastAsia="宋体" w:cs="宋体"/>
          <w:color w:val="auto"/>
          <w:spacing w:val="0"/>
          <w:position w:val="0"/>
          <w:sz w:val="21"/>
          <w:szCs w:val="21"/>
          <w:highlight w:val="none"/>
        </w:rPr>
        <w:t>标准。 工程安全目标：</w:t>
      </w:r>
      <w:r>
        <w:rPr>
          <w:rFonts w:hint="eastAsia" w:ascii="宋体" w:hAnsi="宋体" w:eastAsia="宋体" w:cs="宋体"/>
          <w:color w:val="auto"/>
          <w:spacing w:val="0"/>
          <w:position w:val="0"/>
          <w:sz w:val="21"/>
          <w:szCs w:val="21"/>
          <w:highlight w:val="none"/>
          <w:u w:val="single"/>
        </w:rPr>
        <w:t xml:space="preserve">             </w:t>
      </w:r>
      <w:r>
        <w:rPr>
          <w:rFonts w:hint="eastAsia" w:ascii="宋体" w:hAnsi="宋体" w:eastAsia="宋体" w:cs="宋体"/>
          <w:color w:val="auto"/>
          <w:spacing w:val="0"/>
          <w:position w:val="0"/>
          <w:sz w:val="21"/>
          <w:szCs w:val="21"/>
          <w:highlight w:val="none"/>
        </w:rPr>
        <w:t xml:space="preserve"> 。</w:t>
      </w:r>
    </w:p>
    <w:p>
      <w:pPr>
        <w:keepNext w:val="0"/>
        <w:keepLines w:val="0"/>
        <w:pageBreakBefore w:val="0"/>
        <w:widowControl/>
        <w:kinsoku w:val="0"/>
        <w:wordWrap/>
        <w:overflowPunct/>
        <w:topLinePunct w:val="0"/>
        <w:autoSpaceDE w:val="0"/>
        <w:autoSpaceDN w:val="0"/>
        <w:bidi w:val="0"/>
        <w:adjustRightInd w:val="0"/>
        <w:snapToGrid w:val="0"/>
        <w:spacing w:before="136" w:line="380" w:lineRule="exact"/>
        <w:ind w:left="43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6.承包人承诺按合同约定承担工程的实施、完成及缺陷责任期缺陷修复。</w:t>
      </w:r>
    </w:p>
    <w:p>
      <w:pPr>
        <w:keepNext w:val="0"/>
        <w:keepLines w:val="0"/>
        <w:pageBreakBefore w:val="0"/>
        <w:widowControl/>
        <w:kinsoku w:val="0"/>
        <w:wordWrap/>
        <w:overflowPunct/>
        <w:topLinePunct w:val="0"/>
        <w:autoSpaceDE w:val="0"/>
        <w:autoSpaceDN w:val="0"/>
        <w:bidi w:val="0"/>
        <w:adjustRightInd w:val="0"/>
        <w:snapToGrid w:val="0"/>
        <w:spacing w:before="136" w:line="380" w:lineRule="exact"/>
        <w:ind w:left="43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7.发包人承诺按合同约定的条件、时间和方式向承包人支付合同价款。</w:t>
      </w:r>
    </w:p>
    <w:p>
      <w:pPr>
        <w:keepNext w:val="0"/>
        <w:keepLines w:val="0"/>
        <w:pageBreakBefore w:val="0"/>
        <w:widowControl/>
        <w:kinsoku w:val="0"/>
        <w:wordWrap/>
        <w:overflowPunct/>
        <w:topLinePunct w:val="0"/>
        <w:autoSpaceDE w:val="0"/>
        <w:autoSpaceDN w:val="0"/>
        <w:bidi w:val="0"/>
        <w:adjustRightInd w:val="0"/>
        <w:snapToGrid w:val="0"/>
        <w:spacing w:before="136" w:line="380" w:lineRule="exact"/>
        <w:ind w:left="43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8.承包人应按照监理人指示开工，工期为</w:t>
      </w:r>
      <w:r>
        <w:rPr>
          <w:rFonts w:hint="eastAsia" w:ascii="宋体" w:hAnsi="宋体" w:eastAsia="宋体" w:cs="宋体"/>
          <w:color w:val="auto"/>
          <w:spacing w:val="0"/>
          <w:position w:val="0"/>
          <w:sz w:val="21"/>
          <w:szCs w:val="21"/>
          <w:highlight w:val="none"/>
          <w:u w:val="single"/>
        </w:rPr>
        <w:t xml:space="preserve">      </w:t>
      </w:r>
      <w:r>
        <w:rPr>
          <w:rFonts w:hint="eastAsia" w:ascii="宋体" w:hAnsi="宋体" w:eastAsia="宋体" w:cs="宋体"/>
          <w:color w:val="auto"/>
          <w:spacing w:val="0"/>
          <w:position w:val="0"/>
          <w:sz w:val="21"/>
          <w:szCs w:val="21"/>
          <w:highlight w:val="none"/>
        </w:rPr>
        <w:t>日历天。</w:t>
      </w:r>
    </w:p>
    <w:p>
      <w:pPr>
        <w:keepNext w:val="0"/>
        <w:keepLines w:val="0"/>
        <w:pageBreakBefore w:val="0"/>
        <w:widowControl/>
        <w:kinsoku w:val="0"/>
        <w:wordWrap/>
        <w:overflowPunct/>
        <w:topLinePunct w:val="0"/>
        <w:autoSpaceDE w:val="0"/>
        <w:autoSpaceDN w:val="0"/>
        <w:bidi w:val="0"/>
        <w:adjustRightInd w:val="0"/>
        <w:snapToGrid w:val="0"/>
        <w:spacing w:before="136" w:line="380"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9.本协议书在承包人提供履约保证金后，由双方法定代表人或其委托代理人签署并加盖单位章后生效。全部工程完工后经交工验收合格、缺陷责任期满签发缺陷责任终止证书后失效。</w:t>
      </w:r>
    </w:p>
    <w:p>
      <w:pPr>
        <w:keepNext w:val="0"/>
        <w:keepLines w:val="0"/>
        <w:pageBreakBefore w:val="0"/>
        <w:widowControl/>
        <w:kinsoku w:val="0"/>
        <w:wordWrap/>
        <w:overflowPunct/>
        <w:topLinePunct w:val="0"/>
        <w:autoSpaceDE w:val="0"/>
        <w:autoSpaceDN w:val="0"/>
        <w:bidi w:val="0"/>
        <w:adjustRightInd w:val="0"/>
        <w:snapToGrid w:val="0"/>
        <w:spacing w:before="136" w:line="380"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10.本协议书正本二份、副本</w:t>
      </w:r>
      <w:r>
        <w:rPr>
          <w:rFonts w:hint="eastAsia" w:ascii="宋体" w:hAnsi="宋体" w:eastAsia="宋体" w:cs="宋体"/>
          <w:color w:val="auto"/>
          <w:spacing w:val="0"/>
          <w:position w:val="0"/>
          <w:sz w:val="21"/>
          <w:szCs w:val="21"/>
          <w:highlight w:val="none"/>
          <w:u w:val="single"/>
        </w:rPr>
        <w:t xml:space="preserve">    </w:t>
      </w:r>
      <w:r>
        <w:rPr>
          <w:rFonts w:hint="eastAsia" w:ascii="宋体" w:hAnsi="宋体" w:eastAsia="宋体" w:cs="宋体"/>
          <w:color w:val="auto"/>
          <w:spacing w:val="0"/>
          <w:position w:val="0"/>
          <w:sz w:val="21"/>
          <w:szCs w:val="21"/>
          <w:highlight w:val="none"/>
        </w:rPr>
        <w:t>份，合同双方各执正本一份，副本</w:t>
      </w:r>
      <w:r>
        <w:rPr>
          <w:rFonts w:hint="eastAsia" w:ascii="宋体" w:hAnsi="宋体" w:eastAsia="宋体" w:cs="宋体"/>
          <w:color w:val="auto"/>
          <w:spacing w:val="0"/>
          <w:position w:val="0"/>
          <w:sz w:val="21"/>
          <w:szCs w:val="21"/>
          <w:highlight w:val="none"/>
          <w:u w:val="single"/>
        </w:rPr>
        <w:t xml:space="preserve">    </w:t>
      </w:r>
      <w:r>
        <w:rPr>
          <w:rFonts w:hint="eastAsia" w:ascii="宋体" w:hAnsi="宋体" w:eastAsia="宋体" w:cs="宋体"/>
          <w:color w:val="auto"/>
          <w:spacing w:val="0"/>
          <w:position w:val="0"/>
          <w:sz w:val="21"/>
          <w:szCs w:val="21"/>
          <w:highlight w:val="none"/>
        </w:rPr>
        <w:t>份，当正本与副本的内 容不一致时，以正本为准。</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442"/>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11.合同未尽事宜，双方另行签订补充协议。补充协议是合同的组成部分。</w:t>
      </w:r>
    </w:p>
    <w:p>
      <w:pPr>
        <w:pStyle w:val="2"/>
        <w:rPr>
          <w:rFonts w:hint="eastAsia" w:ascii="宋体" w:hAnsi="宋体" w:eastAsia="宋体" w:cs="宋体"/>
          <w:color w:val="auto"/>
          <w:spacing w:val="8"/>
          <w:sz w:val="21"/>
          <w:szCs w:val="21"/>
          <w:highlight w:val="none"/>
        </w:rPr>
      </w:pPr>
    </w:p>
    <w:p>
      <w:pPr>
        <w:pStyle w:val="2"/>
        <w:rPr>
          <w:rFonts w:hint="eastAsia" w:ascii="宋体" w:hAnsi="宋体" w:eastAsia="宋体" w:cs="宋体"/>
          <w:color w:val="auto"/>
          <w:spacing w:val="8"/>
          <w:sz w:val="21"/>
          <w:szCs w:val="21"/>
          <w:highlight w:val="none"/>
        </w:rPr>
      </w:pPr>
    </w:p>
    <w:p>
      <w:pPr>
        <w:pStyle w:val="2"/>
        <w:rPr>
          <w:rFonts w:hint="eastAsia" w:ascii="宋体" w:hAnsi="宋体" w:eastAsia="宋体" w:cs="宋体"/>
          <w:color w:val="auto"/>
          <w:spacing w:val="8"/>
          <w:sz w:val="21"/>
          <w:szCs w:val="21"/>
          <w:highlight w:val="none"/>
        </w:rPr>
      </w:pPr>
    </w:p>
    <w:p>
      <w:pPr>
        <w:spacing w:before="159" w:line="378" w:lineRule="auto"/>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发包人：</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 xml:space="preserve">(盖单位章) </w:t>
      </w:r>
      <w:r>
        <w:rPr>
          <w:rFonts w:hint="eastAsia" w:ascii="宋体" w:hAnsi="宋体" w:eastAsia="宋体" w:cs="宋体"/>
          <w:color w:val="auto"/>
          <w:spacing w:val="9"/>
          <w:sz w:val="21"/>
          <w:szCs w:val="21"/>
          <w:highlight w:val="none"/>
          <w:lang w:val="en-US" w:eastAsia="zh-CN"/>
        </w:rPr>
        <w:t xml:space="preserve">        </w:t>
      </w:r>
      <w:r>
        <w:rPr>
          <w:rFonts w:hint="eastAsia" w:ascii="宋体" w:hAnsi="宋体" w:eastAsia="宋体" w:cs="宋体"/>
          <w:color w:val="auto"/>
          <w:spacing w:val="9"/>
          <w:sz w:val="21"/>
          <w:szCs w:val="21"/>
          <w:highlight w:val="none"/>
        </w:rPr>
        <w:t>承包人：</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(盖单位章)</w:t>
      </w:r>
    </w:p>
    <w:p>
      <w:pPr>
        <w:spacing w:before="159" w:line="378" w:lineRule="auto"/>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法定代表人或其委托代理人：</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(签字)</w:t>
      </w:r>
      <w:r>
        <w:rPr>
          <w:rFonts w:hint="eastAsia" w:ascii="宋体" w:hAnsi="宋体" w:eastAsia="宋体" w:cs="宋体"/>
          <w:color w:val="auto"/>
          <w:spacing w:val="9"/>
          <w:sz w:val="21"/>
          <w:szCs w:val="21"/>
          <w:highlight w:val="none"/>
          <w:lang w:val="en-US" w:eastAsia="zh-CN"/>
        </w:rPr>
        <w:t xml:space="preserve">       </w:t>
      </w:r>
      <w:r>
        <w:rPr>
          <w:rFonts w:hint="eastAsia" w:ascii="宋体" w:hAnsi="宋体" w:eastAsia="宋体" w:cs="宋体"/>
          <w:color w:val="auto"/>
          <w:spacing w:val="9"/>
          <w:sz w:val="21"/>
          <w:szCs w:val="21"/>
          <w:highlight w:val="none"/>
        </w:rPr>
        <w:t>法定代表人或其委托代理人</w:t>
      </w:r>
      <w:r>
        <w:rPr>
          <w:rFonts w:hint="eastAsia" w:ascii="宋体" w:hAnsi="宋体" w:eastAsia="宋体" w:cs="宋体"/>
          <w:color w:val="auto"/>
          <w:spacing w:val="9"/>
          <w:sz w:val="21"/>
          <w:szCs w:val="21"/>
          <w:highlight w:val="none"/>
          <w:u w:val="none"/>
        </w:rPr>
        <w:t>：</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(签字)</w:t>
      </w:r>
    </w:p>
    <w:p>
      <w:pPr>
        <w:spacing w:before="159" w:line="378" w:lineRule="auto"/>
        <w:ind w:left="7" w:firstLine="2273" w:firstLineChars="997"/>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u w:val="single"/>
        </w:rPr>
        <w:tab/>
      </w:r>
      <w:r>
        <w:rPr>
          <w:rFonts w:hint="eastAsia" w:ascii="宋体" w:hAnsi="宋体" w:eastAsia="宋体" w:cs="宋体"/>
          <w:color w:val="auto"/>
          <w:spacing w:val="9"/>
          <w:sz w:val="21"/>
          <w:szCs w:val="21"/>
          <w:highlight w:val="none"/>
          <w:u w:val="single"/>
          <w:lang w:val="en-US" w:eastAsia="zh-CN"/>
        </w:rPr>
        <w:t xml:space="preserve">  </w:t>
      </w:r>
      <w:r>
        <w:rPr>
          <w:rFonts w:hint="eastAsia" w:ascii="宋体" w:hAnsi="宋体" w:eastAsia="宋体" w:cs="宋体"/>
          <w:color w:val="auto"/>
          <w:spacing w:val="9"/>
          <w:sz w:val="21"/>
          <w:szCs w:val="21"/>
          <w:highlight w:val="none"/>
        </w:rPr>
        <w:t xml:space="preserve">年 </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 xml:space="preserve">月 </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日</w:t>
      </w:r>
      <w:r>
        <w:rPr>
          <w:rFonts w:hint="eastAsia" w:ascii="宋体" w:hAnsi="宋体" w:eastAsia="宋体" w:cs="宋体"/>
          <w:color w:val="auto"/>
          <w:spacing w:val="9"/>
          <w:sz w:val="21"/>
          <w:szCs w:val="21"/>
          <w:highlight w:val="none"/>
          <w:lang w:val="en-US" w:eastAsia="zh-CN"/>
        </w:rPr>
        <w:t xml:space="preserve">                  </w:t>
      </w:r>
      <w:r>
        <w:rPr>
          <w:rFonts w:hint="eastAsia" w:ascii="宋体" w:hAnsi="宋体" w:eastAsia="宋体" w:cs="宋体"/>
          <w:color w:val="auto"/>
          <w:spacing w:val="9"/>
          <w:sz w:val="21"/>
          <w:szCs w:val="21"/>
          <w:highlight w:val="none"/>
          <w:u w:val="single"/>
          <w:lang w:val="en-US" w:eastAsia="zh-CN"/>
        </w:rPr>
        <w:t xml:space="preserve"> </w:t>
      </w:r>
      <w:r>
        <w:rPr>
          <w:rFonts w:hint="eastAsia" w:ascii="宋体" w:hAnsi="宋体" w:eastAsia="宋体" w:cs="宋体"/>
          <w:color w:val="auto"/>
          <w:spacing w:val="9"/>
          <w:sz w:val="21"/>
          <w:szCs w:val="21"/>
          <w:highlight w:val="none"/>
          <w:u w:val="single"/>
        </w:rPr>
        <w:tab/>
      </w:r>
      <w:r>
        <w:rPr>
          <w:rFonts w:hint="eastAsia" w:ascii="宋体" w:hAnsi="宋体" w:eastAsia="宋体" w:cs="宋体"/>
          <w:color w:val="auto"/>
          <w:spacing w:val="9"/>
          <w:sz w:val="21"/>
          <w:szCs w:val="21"/>
          <w:highlight w:val="none"/>
        </w:rPr>
        <w:t>年</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月</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日</w:t>
      </w:r>
    </w:p>
    <w:p>
      <w:pPr>
        <w:tabs>
          <w:tab w:val="left" w:pos="2066"/>
        </w:tabs>
        <w:spacing w:before="1" w:line="193" w:lineRule="auto"/>
        <w:ind w:left="1532"/>
        <w:rPr>
          <w:rFonts w:hint="default" w:ascii="宋体" w:hAnsi="宋体" w:eastAsia="宋体" w:cs="宋体"/>
          <w:color w:val="auto"/>
          <w:sz w:val="20"/>
          <w:szCs w:val="20"/>
          <w:highlight w:val="none"/>
          <w:lang w:val="en-US" w:eastAsia="zh-CN"/>
        </w:rPr>
      </w:pPr>
    </w:p>
    <w:p>
      <w:pPr>
        <w:pStyle w:val="2"/>
        <w:ind w:left="0" w:leftChars="0" w:firstLine="0" w:firstLineChars="0"/>
        <w:jc w:val="left"/>
        <w:rPr>
          <w:color w:val="auto"/>
          <w:highlight w:val="none"/>
        </w:rPr>
      </w:pPr>
    </w:p>
    <w:p>
      <w:pPr>
        <w:spacing w:before="54" w:line="392" w:lineRule="auto"/>
        <w:ind w:left="6" w:right="539" w:firstLine="2"/>
        <w:jc w:val="left"/>
        <w:rPr>
          <w:rFonts w:hint="default" w:ascii="Times New Roman" w:hAnsi="Times New Roman" w:eastAsia="宋体" w:cs="Times New Roman"/>
          <w:color w:val="auto"/>
          <w:sz w:val="20"/>
          <w:szCs w:val="20"/>
          <w:highlight w:val="none"/>
          <w:lang w:val="en-US" w:eastAsia="zh-CN"/>
        </w:rPr>
      </w:pPr>
    </w:p>
    <w:p>
      <w:pPr>
        <w:pStyle w:val="2"/>
        <w:ind w:left="0" w:leftChars="0" w:firstLine="0" w:firstLineChars="0"/>
        <w:jc w:val="left"/>
        <w:rPr>
          <w:color w:val="auto"/>
          <w:highlight w:val="none"/>
        </w:rPr>
      </w:pPr>
    </w:p>
    <w:p>
      <w:pPr>
        <w:spacing w:before="54" w:line="392" w:lineRule="auto"/>
        <w:ind w:left="6" w:right="539" w:firstLine="2"/>
        <w:jc w:val="left"/>
        <w:rPr>
          <w:rFonts w:hint="default" w:ascii="Times New Roman" w:hAnsi="Times New Roman" w:eastAsia="宋体" w:cs="Times New Roman"/>
          <w:color w:val="auto"/>
          <w:sz w:val="20"/>
          <w:szCs w:val="20"/>
          <w:highlight w:val="none"/>
          <w:lang w:val="en-US" w:eastAsia="zh-CN"/>
        </w:rPr>
      </w:pPr>
    </w:p>
    <w:p>
      <w:pPr>
        <w:pStyle w:val="2"/>
        <w:rPr>
          <w:rFonts w:hint="eastAsia" w:ascii="宋体" w:hAnsi="宋体" w:eastAsia="宋体" w:cs="宋体"/>
          <w:color w:val="auto"/>
          <w:spacing w:val="8"/>
          <w:sz w:val="21"/>
          <w:szCs w:val="21"/>
          <w:highlight w:val="none"/>
        </w:rPr>
      </w:pPr>
    </w:p>
    <w:p>
      <w:pPr>
        <w:rPr>
          <w:rFonts w:hint="eastAsia" w:ascii="宋体" w:hAnsi="宋体" w:eastAsia="宋体" w:cs="宋体"/>
          <w:color w:val="auto"/>
          <w:sz w:val="21"/>
          <w:szCs w:val="21"/>
          <w:highlight w:val="none"/>
        </w:rPr>
      </w:pPr>
    </w:p>
    <w:p>
      <w:pPr>
        <w:rPr>
          <w:rFonts w:hint="eastAsia" w:ascii="宋体" w:hAnsi="宋体" w:eastAsia="宋体" w:cs="宋体"/>
          <w:color w:val="auto"/>
          <w:sz w:val="21"/>
          <w:szCs w:val="21"/>
          <w:highlight w:val="none"/>
        </w:rPr>
        <w:sectPr>
          <w:type w:val="continuous"/>
          <w:pgSz w:w="11900" w:h="16840"/>
          <w:pgMar w:top="1160" w:right="1354" w:bottom="1448" w:left="1363" w:header="883" w:footer="1234" w:gutter="0"/>
          <w:pgNumType w:fmt="decimal"/>
          <w:cols w:equalWidth="0" w:num="1">
            <w:col w:w="9183"/>
          </w:cols>
        </w:sectPr>
      </w:pPr>
    </w:p>
    <w:p>
      <w:pPr>
        <w:spacing w:line="14" w:lineRule="auto"/>
        <w:rPr>
          <w:color w:val="auto"/>
          <w:highlight w:val="none"/>
        </w:rPr>
        <w:sectPr>
          <w:headerReference r:id="rId9" w:type="default"/>
          <w:footerReference r:id="rId10" w:type="default"/>
          <w:type w:val="continuous"/>
          <w:pgSz w:w="11900" w:h="16840"/>
          <w:pgMar w:top="1160" w:right="1354" w:bottom="1448" w:left="1363" w:header="883" w:footer="1234" w:gutter="0"/>
          <w:pgNumType w:fmt="decimal"/>
          <w:cols w:equalWidth="0" w:num="2">
            <w:col w:w="4351" w:space="100"/>
            <w:col w:w="4732"/>
          </w:cols>
        </w:sectPr>
      </w:pPr>
      <w:bookmarkStart w:id="588" w:name="_bookmark131"/>
      <w:bookmarkEnd w:id="588"/>
      <w:bookmarkStart w:id="589" w:name="_bookmark130"/>
      <w:bookmarkEnd w:id="589"/>
      <w:bookmarkStart w:id="590" w:name="_bookmark132"/>
      <w:bookmarkEnd w:id="590"/>
    </w:p>
    <w:p>
      <w:pPr>
        <w:spacing w:before="313" w:line="220" w:lineRule="auto"/>
        <w:outlineLvl w:val="2"/>
        <w:rPr>
          <w:rFonts w:hint="eastAsia" w:ascii="宋体" w:hAnsi="宋体" w:eastAsia="宋体" w:cs="宋体"/>
          <w:color w:val="auto"/>
          <w:sz w:val="28"/>
          <w:szCs w:val="28"/>
          <w:highlight w:val="none"/>
        </w:rPr>
      </w:pPr>
      <w:bookmarkStart w:id="591" w:name="_Toc24574"/>
      <w:r>
        <w:rPr>
          <w:rFonts w:hint="eastAsia" w:ascii="宋体" w:hAnsi="宋体" w:eastAsia="宋体" w:cs="宋体"/>
          <w:color w:val="auto"/>
          <w:spacing w:val="-6"/>
          <w:sz w:val="28"/>
          <w:szCs w:val="28"/>
          <w:highlight w:val="none"/>
        </w:rPr>
        <w:t>附</w:t>
      </w:r>
      <w:r>
        <w:rPr>
          <w:rFonts w:hint="eastAsia" w:ascii="宋体" w:hAnsi="宋体" w:eastAsia="宋体" w:cs="宋体"/>
          <w:color w:val="auto"/>
          <w:spacing w:val="-5"/>
          <w:sz w:val="28"/>
          <w:szCs w:val="28"/>
          <w:highlight w:val="none"/>
        </w:rPr>
        <w:t>件</w:t>
      </w:r>
      <w:r>
        <w:rPr>
          <w:rFonts w:hint="eastAsia" w:ascii="宋体" w:hAnsi="宋体" w:eastAsia="宋体" w:cs="宋体"/>
          <w:color w:val="auto"/>
          <w:spacing w:val="-3"/>
          <w:sz w:val="28"/>
          <w:szCs w:val="28"/>
          <w:highlight w:val="none"/>
        </w:rPr>
        <w:t>二  廉政合同</w:t>
      </w:r>
      <w:bookmarkEnd w:id="591"/>
    </w:p>
    <w:p>
      <w:pPr>
        <w:spacing w:before="208" w:line="223" w:lineRule="auto"/>
        <w:ind w:left="4039"/>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rPr>
        <w:t>廉</w:t>
      </w:r>
      <w:r>
        <w:rPr>
          <w:rFonts w:hint="eastAsia" w:ascii="宋体" w:hAnsi="宋体" w:eastAsia="宋体" w:cs="宋体"/>
          <w:color w:val="auto"/>
          <w:spacing w:val="-2"/>
          <w:sz w:val="28"/>
          <w:szCs w:val="28"/>
          <w:highlight w:val="none"/>
        </w:rPr>
        <w:t>政合同</w:t>
      </w:r>
    </w:p>
    <w:p>
      <w:pPr>
        <w:spacing w:line="306" w:lineRule="auto"/>
        <w:rPr>
          <w:rFonts w:ascii="Arial"/>
          <w:color w:val="auto"/>
          <w:sz w:val="21"/>
          <w:highlight w:val="none"/>
        </w:rPr>
      </w:pPr>
    </w:p>
    <w:p>
      <w:pPr>
        <w:keepNext w:val="0"/>
        <w:keepLines w:val="0"/>
        <w:pageBreakBefore w:val="0"/>
        <w:kinsoku w:val="0"/>
        <w:wordWrap/>
        <w:overflowPunct/>
        <w:topLinePunct w:val="0"/>
        <w:autoSpaceDE w:val="0"/>
        <w:autoSpaceDN w:val="0"/>
        <w:bidi w:val="0"/>
        <w:adjustRightInd w:val="0"/>
        <w:snapToGrid w:val="0"/>
        <w:spacing w:before="65" w:line="400" w:lineRule="exact"/>
        <w:ind w:left="4" w:firstLine="42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根据《关于在交通基础设施建设中加强廉政建设的若干意见》以及有关工程建设、 廉政建设的规定，为做好工程建设中的党风廉政建设，保证工程建设高效优质， 保证建设资金的安全和有效使用以及投资效益，</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(项目名称)的项目法人</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(项目法人名称，以下简称“发包人”)与该项目</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标段的施工单位</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(施工单位名称，以下简称“承包人”) ，特订立如下合同。</w:t>
      </w:r>
    </w:p>
    <w:p>
      <w:pPr>
        <w:keepNext w:val="0"/>
        <w:keepLines w:val="0"/>
        <w:pageBreakBefore w:val="0"/>
        <w:kinsoku w:val="0"/>
        <w:wordWrap/>
        <w:overflowPunct/>
        <w:topLinePunct w:val="0"/>
        <w:autoSpaceDE w:val="0"/>
        <w:autoSpaceDN w:val="0"/>
        <w:bidi w:val="0"/>
        <w:adjustRightInd w:val="0"/>
        <w:snapToGrid w:val="0"/>
        <w:spacing w:before="6" w:line="400" w:lineRule="exact"/>
        <w:ind w:left="442"/>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1.发包人和承包人双方的权利和义务</w:t>
      </w:r>
    </w:p>
    <w:p>
      <w:pPr>
        <w:keepNext w:val="0"/>
        <w:keepLines w:val="0"/>
        <w:pageBreakBefore w:val="0"/>
        <w:kinsoku w:val="0"/>
        <w:wordWrap/>
        <w:overflowPunct/>
        <w:topLinePunct w:val="0"/>
        <w:autoSpaceDE w:val="0"/>
        <w:autoSpaceDN w:val="0"/>
        <w:bidi w:val="0"/>
        <w:adjustRightInd w:val="0"/>
        <w:snapToGrid w:val="0"/>
        <w:spacing w:before="129" w:line="400" w:lineRule="exact"/>
        <w:ind w:left="42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(1)严格遵守党的政策规定和国家有关法律法规及交通运输部、浙江省交通运输厅的有关规定。</w:t>
      </w:r>
    </w:p>
    <w:p>
      <w:pPr>
        <w:keepNext w:val="0"/>
        <w:keepLines w:val="0"/>
        <w:pageBreakBefore w:val="0"/>
        <w:kinsoku w:val="0"/>
        <w:wordWrap/>
        <w:overflowPunct/>
        <w:topLinePunct w:val="0"/>
        <w:autoSpaceDE w:val="0"/>
        <w:autoSpaceDN w:val="0"/>
        <w:bidi w:val="0"/>
        <w:adjustRightInd w:val="0"/>
        <w:snapToGrid w:val="0"/>
        <w:spacing w:before="134" w:line="400"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(2)严格执行</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(项目名称)</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标段施工合同文件， 自觉按合同办事。</w:t>
      </w:r>
    </w:p>
    <w:p>
      <w:pPr>
        <w:keepNext w:val="0"/>
        <w:keepLines w:val="0"/>
        <w:pageBreakBefore w:val="0"/>
        <w:kinsoku w:val="0"/>
        <w:wordWrap/>
        <w:overflowPunct/>
        <w:topLinePunct w:val="0"/>
        <w:autoSpaceDE w:val="0"/>
        <w:autoSpaceDN w:val="0"/>
        <w:bidi w:val="0"/>
        <w:adjustRightInd w:val="0"/>
        <w:snapToGrid w:val="0"/>
        <w:spacing w:before="117" w:line="400" w:lineRule="exact"/>
        <w:ind w:left="10" w:right="4" w:firstLine="415"/>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(3)双方的业务活动坚持公开、 公正、诚信、透明的原则(法律认定的商业秘密和合同文件另有规定除外)，不得损害国家和集体利益，不得违反工程建设管理规章制度。</w:t>
      </w:r>
    </w:p>
    <w:p>
      <w:pPr>
        <w:keepNext w:val="0"/>
        <w:keepLines w:val="0"/>
        <w:pageBreakBefore w:val="0"/>
        <w:kinsoku w:val="0"/>
        <w:wordWrap/>
        <w:overflowPunct/>
        <w:topLinePunct w:val="0"/>
        <w:autoSpaceDE w:val="0"/>
        <w:autoSpaceDN w:val="0"/>
        <w:bidi w:val="0"/>
        <w:adjustRightInd w:val="0"/>
        <w:snapToGrid w:val="0"/>
        <w:spacing w:before="1" w:line="400" w:lineRule="exact"/>
        <w:ind w:left="11" w:firstLine="414"/>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(4)建立健全廉政制度，开展廉政教育，设立廉政告示牌，公布举报电话，监督并认真查处违法违纪行为。</w:t>
      </w:r>
    </w:p>
    <w:p>
      <w:pPr>
        <w:keepNext w:val="0"/>
        <w:keepLines w:val="0"/>
        <w:pageBreakBefore w:val="0"/>
        <w:kinsoku w:val="0"/>
        <w:wordWrap/>
        <w:overflowPunct/>
        <w:topLinePunct w:val="0"/>
        <w:autoSpaceDE w:val="0"/>
        <w:autoSpaceDN w:val="0"/>
        <w:bidi w:val="0"/>
        <w:adjustRightInd w:val="0"/>
        <w:snapToGrid w:val="0"/>
        <w:spacing w:line="400" w:lineRule="exact"/>
        <w:ind w:left="42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(5)发现对方在业务活动中有违反廉政规定的行为，有及时提醒对方纠正的权利和义务。</w:t>
      </w:r>
    </w:p>
    <w:p>
      <w:pPr>
        <w:keepNext w:val="0"/>
        <w:keepLines w:val="0"/>
        <w:pageBreakBefore w:val="0"/>
        <w:kinsoku w:val="0"/>
        <w:wordWrap/>
        <w:overflowPunct/>
        <w:topLinePunct w:val="0"/>
        <w:autoSpaceDE w:val="0"/>
        <w:autoSpaceDN w:val="0"/>
        <w:bidi w:val="0"/>
        <w:adjustRightInd w:val="0"/>
        <w:snapToGrid w:val="0"/>
        <w:spacing w:before="135" w:line="400" w:lineRule="exact"/>
        <w:ind w:left="9" w:firstLine="41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(6)发现对方严重违反本合同义务条款的行为，有向其上级有关部门举报、建议给予处理并要求告知处理结果的权利。</w:t>
      </w:r>
    </w:p>
    <w:p>
      <w:pPr>
        <w:keepNext w:val="0"/>
        <w:keepLines w:val="0"/>
        <w:pageBreakBefore w:val="0"/>
        <w:kinsoku w:val="0"/>
        <w:wordWrap/>
        <w:overflowPunct/>
        <w:topLinePunct w:val="0"/>
        <w:autoSpaceDE w:val="0"/>
        <w:autoSpaceDN w:val="0"/>
        <w:bidi w:val="0"/>
        <w:adjustRightInd w:val="0"/>
        <w:snapToGrid w:val="0"/>
        <w:spacing w:before="1" w:line="400" w:lineRule="exact"/>
        <w:ind w:left="12" w:firstLine="41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(7)项目建立合同公示制。在合同实施阶段，及时在“阳光监管平台系统”对分包合同等信息进行公示。</w:t>
      </w:r>
    </w:p>
    <w:p>
      <w:pPr>
        <w:keepNext w:val="0"/>
        <w:keepLines w:val="0"/>
        <w:pageBreakBefore w:val="0"/>
        <w:kinsoku w:val="0"/>
        <w:wordWrap/>
        <w:overflowPunct/>
        <w:topLinePunct w:val="0"/>
        <w:autoSpaceDE w:val="0"/>
        <w:autoSpaceDN w:val="0"/>
        <w:bidi w:val="0"/>
        <w:adjustRightInd w:val="0"/>
        <w:snapToGrid w:val="0"/>
        <w:spacing w:line="400" w:lineRule="exact"/>
        <w:ind w:left="42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(8)项目建立廉政监督制。廉政分包监督要求，明确监督单位或部门及廉政监督电话。</w:t>
      </w:r>
    </w:p>
    <w:p>
      <w:pPr>
        <w:keepNext w:val="0"/>
        <w:keepLines w:val="0"/>
        <w:pageBreakBefore w:val="0"/>
        <w:kinsoku w:val="0"/>
        <w:wordWrap/>
        <w:overflowPunct/>
        <w:topLinePunct w:val="0"/>
        <w:autoSpaceDE w:val="0"/>
        <w:autoSpaceDN w:val="0"/>
        <w:bidi w:val="0"/>
        <w:adjustRightInd w:val="0"/>
        <w:snapToGrid w:val="0"/>
        <w:spacing w:before="134" w:line="400" w:lineRule="exact"/>
        <w:ind w:left="42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(9)项目建立信用管理制。廉政、合同履约及分包管理等行为纳入承包人信用评价制度。</w:t>
      </w:r>
    </w:p>
    <w:p>
      <w:pPr>
        <w:keepNext w:val="0"/>
        <w:keepLines w:val="0"/>
        <w:pageBreakBefore w:val="0"/>
        <w:kinsoku w:val="0"/>
        <w:wordWrap/>
        <w:overflowPunct/>
        <w:topLinePunct w:val="0"/>
        <w:autoSpaceDE w:val="0"/>
        <w:autoSpaceDN w:val="0"/>
        <w:bidi w:val="0"/>
        <w:adjustRightInd w:val="0"/>
        <w:snapToGrid w:val="0"/>
        <w:spacing w:before="168" w:line="400" w:lineRule="exact"/>
        <w:ind w:left="42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2.发包人的义务</w:t>
      </w:r>
    </w:p>
    <w:p>
      <w:pPr>
        <w:keepNext w:val="0"/>
        <w:keepLines w:val="0"/>
        <w:pageBreakBefore w:val="0"/>
        <w:kinsoku w:val="0"/>
        <w:wordWrap/>
        <w:overflowPunct/>
        <w:topLinePunct w:val="0"/>
        <w:autoSpaceDE w:val="0"/>
        <w:autoSpaceDN w:val="0"/>
        <w:bidi w:val="0"/>
        <w:adjustRightInd w:val="0"/>
        <w:snapToGrid w:val="0"/>
        <w:spacing w:before="129" w:line="400" w:lineRule="exact"/>
        <w:ind w:left="4" w:firstLine="42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(1)发包人及其工作人员不得索要或接受承包人的礼金、有价证券和其他物品，不得让承包人报销任何应由发包人或发包人工作人员个人支付的费用等。</w:t>
      </w:r>
    </w:p>
    <w:p>
      <w:pPr>
        <w:keepNext w:val="0"/>
        <w:keepLines w:val="0"/>
        <w:pageBreakBefore w:val="0"/>
        <w:kinsoku w:val="0"/>
        <w:wordWrap/>
        <w:overflowPunct/>
        <w:topLinePunct w:val="0"/>
        <w:autoSpaceDE w:val="0"/>
        <w:autoSpaceDN w:val="0"/>
        <w:bidi w:val="0"/>
        <w:adjustRightInd w:val="0"/>
        <w:snapToGrid w:val="0"/>
        <w:spacing w:before="1" w:line="400" w:lineRule="exact"/>
        <w:ind w:left="5" w:right="11" w:firstLine="42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(2)发包人工作人员不得参加承包人安排的宴请和娱乐活动；不得接受承包人提供的通讯工具、交通工具和办公用品等。</w:t>
      </w:r>
    </w:p>
    <w:p>
      <w:pPr>
        <w:keepNext w:val="0"/>
        <w:keepLines w:val="0"/>
        <w:pageBreakBefore w:val="0"/>
        <w:kinsoku w:val="0"/>
        <w:wordWrap/>
        <w:overflowPunct/>
        <w:topLinePunct w:val="0"/>
        <w:autoSpaceDE w:val="0"/>
        <w:autoSpaceDN w:val="0"/>
        <w:bidi w:val="0"/>
        <w:adjustRightInd w:val="0"/>
        <w:snapToGrid w:val="0"/>
        <w:spacing w:before="2" w:line="400" w:lineRule="exact"/>
        <w:ind w:left="9" w:right="2" w:firstLine="41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(3)发包人及其工作人员不得要求或者接受承包人为其住房装修、婚丧嫁娶活动、配偶子女的工作安排以及出国出境、旅游等提供方便等。</w:t>
      </w:r>
    </w:p>
    <w:p>
      <w:pPr>
        <w:keepNext w:val="0"/>
        <w:keepLines w:val="0"/>
        <w:pageBreakBefore w:val="0"/>
        <w:kinsoku w:val="0"/>
        <w:wordWrap/>
        <w:overflowPunct/>
        <w:topLinePunct w:val="0"/>
        <w:autoSpaceDE w:val="0"/>
        <w:autoSpaceDN w:val="0"/>
        <w:bidi w:val="0"/>
        <w:adjustRightInd w:val="0"/>
        <w:snapToGrid w:val="0"/>
        <w:spacing w:before="1" w:line="400" w:lineRule="exact"/>
        <w:ind w:left="7" w:firstLine="418"/>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(4)发包人工作人员及其配偶、子女不得从事与发包人工程有关的材料设备供应、工程分包、劳务等经济活动等。</w:t>
      </w:r>
    </w:p>
    <w:p>
      <w:pPr>
        <w:keepNext w:val="0"/>
        <w:keepLines w:val="0"/>
        <w:pageBreakBefore w:val="0"/>
        <w:kinsoku w:val="0"/>
        <w:wordWrap/>
        <w:overflowPunct/>
        <w:topLinePunct w:val="0"/>
        <w:autoSpaceDE w:val="0"/>
        <w:autoSpaceDN w:val="0"/>
        <w:bidi w:val="0"/>
        <w:adjustRightInd w:val="0"/>
        <w:snapToGrid w:val="0"/>
        <w:spacing w:before="2" w:line="400" w:lineRule="exact"/>
        <w:ind w:left="6" w:right="2" w:firstLine="41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(5)发包人及其工作人员不得以任何理由向承包人推荐分包单位或推销材料，不得要求承包人购买合同规定外的材料和设备。</w:t>
      </w:r>
    </w:p>
    <w:p>
      <w:pPr>
        <w:keepNext w:val="0"/>
        <w:keepLines w:val="0"/>
        <w:pageBreakBefore w:val="0"/>
        <w:kinsoku w:val="0"/>
        <w:wordWrap/>
        <w:overflowPunct/>
        <w:topLinePunct w:val="0"/>
        <w:autoSpaceDE w:val="0"/>
        <w:autoSpaceDN w:val="0"/>
        <w:bidi w:val="0"/>
        <w:adjustRightInd w:val="0"/>
        <w:snapToGrid w:val="0"/>
        <w:spacing w:before="2" w:line="400" w:lineRule="exact"/>
        <w:ind w:left="6" w:right="2" w:firstLine="41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(6)发包人工作人员要秉公办事，不准营私舞弊，不准利用职权从事各种个人有偿中介活动和安排个人施工队伍。</w:t>
      </w:r>
    </w:p>
    <w:p>
      <w:pPr>
        <w:keepNext w:val="0"/>
        <w:keepLines w:val="0"/>
        <w:pageBreakBefore w:val="0"/>
        <w:widowControl/>
        <w:kinsoku w:val="0"/>
        <w:wordWrap/>
        <w:overflowPunct/>
        <w:topLinePunct w:val="0"/>
        <w:autoSpaceDE w:val="0"/>
        <w:autoSpaceDN w:val="0"/>
        <w:bidi w:val="0"/>
        <w:adjustRightInd w:val="0"/>
        <w:snapToGrid w:val="0"/>
        <w:spacing w:before="15" w:line="400" w:lineRule="exact"/>
        <w:ind w:right="159"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3.承包人的义务                                                                   </w:t>
      </w:r>
    </w:p>
    <w:p>
      <w:pPr>
        <w:keepNext w:val="0"/>
        <w:keepLines w:val="0"/>
        <w:pageBreakBefore w:val="0"/>
        <w:widowControl/>
        <w:kinsoku w:val="0"/>
        <w:wordWrap/>
        <w:overflowPunct/>
        <w:topLinePunct w:val="0"/>
        <w:autoSpaceDE w:val="0"/>
        <w:autoSpaceDN w:val="0"/>
        <w:bidi w:val="0"/>
        <w:adjustRightInd w:val="0"/>
        <w:snapToGrid w:val="0"/>
        <w:spacing w:before="15" w:line="400" w:lineRule="exact"/>
        <w:ind w:right="159"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(1)承包人不得以任何理由向发包人及其工作人员行贿或馈赠礼金、有价证券、礼品。  </w:t>
      </w:r>
    </w:p>
    <w:p>
      <w:pPr>
        <w:keepNext w:val="0"/>
        <w:keepLines w:val="0"/>
        <w:pageBreakBefore w:val="0"/>
        <w:widowControl/>
        <w:kinsoku w:val="0"/>
        <w:wordWrap/>
        <w:overflowPunct/>
        <w:topLinePunct w:val="0"/>
        <w:autoSpaceDE w:val="0"/>
        <w:autoSpaceDN w:val="0"/>
        <w:bidi w:val="0"/>
        <w:adjustRightInd w:val="0"/>
        <w:snapToGrid w:val="0"/>
        <w:spacing w:before="15" w:line="400" w:lineRule="exact"/>
        <w:ind w:right="159"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(2)承包人不得以任何名义为发包人及其工作人员报销应由发包人单位或个人支付的任何费用。</w:t>
      </w:r>
    </w:p>
    <w:p>
      <w:pPr>
        <w:keepNext w:val="0"/>
        <w:keepLines w:val="0"/>
        <w:pageBreakBefore w:val="0"/>
        <w:widowControl/>
        <w:kinsoku w:val="0"/>
        <w:wordWrap/>
        <w:overflowPunct/>
        <w:topLinePunct w:val="0"/>
        <w:autoSpaceDE w:val="0"/>
        <w:autoSpaceDN w:val="0"/>
        <w:bidi w:val="0"/>
        <w:adjustRightInd w:val="0"/>
        <w:snapToGrid w:val="0"/>
        <w:spacing w:before="15" w:line="400" w:lineRule="exact"/>
        <w:ind w:left="420" w:leftChars="200" w:right="159" w:firstLine="0" w:firstLineChars="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(3)承包人不得以任何理由安排发包人工作人员参加宴请及娱乐活动。                       (4)承包人不得为发包人单位和个人购置或提供通讯工具、交通工具和办公用品等。          </w:t>
      </w:r>
    </w:p>
    <w:p>
      <w:pPr>
        <w:keepNext w:val="0"/>
        <w:keepLines w:val="0"/>
        <w:pageBreakBefore w:val="0"/>
        <w:widowControl/>
        <w:kinsoku w:val="0"/>
        <w:wordWrap/>
        <w:overflowPunct/>
        <w:topLinePunct w:val="0"/>
        <w:autoSpaceDE w:val="0"/>
        <w:autoSpaceDN w:val="0"/>
        <w:bidi w:val="0"/>
        <w:adjustRightInd w:val="0"/>
        <w:snapToGrid w:val="0"/>
        <w:spacing w:before="15" w:line="400" w:lineRule="exact"/>
        <w:ind w:right="159"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4.违约责任</w:t>
      </w:r>
    </w:p>
    <w:p>
      <w:pPr>
        <w:keepNext w:val="0"/>
        <w:keepLines w:val="0"/>
        <w:pageBreakBefore w:val="0"/>
        <w:kinsoku w:val="0"/>
        <w:wordWrap/>
        <w:overflowPunct/>
        <w:topLinePunct w:val="0"/>
        <w:autoSpaceDE w:val="0"/>
        <w:autoSpaceDN w:val="0"/>
        <w:bidi w:val="0"/>
        <w:adjustRightInd w:val="0"/>
        <w:snapToGrid w:val="0"/>
        <w:spacing w:before="1" w:line="400" w:lineRule="exact"/>
        <w:ind w:left="9" w:right="4" w:firstLine="417"/>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(1)发包人及其工作人员违反本合同第</w:t>
      </w:r>
      <w:r>
        <w:rPr>
          <w:rFonts w:hint="eastAsia" w:ascii="宋体" w:hAnsi="宋体" w:eastAsia="宋体" w:cs="宋体"/>
          <w:color w:val="auto"/>
          <w:spacing w:val="0"/>
          <w:position w:val="0"/>
          <w:sz w:val="21"/>
          <w:szCs w:val="21"/>
          <w:highlight w:val="none"/>
          <w:lang w:val="en-US" w:eastAsia="zh-CN"/>
        </w:rPr>
        <w:t xml:space="preserve"> </w:t>
      </w:r>
      <w:r>
        <w:rPr>
          <w:rFonts w:hint="eastAsia" w:ascii="宋体" w:hAnsi="宋体" w:eastAsia="宋体" w:cs="宋体"/>
          <w:color w:val="auto"/>
          <w:spacing w:val="0"/>
          <w:position w:val="0"/>
          <w:sz w:val="21"/>
          <w:szCs w:val="21"/>
          <w:highlight w:val="none"/>
        </w:rPr>
        <w:t>1、2 条，按管理权限，依据有关规定给予党纪、政纪或组织处理；涉嫌犯罪的，移交司法机关追究刑事责任；给承包人单位造成经济损失的，应予以赔偿。</w:t>
      </w:r>
    </w:p>
    <w:p>
      <w:pPr>
        <w:keepNext w:val="0"/>
        <w:keepLines w:val="0"/>
        <w:pageBreakBefore w:val="0"/>
        <w:kinsoku w:val="0"/>
        <w:wordWrap/>
        <w:overflowPunct/>
        <w:topLinePunct w:val="0"/>
        <w:autoSpaceDE w:val="0"/>
        <w:autoSpaceDN w:val="0"/>
        <w:bidi w:val="0"/>
        <w:adjustRightInd w:val="0"/>
        <w:snapToGrid w:val="0"/>
        <w:spacing w:before="2" w:line="400" w:lineRule="exact"/>
        <w:ind w:left="5" w:right="4" w:firstLine="42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(2)承包人及其工作人员违反本合同第 1 、3 条，按管理权限，依据有关规定给予党纪、政纪或组织处理；给发包人单位造成经济损失的，应予以赔偿；情节严重的，发包人建议交通主管部门给予承包人一至三年内不得进入其主管的公路建设市场的处罚。</w:t>
      </w:r>
    </w:p>
    <w:p>
      <w:pPr>
        <w:keepNext w:val="0"/>
        <w:keepLines w:val="0"/>
        <w:pageBreakBefore w:val="0"/>
        <w:kinsoku w:val="0"/>
        <w:wordWrap/>
        <w:overflowPunct/>
        <w:topLinePunct w:val="0"/>
        <w:autoSpaceDE w:val="0"/>
        <w:autoSpaceDN w:val="0"/>
        <w:bidi w:val="0"/>
        <w:adjustRightInd w:val="0"/>
        <w:snapToGrid w:val="0"/>
        <w:spacing w:before="1" w:line="400" w:lineRule="exact"/>
        <w:ind w:left="4" w:right="4" w:firstLine="422"/>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双方约定：本合同由双方或双方上级单位的纪检监察部门负责监督执行。由发包人或发包人上级单位的纪检监察部门约请承包人或承包人上级单位纪检监察部门对本合同执行情况进行检查，提出在本合同规定范围内的裁定意见。</w:t>
      </w:r>
    </w:p>
    <w:p>
      <w:pPr>
        <w:keepNext w:val="0"/>
        <w:keepLines w:val="0"/>
        <w:pageBreakBefore w:val="0"/>
        <w:kinsoku w:val="0"/>
        <w:wordWrap/>
        <w:overflowPunct/>
        <w:topLinePunct w:val="0"/>
        <w:autoSpaceDE w:val="0"/>
        <w:autoSpaceDN w:val="0"/>
        <w:bidi w:val="0"/>
        <w:adjustRightInd w:val="0"/>
        <w:snapToGrid w:val="0"/>
        <w:spacing w:before="1" w:line="400" w:lineRule="exact"/>
        <w:ind w:left="42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6.本合同有效期为发包人和承包人签署之日起至该工程项目竣工验收后止。</w:t>
      </w:r>
    </w:p>
    <w:p>
      <w:pPr>
        <w:keepNext w:val="0"/>
        <w:keepLines w:val="0"/>
        <w:pageBreakBefore w:val="0"/>
        <w:kinsoku w:val="0"/>
        <w:wordWrap/>
        <w:overflowPunct/>
        <w:topLinePunct w:val="0"/>
        <w:autoSpaceDE w:val="0"/>
        <w:autoSpaceDN w:val="0"/>
        <w:bidi w:val="0"/>
        <w:adjustRightInd w:val="0"/>
        <w:snapToGrid w:val="0"/>
        <w:spacing w:before="131" w:line="400" w:lineRule="exact"/>
        <w:ind w:left="6" w:firstLine="418"/>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7.本合同作为</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(项目名称)</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标段施工合同的附件， 与工程施工合同具有同等的法律效力，经合同双方签署后立即生效。</w:t>
      </w:r>
    </w:p>
    <w:p>
      <w:pPr>
        <w:keepNext w:val="0"/>
        <w:keepLines w:val="0"/>
        <w:pageBreakBefore w:val="0"/>
        <w:kinsoku w:val="0"/>
        <w:wordWrap/>
        <w:overflowPunct/>
        <w:topLinePunct w:val="0"/>
        <w:autoSpaceDE w:val="0"/>
        <w:autoSpaceDN w:val="0"/>
        <w:bidi w:val="0"/>
        <w:adjustRightInd w:val="0"/>
        <w:snapToGrid w:val="0"/>
        <w:spacing w:before="12" w:line="400"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8.本合同一式四份，由发包人和承包人各执一份，送交发包人和承包人的监督单位各一份。</w:t>
      </w:r>
    </w:p>
    <w:p>
      <w:pPr>
        <w:pStyle w:val="2"/>
        <w:ind w:left="0" w:leftChars="0" w:firstLine="0" w:firstLineChars="0"/>
        <w:rPr>
          <w:rFonts w:hint="eastAsia" w:ascii="宋体" w:hAnsi="宋体" w:eastAsia="宋体" w:cs="宋体"/>
          <w:color w:val="auto"/>
          <w:spacing w:val="6"/>
          <w:sz w:val="21"/>
          <w:szCs w:val="21"/>
          <w:highlight w:val="none"/>
        </w:rPr>
      </w:pPr>
    </w:p>
    <w:p>
      <w:pPr>
        <w:pStyle w:val="2"/>
        <w:ind w:left="0" w:leftChars="0" w:firstLine="0" w:firstLineChars="0"/>
        <w:rPr>
          <w:rFonts w:hint="eastAsia" w:ascii="宋体" w:hAnsi="宋体" w:eastAsia="宋体" w:cs="宋体"/>
          <w:color w:val="auto"/>
          <w:spacing w:val="6"/>
          <w:sz w:val="21"/>
          <w:szCs w:val="21"/>
          <w:highlight w:val="none"/>
        </w:rPr>
      </w:pPr>
    </w:p>
    <w:p>
      <w:pPr>
        <w:pStyle w:val="2"/>
        <w:ind w:left="0" w:leftChars="0" w:firstLine="0" w:firstLineChars="0"/>
        <w:rPr>
          <w:rFonts w:hint="eastAsia" w:ascii="宋体" w:hAnsi="宋体" w:eastAsia="宋体" w:cs="宋体"/>
          <w:color w:val="auto"/>
          <w:spacing w:val="6"/>
          <w:sz w:val="21"/>
          <w:szCs w:val="21"/>
          <w:highlight w:val="none"/>
        </w:rPr>
      </w:pPr>
    </w:p>
    <w:p>
      <w:pPr>
        <w:spacing w:before="159" w:line="378" w:lineRule="auto"/>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发包人：</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 xml:space="preserve">(盖单位章) </w:t>
      </w:r>
      <w:r>
        <w:rPr>
          <w:rFonts w:hint="eastAsia" w:ascii="宋体" w:hAnsi="宋体" w:eastAsia="宋体" w:cs="宋体"/>
          <w:color w:val="auto"/>
          <w:spacing w:val="9"/>
          <w:sz w:val="21"/>
          <w:szCs w:val="21"/>
          <w:highlight w:val="none"/>
          <w:lang w:val="en-US" w:eastAsia="zh-CN"/>
        </w:rPr>
        <w:t xml:space="preserve">        </w:t>
      </w:r>
      <w:r>
        <w:rPr>
          <w:rFonts w:hint="eastAsia" w:ascii="宋体" w:hAnsi="宋体" w:eastAsia="宋体" w:cs="宋体"/>
          <w:color w:val="auto"/>
          <w:spacing w:val="9"/>
          <w:sz w:val="21"/>
          <w:szCs w:val="21"/>
          <w:highlight w:val="none"/>
        </w:rPr>
        <w:t>承包人：</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(盖单位章)</w:t>
      </w:r>
    </w:p>
    <w:p>
      <w:pPr>
        <w:spacing w:before="159" w:line="378" w:lineRule="auto"/>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法定代表人或其委托代理人：</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(签字)</w:t>
      </w:r>
      <w:r>
        <w:rPr>
          <w:rFonts w:hint="eastAsia" w:ascii="宋体" w:hAnsi="宋体" w:eastAsia="宋体" w:cs="宋体"/>
          <w:color w:val="auto"/>
          <w:spacing w:val="9"/>
          <w:sz w:val="21"/>
          <w:szCs w:val="21"/>
          <w:highlight w:val="none"/>
          <w:lang w:val="en-US" w:eastAsia="zh-CN"/>
        </w:rPr>
        <w:t xml:space="preserve">       </w:t>
      </w:r>
      <w:r>
        <w:rPr>
          <w:rFonts w:hint="eastAsia" w:ascii="宋体" w:hAnsi="宋体" w:eastAsia="宋体" w:cs="宋体"/>
          <w:color w:val="auto"/>
          <w:spacing w:val="9"/>
          <w:sz w:val="21"/>
          <w:szCs w:val="21"/>
          <w:highlight w:val="none"/>
        </w:rPr>
        <w:t>法定代表人或其委托代理人</w:t>
      </w:r>
      <w:r>
        <w:rPr>
          <w:rFonts w:hint="eastAsia" w:ascii="宋体" w:hAnsi="宋体" w:eastAsia="宋体" w:cs="宋体"/>
          <w:color w:val="auto"/>
          <w:spacing w:val="9"/>
          <w:sz w:val="21"/>
          <w:szCs w:val="21"/>
          <w:highlight w:val="none"/>
          <w:u w:val="none"/>
        </w:rPr>
        <w:t>：</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(签字)</w:t>
      </w:r>
    </w:p>
    <w:p>
      <w:pPr>
        <w:spacing w:before="159" w:line="378" w:lineRule="auto"/>
        <w:ind w:left="7" w:firstLine="2273" w:firstLineChars="997"/>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u w:val="single"/>
        </w:rPr>
        <w:tab/>
      </w:r>
      <w:r>
        <w:rPr>
          <w:rFonts w:hint="eastAsia" w:ascii="宋体" w:hAnsi="宋体" w:eastAsia="宋体" w:cs="宋体"/>
          <w:color w:val="auto"/>
          <w:spacing w:val="9"/>
          <w:sz w:val="21"/>
          <w:szCs w:val="21"/>
          <w:highlight w:val="none"/>
          <w:u w:val="single"/>
          <w:lang w:val="en-US" w:eastAsia="zh-CN"/>
        </w:rPr>
        <w:t xml:space="preserve">  </w:t>
      </w:r>
      <w:r>
        <w:rPr>
          <w:rFonts w:hint="eastAsia" w:ascii="宋体" w:hAnsi="宋体" w:eastAsia="宋体" w:cs="宋体"/>
          <w:color w:val="auto"/>
          <w:spacing w:val="9"/>
          <w:sz w:val="21"/>
          <w:szCs w:val="21"/>
          <w:highlight w:val="none"/>
        </w:rPr>
        <w:t xml:space="preserve">年 </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 xml:space="preserve">月 </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日</w:t>
      </w:r>
      <w:r>
        <w:rPr>
          <w:rFonts w:hint="eastAsia" w:ascii="宋体" w:hAnsi="宋体" w:eastAsia="宋体" w:cs="宋体"/>
          <w:color w:val="auto"/>
          <w:spacing w:val="9"/>
          <w:sz w:val="21"/>
          <w:szCs w:val="21"/>
          <w:highlight w:val="none"/>
          <w:lang w:val="en-US" w:eastAsia="zh-CN"/>
        </w:rPr>
        <w:t xml:space="preserve">                  </w:t>
      </w:r>
      <w:r>
        <w:rPr>
          <w:rFonts w:hint="eastAsia" w:ascii="宋体" w:hAnsi="宋体" w:eastAsia="宋体" w:cs="宋体"/>
          <w:color w:val="auto"/>
          <w:spacing w:val="9"/>
          <w:sz w:val="21"/>
          <w:szCs w:val="21"/>
          <w:highlight w:val="none"/>
          <w:u w:val="single"/>
          <w:lang w:val="en-US" w:eastAsia="zh-CN"/>
        </w:rPr>
        <w:t xml:space="preserve"> </w:t>
      </w:r>
      <w:r>
        <w:rPr>
          <w:rFonts w:hint="eastAsia" w:ascii="宋体" w:hAnsi="宋体" w:eastAsia="宋体" w:cs="宋体"/>
          <w:color w:val="auto"/>
          <w:spacing w:val="9"/>
          <w:sz w:val="21"/>
          <w:szCs w:val="21"/>
          <w:highlight w:val="none"/>
          <w:u w:val="single"/>
        </w:rPr>
        <w:tab/>
      </w:r>
      <w:r>
        <w:rPr>
          <w:rFonts w:hint="eastAsia" w:ascii="宋体" w:hAnsi="宋体" w:eastAsia="宋体" w:cs="宋体"/>
          <w:color w:val="auto"/>
          <w:spacing w:val="9"/>
          <w:sz w:val="21"/>
          <w:szCs w:val="21"/>
          <w:highlight w:val="none"/>
        </w:rPr>
        <w:t>年</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月</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日</w:t>
      </w:r>
    </w:p>
    <w:p>
      <w:pPr>
        <w:pStyle w:val="2"/>
        <w:ind w:left="0" w:leftChars="0" w:firstLine="0" w:firstLineChars="0"/>
        <w:jc w:val="left"/>
        <w:rPr>
          <w:rFonts w:hint="default" w:eastAsia="宋体"/>
          <w:color w:val="auto"/>
          <w:highlight w:val="none"/>
          <w:lang w:val="en-US" w:eastAsia="zh-CN"/>
        </w:rPr>
      </w:pPr>
      <w:r>
        <w:rPr>
          <w:rFonts w:hint="eastAsia"/>
          <w:color w:val="auto"/>
          <w:highlight w:val="none"/>
          <w:lang w:val="en-US" w:eastAsia="zh-CN"/>
        </w:rPr>
        <w:t>发包人监督单位：</w:t>
      </w:r>
      <w:r>
        <w:rPr>
          <w:rFonts w:hint="eastAsia"/>
          <w:color w:val="auto"/>
          <w:highlight w:val="none"/>
          <w:u w:val="single"/>
          <w:lang w:val="en-US" w:eastAsia="zh-CN"/>
        </w:rPr>
        <w:t>（全称）     （盖单位章）</w:t>
      </w:r>
      <w:r>
        <w:rPr>
          <w:rFonts w:hint="eastAsia"/>
          <w:color w:val="auto"/>
          <w:highlight w:val="none"/>
          <w:u w:val="none"/>
          <w:lang w:val="en-US" w:eastAsia="zh-CN"/>
        </w:rPr>
        <w:t xml:space="preserve">                   承包人监督单位:</w:t>
      </w:r>
      <w:r>
        <w:rPr>
          <w:rFonts w:hint="eastAsia"/>
          <w:color w:val="auto"/>
          <w:highlight w:val="none"/>
          <w:u w:val="single"/>
          <w:lang w:val="en-US" w:eastAsia="zh-CN"/>
        </w:rPr>
        <w:t>（全称）     （盖单位章）</w:t>
      </w:r>
      <w:r>
        <w:rPr>
          <w:rFonts w:hint="eastAsia"/>
          <w:color w:val="auto"/>
          <w:highlight w:val="none"/>
          <w:u w:val="none"/>
          <w:lang w:val="en-US" w:eastAsia="zh-CN"/>
        </w:rPr>
        <w:t xml:space="preserve">   </w:t>
      </w:r>
    </w:p>
    <w:p>
      <w:pPr>
        <w:pStyle w:val="2"/>
        <w:ind w:left="0" w:leftChars="0" w:firstLine="0" w:firstLineChars="0"/>
        <w:jc w:val="left"/>
        <w:rPr>
          <w:rFonts w:hint="eastAsia" w:ascii="宋体" w:hAnsi="宋体" w:eastAsia="宋体" w:cs="宋体"/>
          <w:color w:val="auto"/>
          <w:spacing w:val="6"/>
          <w:sz w:val="21"/>
          <w:szCs w:val="21"/>
          <w:highlight w:val="none"/>
        </w:rPr>
      </w:pPr>
    </w:p>
    <w:p>
      <w:pPr>
        <w:rPr>
          <w:rFonts w:hint="eastAsia" w:ascii="宋体" w:hAnsi="宋体" w:eastAsia="宋体" w:cs="宋体"/>
          <w:color w:val="auto"/>
          <w:sz w:val="21"/>
          <w:szCs w:val="21"/>
          <w:highlight w:val="none"/>
        </w:rPr>
      </w:pPr>
    </w:p>
    <w:p>
      <w:pPr>
        <w:rPr>
          <w:rFonts w:hint="eastAsia" w:ascii="宋体" w:hAnsi="宋体" w:eastAsia="宋体" w:cs="宋体"/>
          <w:color w:val="auto"/>
          <w:sz w:val="21"/>
          <w:szCs w:val="21"/>
          <w:highlight w:val="none"/>
        </w:rPr>
        <w:sectPr>
          <w:pgSz w:w="11900" w:h="16840"/>
          <w:pgMar w:top="1160" w:right="1351" w:bottom="1448" w:left="1363" w:header="883" w:footer="1234" w:gutter="0"/>
          <w:pgNumType w:fmt="decimal"/>
          <w:cols w:equalWidth="0" w:num="1">
            <w:col w:w="9185"/>
          </w:cols>
        </w:sectPr>
      </w:pPr>
    </w:p>
    <w:p>
      <w:pPr>
        <w:rPr>
          <w:rFonts w:hint="eastAsia" w:ascii="宋体" w:hAnsi="宋体" w:eastAsia="宋体" w:cs="宋体"/>
          <w:color w:val="auto"/>
          <w:sz w:val="21"/>
          <w:szCs w:val="21"/>
          <w:highlight w:val="none"/>
        </w:rPr>
        <w:sectPr>
          <w:headerReference r:id="rId11" w:type="default"/>
          <w:footerReference r:id="rId12" w:type="default"/>
          <w:type w:val="continuous"/>
          <w:pgSz w:w="11900" w:h="16840"/>
          <w:pgMar w:top="1160" w:right="1351" w:bottom="1448" w:left="1363" w:header="883" w:footer="1234" w:gutter="0"/>
          <w:pgNumType w:fmt="decimal"/>
          <w:cols w:equalWidth="0" w:num="2">
            <w:col w:w="4176" w:space="100"/>
            <w:col w:w="4910"/>
          </w:cols>
        </w:sectPr>
      </w:pPr>
    </w:p>
    <w:p>
      <w:pPr>
        <w:spacing w:before="313" w:line="220" w:lineRule="auto"/>
        <w:ind w:left="30"/>
        <w:outlineLvl w:val="2"/>
        <w:rPr>
          <w:rFonts w:hint="eastAsia" w:ascii="宋体" w:hAnsi="宋体" w:eastAsia="宋体" w:cs="宋体"/>
          <w:color w:val="auto"/>
          <w:sz w:val="28"/>
          <w:szCs w:val="28"/>
          <w:highlight w:val="none"/>
        </w:rPr>
      </w:pPr>
      <w:bookmarkStart w:id="592" w:name="_bookmark133"/>
      <w:bookmarkEnd w:id="592"/>
      <w:bookmarkStart w:id="593" w:name="_bookmark134"/>
      <w:bookmarkEnd w:id="593"/>
      <w:bookmarkStart w:id="594" w:name="_Toc4619"/>
      <w:r>
        <w:rPr>
          <w:rFonts w:hint="eastAsia" w:ascii="宋体" w:hAnsi="宋体" w:eastAsia="宋体" w:cs="宋体"/>
          <w:color w:val="auto"/>
          <w:spacing w:val="-4"/>
          <w:sz w:val="28"/>
          <w:szCs w:val="28"/>
          <w:highlight w:val="none"/>
        </w:rPr>
        <w:t xml:space="preserve">附件三 </w:t>
      </w:r>
      <w:r>
        <w:rPr>
          <w:rFonts w:hint="eastAsia" w:ascii="宋体" w:hAnsi="宋体" w:eastAsia="宋体" w:cs="宋体"/>
          <w:color w:val="auto"/>
          <w:spacing w:val="-3"/>
          <w:sz w:val="28"/>
          <w:szCs w:val="28"/>
          <w:highlight w:val="none"/>
        </w:rPr>
        <w:t xml:space="preserve"> </w:t>
      </w:r>
      <w:r>
        <w:rPr>
          <w:rFonts w:hint="eastAsia" w:ascii="宋体" w:hAnsi="宋体" w:eastAsia="宋体" w:cs="宋体"/>
          <w:color w:val="auto"/>
          <w:spacing w:val="-2"/>
          <w:sz w:val="28"/>
          <w:szCs w:val="28"/>
          <w:highlight w:val="none"/>
        </w:rPr>
        <w:t>安全生产合同</w:t>
      </w:r>
      <w:bookmarkEnd w:id="594"/>
    </w:p>
    <w:p>
      <w:pPr>
        <w:spacing w:before="208" w:line="222" w:lineRule="auto"/>
        <w:ind w:left="3770"/>
        <w:rPr>
          <w:rFonts w:hint="eastAsia" w:ascii="宋体" w:hAnsi="宋体" w:eastAsia="宋体" w:cs="宋体"/>
          <w:color w:val="auto"/>
          <w:sz w:val="28"/>
          <w:szCs w:val="28"/>
          <w:highlight w:val="none"/>
        </w:rPr>
      </w:pPr>
      <w:r>
        <w:rPr>
          <w:rFonts w:hint="eastAsia" w:ascii="宋体" w:hAnsi="宋体" w:eastAsia="宋体" w:cs="宋体"/>
          <w:color w:val="auto"/>
          <w:spacing w:val="-6"/>
          <w:sz w:val="28"/>
          <w:szCs w:val="28"/>
          <w:highlight w:val="none"/>
        </w:rPr>
        <w:t>安</w:t>
      </w:r>
      <w:r>
        <w:rPr>
          <w:rFonts w:hint="eastAsia" w:ascii="宋体" w:hAnsi="宋体" w:eastAsia="宋体" w:cs="宋体"/>
          <w:color w:val="auto"/>
          <w:spacing w:val="-4"/>
          <w:sz w:val="28"/>
          <w:szCs w:val="28"/>
          <w:highlight w:val="none"/>
        </w:rPr>
        <w:t>全</w:t>
      </w:r>
      <w:r>
        <w:rPr>
          <w:rFonts w:hint="eastAsia" w:ascii="宋体" w:hAnsi="宋体" w:eastAsia="宋体" w:cs="宋体"/>
          <w:color w:val="auto"/>
          <w:spacing w:val="-3"/>
          <w:sz w:val="28"/>
          <w:szCs w:val="28"/>
          <w:highlight w:val="none"/>
        </w:rPr>
        <w:t>生产合同</w:t>
      </w:r>
    </w:p>
    <w:p>
      <w:pPr>
        <w:spacing w:line="292" w:lineRule="auto"/>
        <w:rPr>
          <w:rFonts w:ascii="Arial"/>
          <w:color w:val="auto"/>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360" w:lineRule="auto"/>
        <w:ind w:right="69"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为在</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(项目名称)</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标段施工合同的实施过程中创造安全、高效的施工环境，切实搞好本项目的安全管理工作，本项目发包人</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 xml:space="preserve"> (发包人名称， 以下简称“发包人”) 与承包人</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(承包人名称， 以下简称“承包人”)特此签订安全生产合同：</w:t>
      </w:r>
    </w:p>
    <w:p>
      <w:pPr>
        <w:keepNext w:val="0"/>
        <w:keepLines w:val="0"/>
        <w:pageBreakBefore w:val="0"/>
        <w:widowControl/>
        <w:kinsoku w:val="0"/>
        <w:wordWrap/>
        <w:overflowPunct/>
        <w:topLinePunct w:val="0"/>
        <w:autoSpaceDE w:val="0"/>
        <w:autoSpaceDN w:val="0"/>
        <w:bidi w:val="0"/>
        <w:adjustRightInd w:val="0"/>
        <w:snapToGrid w:val="0"/>
        <w:spacing w:before="28" w:line="360" w:lineRule="auto"/>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发包人职责</w:t>
      </w:r>
    </w:p>
    <w:p>
      <w:pPr>
        <w:keepNext w:val="0"/>
        <w:keepLines w:val="0"/>
        <w:pageBreakBefore w:val="0"/>
        <w:widowControl/>
        <w:kinsoku w:val="0"/>
        <w:wordWrap/>
        <w:overflowPunct/>
        <w:topLinePunct w:val="0"/>
        <w:autoSpaceDE w:val="0"/>
        <w:autoSpaceDN w:val="0"/>
        <w:bidi w:val="0"/>
        <w:adjustRightInd w:val="0"/>
        <w:snapToGrid w:val="0"/>
        <w:spacing w:before="135" w:line="360" w:lineRule="auto"/>
        <w:ind w:left="42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(1)严格遵守国家有关安全生产的法律法规， 认真执行工程承包合同中的有关安全要求。</w:t>
      </w:r>
    </w:p>
    <w:p>
      <w:pPr>
        <w:keepNext w:val="0"/>
        <w:keepLines w:val="0"/>
        <w:pageBreakBefore w:val="0"/>
        <w:widowControl/>
        <w:kinsoku w:val="0"/>
        <w:wordWrap/>
        <w:overflowPunct/>
        <w:topLinePunct w:val="0"/>
        <w:autoSpaceDE w:val="0"/>
        <w:autoSpaceDN w:val="0"/>
        <w:bidi w:val="0"/>
        <w:adjustRightInd w:val="0"/>
        <w:snapToGrid w:val="0"/>
        <w:spacing w:before="133" w:line="360" w:lineRule="auto"/>
        <w:ind w:right="66"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(2)安全生产工作应当以人为本，坚持人民至上、生命至上，把保护人民生命安全摆在首位，树牢 安全发展理念，坚持安全第一、预防为主、综合治理的方针，从源头上防范化解重大安全风险。做到生产与安全工作同时计划、布置、检查、总结和评比。</w:t>
      </w:r>
    </w:p>
    <w:p>
      <w:pPr>
        <w:keepNext w:val="0"/>
        <w:keepLines w:val="0"/>
        <w:pageBreakBefore w:val="0"/>
        <w:widowControl/>
        <w:kinsoku w:val="0"/>
        <w:wordWrap/>
        <w:overflowPunct/>
        <w:topLinePunct w:val="0"/>
        <w:autoSpaceDE w:val="0"/>
        <w:autoSpaceDN w:val="0"/>
        <w:bidi w:val="0"/>
        <w:adjustRightInd w:val="0"/>
        <w:snapToGrid w:val="0"/>
        <w:spacing w:before="1"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(3)重要的安全设施必须坚持与主体工程“三同时”的原则，即：新建、改建、扩建工程项目的安全设施，必须与主体工程同时设计、同时施工、同时投入生产和使用。安全设施投资应当纳入项目概算。</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(4)定期召开安全生产调度会，及时传达中央及地方有关安全生产的精神。</w:t>
      </w:r>
    </w:p>
    <w:p>
      <w:pPr>
        <w:keepNext w:val="0"/>
        <w:keepLines w:val="0"/>
        <w:pageBreakBefore w:val="0"/>
        <w:widowControl/>
        <w:kinsoku w:val="0"/>
        <w:wordWrap/>
        <w:overflowPunct/>
        <w:topLinePunct w:val="0"/>
        <w:autoSpaceDE w:val="0"/>
        <w:autoSpaceDN w:val="0"/>
        <w:bidi w:val="0"/>
        <w:adjustRightInd w:val="0"/>
        <w:snapToGrid w:val="0"/>
        <w:spacing w:before="133" w:line="360" w:lineRule="auto"/>
        <w:ind w:right="66"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(5)发包人对安全生产承担全面管理责任</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督促承包人加强安全生产管理,按照规定要求开展施工 安全总体风险评估和安全生产条件检查以及日常检查,发现生产安全事故隐患的,及时组织整改。</w:t>
      </w:r>
    </w:p>
    <w:p>
      <w:pPr>
        <w:keepNext w:val="0"/>
        <w:keepLines w:val="0"/>
        <w:pageBreakBefore w:val="0"/>
        <w:widowControl/>
        <w:kinsoku w:val="0"/>
        <w:wordWrap/>
        <w:overflowPunct/>
        <w:topLinePunct w:val="0"/>
        <w:autoSpaceDE w:val="0"/>
        <w:autoSpaceDN w:val="0"/>
        <w:bidi w:val="0"/>
        <w:adjustRightInd w:val="0"/>
        <w:snapToGrid w:val="0"/>
        <w:spacing w:before="2" w:line="360" w:lineRule="auto"/>
        <w:ind w:right="64"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(6)若项目为 PPP 建设管理模式的，项目实施机构必须设置安全生产管理机构，配备专职安全生 产管理人员，加强对项目公司安全生产管理监督考核。项目公司对项目安全生产负总责，加强安全生 产管理，督促承包人做好安全生产工作。</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69"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(7)两个以上承包人在同一作业区域内进行施工作业，可能危及对方生产安全的，发包人应当牵头 协调承包人签订安全生产管理协议。</w:t>
      </w:r>
    </w:p>
    <w:p>
      <w:pPr>
        <w:keepNext w:val="0"/>
        <w:keepLines w:val="0"/>
        <w:pageBreakBefore w:val="0"/>
        <w:widowControl/>
        <w:kinsoku w:val="0"/>
        <w:wordWrap/>
        <w:overflowPunct/>
        <w:topLinePunct w:val="0"/>
        <w:autoSpaceDE w:val="0"/>
        <w:autoSpaceDN w:val="0"/>
        <w:bidi w:val="0"/>
        <w:adjustRightInd w:val="0"/>
        <w:snapToGrid w:val="0"/>
        <w:spacing w:before="12" w:line="360" w:lineRule="auto"/>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2.承包人职责</w:t>
      </w:r>
    </w:p>
    <w:p>
      <w:pPr>
        <w:keepNext w:val="0"/>
        <w:keepLines w:val="0"/>
        <w:pageBreakBefore w:val="0"/>
        <w:widowControl/>
        <w:kinsoku w:val="0"/>
        <w:wordWrap/>
        <w:overflowPunct/>
        <w:topLinePunct w:val="0"/>
        <w:autoSpaceDE w:val="0"/>
        <w:autoSpaceDN w:val="0"/>
        <w:bidi w:val="0"/>
        <w:adjustRightInd w:val="0"/>
        <w:snapToGrid w:val="0"/>
        <w:spacing w:before="136" w:line="360" w:lineRule="auto"/>
        <w:ind w:right="48"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(1)严格遵守《中华人民共和国安全生产法》、《建设工程安全生产管理条例》等国家有关安全生产的法律法规</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《公路水运工程安全生产监督管理办法》、《公路工程施工安全技术规范》、《公路 筑养路机械操作规程》和《浙江省交通建设工程质量和安全生产管理条例》等有关安全生产的规定。 认真执行工程承包合同中的有关安全要求。</w:t>
      </w:r>
    </w:p>
    <w:p>
      <w:pPr>
        <w:keepNext w:val="0"/>
        <w:keepLines w:val="0"/>
        <w:pageBreakBefore w:val="0"/>
        <w:widowControl/>
        <w:kinsoku w:val="0"/>
        <w:wordWrap/>
        <w:overflowPunct/>
        <w:topLinePunct w:val="0"/>
        <w:autoSpaceDE w:val="0"/>
        <w:autoSpaceDN w:val="0"/>
        <w:bidi w:val="0"/>
        <w:adjustRightInd w:val="0"/>
        <w:snapToGrid w:val="0"/>
        <w:spacing w:before="1" w:line="360" w:lineRule="auto"/>
        <w:ind w:right="13"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坚持“安全第一、预防为主、综合治理”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pPr>
        <w:keepNext w:val="0"/>
        <w:keepLines w:val="0"/>
        <w:pageBreakBefore w:val="0"/>
        <w:widowControl/>
        <w:kinsoku w:val="0"/>
        <w:wordWrap/>
        <w:overflowPunct/>
        <w:topLinePunct w:val="0"/>
        <w:autoSpaceDE w:val="0"/>
        <w:autoSpaceDN w:val="0"/>
        <w:bidi w:val="0"/>
        <w:adjustRightInd w:val="0"/>
        <w:snapToGrid w:val="0"/>
        <w:spacing w:before="1" w:line="360" w:lineRule="auto"/>
        <w:ind w:right="13"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(3)建立健全安全生产责任制。从派往项目实施的项目经理到生产工人(包括临时雇请的民工)的安 全生产管理系统必须做到纵向到底，一环不漏；各职能部门、人员的安全生产责任制做到横向到边，人人有责。项目经理是安全生产的第一责任人。现场设置的安全机构，应按《公路水运工程安全生产 监督管理办法》、《浙江省交通建设工程质量和安全生产监督工作实施办法》、《浙江省交通运输厅 关于进一步加强全省交通建设工程安全生产管理工作的若干规定》、《省交通运输厅安委办关于印发 &lt;浙江省交通建设工程施工安全十条规定&gt;的通知》规定的最低数量和资质条件配备专职安全生产管理 人员，专职负责所有员工的安全和治安保卫工作及预防事故的发生。安全机构人员有权按有关规定发 布指令，并采取保护性措施防止事故发生。</w:t>
      </w:r>
    </w:p>
    <w:p>
      <w:pPr>
        <w:keepNext w:val="0"/>
        <w:keepLines w:val="0"/>
        <w:pageBreakBefore w:val="0"/>
        <w:widowControl/>
        <w:kinsoku w:val="0"/>
        <w:wordWrap/>
        <w:overflowPunct/>
        <w:topLinePunct w:val="0"/>
        <w:autoSpaceDE w:val="0"/>
        <w:autoSpaceDN w:val="0"/>
        <w:bidi w:val="0"/>
        <w:adjustRightInd w:val="0"/>
        <w:snapToGrid w:val="0"/>
        <w:spacing w:before="1" w:line="360" w:lineRule="auto"/>
        <w:ind w:right="66"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(4)承包人在任何时候都应采取各种合理的预防措施，防止其员工发生任何违法、违禁、暴力或妨 碍治安的行为。</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承包人必须按国家有关规定取得安全生产许可证。施工作业人员必须按规定接受安全教育培训，未经安全生产教育和培训合格的施工作业人员，不得上岗作业。电工、焊工、架子工等特种作业人员，以及特种设备作业人员必须按照国家有关规定经专门的安全作业培训，取得相应资格，方可上岗作业。</w:t>
      </w:r>
    </w:p>
    <w:p>
      <w:pPr>
        <w:keepNext w:val="0"/>
        <w:keepLines w:val="0"/>
        <w:pageBreakBefore w:val="0"/>
        <w:widowControl/>
        <w:kinsoku w:val="0"/>
        <w:wordWrap/>
        <w:overflowPunct/>
        <w:topLinePunct w:val="0"/>
        <w:autoSpaceDE w:val="0"/>
        <w:autoSpaceDN w:val="0"/>
        <w:bidi w:val="0"/>
        <w:adjustRightInd w:val="0"/>
        <w:snapToGrid w:val="0"/>
        <w:spacing w:before="130" w:line="360" w:lineRule="auto"/>
        <w:ind w:right="66"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(6)对于易燃易爆的材料除应专门妥善保管之外，还应配备有足够的消防设施</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所有施工人员都应 熟悉消防设备的性能和使用方法；承包人不得将任何种类的爆炸物给予、易货或以其他方式转让给任 何其他人，或允许、容忍上述同样行为。</w:t>
      </w:r>
    </w:p>
    <w:p>
      <w:pPr>
        <w:keepNext w:val="0"/>
        <w:keepLines w:val="0"/>
        <w:pageBreakBefore w:val="0"/>
        <w:widowControl/>
        <w:kinsoku w:val="0"/>
        <w:wordWrap/>
        <w:overflowPunct/>
        <w:topLinePunct w:val="0"/>
        <w:autoSpaceDE w:val="0"/>
        <w:autoSpaceDN w:val="0"/>
        <w:bidi w:val="0"/>
        <w:adjustRightInd w:val="0"/>
        <w:snapToGrid w:val="0"/>
        <w:spacing w:before="1" w:line="360" w:lineRule="auto"/>
        <w:ind w:right="69"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(7)操作人员上岗，必须按规定穿戴防护用品。施工负责人和安全检查员应随时检查劳动防护用品 的穿戴情况，不按规定穿戴防护用品的人员不得上岗。</w:t>
      </w:r>
    </w:p>
    <w:p>
      <w:pPr>
        <w:keepNext w:val="0"/>
        <w:keepLines w:val="0"/>
        <w:pageBreakBefore w:val="0"/>
        <w:widowControl/>
        <w:kinsoku w:val="0"/>
        <w:wordWrap/>
        <w:overflowPunct/>
        <w:topLinePunct w:val="0"/>
        <w:autoSpaceDE w:val="0"/>
        <w:autoSpaceDN w:val="0"/>
        <w:bidi w:val="0"/>
        <w:adjustRightInd w:val="0"/>
        <w:snapToGrid w:val="0"/>
        <w:spacing w:before="1" w:line="360" w:lineRule="auto"/>
        <w:ind w:right="69"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(8)所有施工机具设备和高空作业的设备均应定期检查，并有安全员的签字记录，保证其经常处于 完好状态；不合格的机具、设备和劳动保护用品严禁使用。</w:t>
      </w:r>
    </w:p>
    <w:p>
      <w:pPr>
        <w:keepNext w:val="0"/>
        <w:keepLines w:val="0"/>
        <w:pageBreakBefore w:val="0"/>
        <w:widowControl/>
        <w:kinsoku w:val="0"/>
        <w:wordWrap/>
        <w:overflowPunct/>
        <w:topLinePunct w:val="0"/>
        <w:autoSpaceDE w:val="0"/>
        <w:autoSpaceDN w:val="0"/>
        <w:bidi w:val="0"/>
        <w:adjustRightInd w:val="0"/>
        <w:snapToGrid w:val="0"/>
        <w:spacing w:before="1" w:line="360" w:lineRule="auto"/>
        <w:ind w:right="66"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(9)施工中采用新技术、新工艺、新设备、新材料时，必须制定相应的安全技术措施，施工现场必 须具有相关的安全标志牌。</w:t>
      </w:r>
    </w:p>
    <w:p>
      <w:pPr>
        <w:keepNext w:val="0"/>
        <w:keepLines w:val="0"/>
        <w:pageBreakBefore w:val="0"/>
        <w:widowControl/>
        <w:kinsoku w:val="0"/>
        <w:wordWrap/>
        <w:overflowPunct/>
        <w:topLinePunct w:val="0"/>
        <w:autoSpaceDE w:val="0"/>
        <w:autoSpaceDN w:val="0"/>
        <w:bidi w:val="0"/>
        <w:adjustRightInd w:val="0"/>
        <w:snapToGrid w:val="0"/>
        <w:spacing w:before="1"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(10)承包人必须按照本工程项目特点，组织制定本工程实施中的生产安全事故应急救援预案；如 果发生安全事故，应按照《生产安全事故报告和调查处理条例》、《浙江省生产安全事故报告和调查处理规定》以及其他有关规定，及时上报有关部门，并坚持“四不放过”的原则，严肃处理相关责任人。</w:t>
      </w:r>
    </w:p>
    <w:p>
      <w:pPr>
        <w:keepNext w:val="0"/>
        <w:keepLines w:val="0"/>
        <w:pageBreakBefore w:val="0"/>
        <w:widowControl/>
        <w:kinsoku w:val="0"/>
        <w:wordWrap/>
        <w:overflowPunct/>
        <w:topLinePunct w:val="0"/>
        <w:autoSpaceDE w:val="0"/>
        <w:autoSpaceDN w:val="0"/>
        <w:bidi w:val="0"/>
        <w:adjustRightInd w:val="0"/>
        <w:snapToGrid w:val="0"/>
        <w:spacing w:before="1" w:line="360" w:lineRule="auto"/>
        <w:ind w:right="74"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(11)安全生产费用按照《浙江省交通建设工程安全生产费用管理办法》的相关要求以及相关最新 规定使用和管理。</w:t>
      </w:r>
    </w:p>
    <w:p>
      <w:pPr>
        <w:keepNext w:val="0"/>
        <w:keepLines w:val="0"/>
        <w:pageBreakBefore w:val="0"/>
        <w:widowControl/>
        <w:kinsoku w:val="0"/>
        <w:wordWrap/>
        <w:overflowPunct/>
        <w:topLinePunct w:val="0"/>
        <w:autoSpaceDE w:val="0"/>
        <w:autoSpaceDN w:val="0"/>
        <w:bidi w:val="0"/>
        <w:adjustRightInd w:val="0"/>
        <w:snapToGrid w:val="0"/>
        <w:spacing w:before="14" w:line="360" w:lineRule="auto"/>
        <w:ind w:right="81"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(12)承包人在施工期间应当服从发包人及交通等行业主管部门的监督、检查、指令，并积极做好相关配合工作。</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3.违约责任</w:t>
      </w:r>
    </w:p>
    <w:p>
      <w:pPr>
        <w:keepNext w:val="0"/>
        <w:keepLines w:val="0"/>
        <w:pageBreakBefore w:val="0"/>
        <w:widowControl/>
        <w:kinsoku w:val="0"/>
        <w:wordWrap/>
        <w:overflowPunct/>
        <w:topLinePunct w:val="0"/>
        <w:autoSpaceDE w:val="0"/>
        <w:autoSpaceDN w:val="0"/>
        <w:bidi w:val="0"/>
        <w:adjustRightInd w:val="0"/>
        <w:snapToGrid w:val="0"/>
        <w:spacing w:before="164" w:line="360" w:lineRule="auto"/>
        <w:ind w:left="42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如因发包人或承包人违约造成安全事故，将依法追究责任。</w:t>
      </w:r>
    </w:p>
    <w:p>
      <w:pPr>
        <w:keepNext w:val="0"/>
        <w:keepLines w:val="0"/>
        <w:pageBreakBefore w:val="0"/>
        <w:widowControl/>
        <w:kinsoku w:val="0"/>
        <w:wordWrap/>
        <w:overflowPunct/>
        <w:topLinePunct w:val="0"/>
        <w:autoSpaceDE w:val="0"/>
        <w:autoSpaceDN w:val="0"/>
        <w:bidi w:val="0"/>
        <w:adjustRightInd w:val="0"/>
        <w:snapToGrid w:val="0"/>
        <w:spacing w:before="163" w:line="360" w:lineRule="auto"/>
        <w:ind w:right="6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lang w:val="en-US" w:eastAsia="zh-CN"/>
        </w:rPr>
        <w:t>4</w:t>
      </w:r>
      <w:r>
        <w:rPr>
          <w:rFonts w:hint="eastAsia" w:ascii="宋体" w:hAnsi="宋体" w:eastAsia="宋体" w:cs="宋体"/>
          <w:color w:val="auto"/>
          <w:spacing w:val="0"/>
          <w:position w:val="0"/>
          <w:sz w:val="21"/>
          <w:szCs w:val="21"/>
          <w:highlight w:val="none"/>
        </w:rPr>
        <w:t>.本合同由双方法定代表人或其授权的代理人签署并加盖单位章后生效，全部工程竣工验收后失效。</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7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5.本合同正本二份、副本</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份，合同双方各执正本一份，副本</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 xml:space="preserve"> 份，当正本与副本的内容 不一致时，以正本为准。</w:t>
      </w:r>
    </w:p>
    <w:p>
      <w:pPr>
        <w:pStyle w:val="2"/>
        <w:keepNext w:val="0"/>
        <w:keepLines w:val="0"/>
        <w:pageBreakBefore w:val="0"/>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pacing w:val="0"/>
          <w:position w:val="0"/>
          <w:sz w:val="21"/>
          <w:szCs w:val="21"/>
          <w:highlight w:val="none"/>
        </w:rPr>
      </w:pPr>
    </w:p>
    <w:p>
      <w:pPr>
        <w:pStyle w:val="2"/>
        <w:keepNext w:val="0"/>
        <w:keepLines w:val="0"/>
        <w:pageBreakBefore w:val="0"/>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pacing w:val="6"/>
          <w:sz w:val="21"/>
          <w:szCs w:val="21"/>
          <w:highlight w:val="none"/>
        </w:rPr>
      </w:pPr>
    </w:p>
    <w:p>
      <w:pPr>
        <w:pStyle w:val="2"/>
        <w:rPr>
          <w:rFonts w:hint="eastAsia" w:ascii="宋体" w:hAnsi="宋体" w:eastAsia="宋体" w:cs="宋体"/>
          <w:color w:val="auto"/>
          <w:spacing w:val="6"/>
          <w:sz w:val="21"/>
          <w:szCs w:val="21"/>
          <w:highlight w:val="none"/>
        </w:rPr>
      </w:pPr>
    </w:p>
    <w:p>
      <w:pPr>
        <w:spacing w:before="159" w:line="378" w:lineRule="auto"/>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发包人：</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 xml:space="preserve">(盖单位章) </w:t>
      </w:r>
      <w:r>
        <w:rPr>
          <w:rFonts w:hint="eastAsia" w:ascii="宋体" w:hAnsi="宋体" w:eastAsia="宋体" w:cs="宋体"/>
          <w:color w:val="auto"/>
          <w:spacing w:val="9"/>
          <w:sz w:val="21"/>
          <w:szCs w:val="21"/>
          <w:highlight w:val="none"/>
          <w:lang w:val="en-US" w:eastAsia="zh-CN"/>
        </w:rPr>
        <w:t xml:space="preserve">        </w:t>
      </w:r>
      <w:r>
        <w:rPr>
          <w:rFonts w:hint="eastAsia" w:ascii="宋体" w:hAnsi="宋体" w:eastAsia="宋体" w:cs="宋体"/>
          <w:color w:val="auto"/>
          <w:spacing w:val="9"/>
          <w:sz w:val="21"/>
          <w:szCs w:val="21"/>
          <w:highlight w:val="none"/>
        </w:rPr>
        <w:t>承包人：</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(盖单位章)</w:t>
      </w:r>
    </w:p>
    <w:p>
      <w:pPr>
        <w:spacing w:before="159" w:line="378" w:lineRule="auto"/>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法定代表人或其委托代理人：</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(签字)</w:t>
      </w:r>
      <w:r>
        <w:rPr>
          <w:rFonts w:hint="eastAsia" w:ascii="宋体" w:hAnsi="宋体" w:eastAsia="宋体" w:cs="宋体"/>
          <w:color w:val="auto"/>
          <w:spacing w:val="9"/>
          <w:sz w:val="21"/>
          <w:szCs w:val="21"/>
          <w:highlight w:val="none"/>
          <w:lang w:val="en-US" w:eastAsia="zh-CN"/>
        </w:rPr>
        <w:t xml:space="preserve">       </w:t>
      </w:r>
      <w:r>
        <w:rPr>
          <w:rFonts w:hint="eastAsia" w:ascii="宋体" w:hAnsi="宋体" w:eastAsia="宋体" w:cs="宋体"/>
          <w:color w:val="auto"/>
          <w:spacing w:val="9"/>
          <w:sz w:val="21"/>
          <w:szCs w:val="21"/>
          <w:highlight w:val="none"/>
        </w:rPr>
        <w:t>法定代表人或其委托代理人</w:t>
      </w:r>
      <w:r>
        <w:rPr>
          <w:rFonts w:hint="eastAsia" w:ascii="宋体" w:hAnsi="宋体" w:eastAsia="宋体" w:cs="宋体"/>
          <w:color w:val="auto"/>
          <w:spacing w:val="9"/>
          <w:sz w:val="21"/>
          <w:szCs w:val="21"/>
          <w:highlight w:val="none"/>
          <w:u w:val="none"/>
        </w:rPr>
        <w:t>：</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(签字)</w:t>
      </w:r>
    </w:p>
    <w:p>
      <w:pPr>
        <w:spacing w:before="159" w:line="378" w:lineRule="auto"/>
        <w:ind w:left="7" w:firstLine="2273" w:firstLineChars="997"/>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u w:val="single"/>
        </w:rPr>
        <w:tab/>
      </w:r>
      <w:r>
        <w:rPr>
          <w:rFonts w:hint="eastAsia" w:ascii="宋体" w:hAnsi="宋体" w:eastAsia="宋体" w:cs="宋体"/>
          <w:color w:val="auto"/>
          <w:spacing w:val="9"/>
          <w:sz w:val="21"/>
          <w:szCs w:val="21"/>
          <w:highlight w:val="none"/>
          <w:u w:val="single"/>
          <w:lang w:val="en-US" w:eastAsia="zh-CN"/>
        </w:rPr>
        <w:t xml:space="preserve">  </w:t>
      </w:r>
      <w:r>
        <w:rPr>
          <w:rFonts w:hint="eastAsia" w:ascii="宋体" w:hAnsi="宋体" w:eastAsia="宋体" w:cs="宋体"/>
          <w:color w:val="auto"/>
          <w:spacing w:val="9"/>
          <w:sz w:val="21"/>
          <w:szCs w:val="21"/>
          <w:highlight w:val="none"/>
        </w:rPr>
        <w:t xml:space="preserve">年 </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 xml:space="preserve">月 </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日</w:t>
      </w:r>
      <w:r>
        <w:rPr>
          <w:rFonts w:hint="eastAsia" w:ascii="宋体" w:hAnsi="宋体" w:eastAsia="宋体" w:cs="宋体"/>
          <w:color w:val="auto"/>
          <w:spacing w:val="9"/>
          <w:sz w:val="21"/>
          <w:szCs w:val="21"/>
          <w:highlight w:val="none"/>
          <w:lang w:val="en-US" w:eastAsia="zh-CN"/>
        </w:rPr>
        <w:t xml:space="preserve">                  </w:t>
      </w:r>
      <w:r>
        <w:rPr>
          <w:rFonts w:hint="eastAsia" w:ascii="宋体" w:hAnsi="宋体" w:eastAsia="宋体" w:cs="宋体"/>
          <w:color w:val="auto"/>
          <w:spacing w:val="9"/>
          <w:sz w:val="21"/>
          <w:szCs w:val="21"/>
          <w:highlight w:val="none"/>
          <w:u w:val="single"/>
          <w:lang w:val="en-US" w:eastAsia="zh-CN"/>
        </w:rPr>
        <w:t xml:space="preserve"> </w:t>
      </w:r>
      <w:r>
        <w:rPr>
          <w:rFonts w:hint="eastAsia" w:ascii="宋体" w:hAnsi="宋体" w:eastAsia="宋体" w:cs="宋体"/>
          <w:color w:val="auto"/>
          <w:spacing w:val="9"/>
          <w:sz w:val="21"/>
          <w:szCs w:val="21"/>
          <w:highlight w:val="none"/>
          <w:u w:val="single"/>
        </w:rPr>
        <w:tab/>
      </w:r>
      <w:r>
        <w:rPr>
          <w:rFonts w:hint="eastAsia" w:ascii="宋体" w:hAnsi="宋体" w:eastAsia="宋体" w:cs="宋体"/>
          <w:color w:val="auto"/>
          <w:spacing w:val="9"/>
          <w:sz w:val="21"/>
          <w:szCs w:val="21"/>
          <w:highlight w:val="none"/>
        </w:rPr>
        <w:t>年</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月</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日</w:t>
      </w:r>
    </w:p>
    <w:p>
      <w:pPr>
        <w:pStyle w:val="2"/>
        <w:ind w:left="0" w:leftChars="0" w:firstLine="0" w:firstLineChars="0"/>
        <w:jc w:val="left"/>
        <w:rPr>
          <w:rFonts w:hint="eastAsia" w:ascii="宋体" w:hAnsi="宋体" w:eastAsia="宋体" w:cs="宋体"/>
          <w:color w:val="auto"/>
          <w:spacing w:val="6"/>
          <w:sz w:val="21"/>
          <w:szCs w:val="21"/>
          <w:highlight w:val="none"/>
          <w:lang w:val="en-US" w:eastAsia="zh-CN"/>
        </w:rPr>
      </w:pPr>
    </w:p>
    <w:p>
      <w:pPr>
        <w:pStyle w:val="2"/>
        <w:ind w:left="0" w:leftChars="0" w:firstLine="0" w:firstLineChars="0"/>
        <w:rPr>
          <w:rFonts w:hint="eastAsia"/>
          <w:color w:val="auto"/>
          <w:highlight w:val="none"/>
        </w:rPr>
        <w:sectPr>
          <w:pgSz w:w="11900" w:h="16840"/>
          <w:pgMar w:top="1160" w:right="1174" w:bottom="1448" w:left="1191" w:header="883" w:footer="1234" w:gutter="0"/>
          <w:pgNumType w:fmt="decimal"/>
          <w:cols w:space="720" w:num="1"/>
        </w:sectPr>
      </w:pPr>
    </w:p>
    <w:p>
      <w:pPr>
        <w:spacing w:line="386" w:lineRule="auto"/>
        <w:ind w:right="71"/>
        <w:rPr>
          <w:color w:val="auto"/>
          <w:highlight w:val="none"/>
        </w:rPr>
        <w:sectPr>
          <w:headerReference r:id="rId13" w:type="default"/>
          <w:footerReference r:id="rId14" w:type="default"/>
          <w:type w:val="continuous"/>
          <w:pgSz w:w="11900" w:h="16840"/>
          <w:pgMar w:top="1160" w:right="1354" w:bottom="1448" w:left="1363" w:header="883" w:footer="1234" w:gutter="0"/>
          <w:pgNumType w:fmt="decimal"/>
          <w:cols w:equalWidth="0" w:num="2">
            <w:col w:w="4245" w:space="100"/>
            <w:col w:w="4838"/>
          </w:cols>
        </w:sectPr>
      </w:pPr>
    </w:p>
    <w:p>
      <w:pPr>
        <w:keepNext w:val="0"/>
        <w:keepLines w:val="0"/>
        <w:pageBreakBefore w:val="0"/>
        <w:widowControl/>
        <w:kinsoku w:val="0"/>
        <w:wordWrap/>
        <w:overflowPunct/>
        <w:topLinePunct w:val="0"/>
        <w:autoSpaceDE w:val="0"/>
        <w:autoSpaceDN w:val="0"/>
        <w:bidi w:val="0"/>
        <w:adjustRightInd w:val="0"/>
        <w:snapToGrid w:val="0"/>
        <w:spacing w:before="54" w:line="240" w:lineRule="exact"/>
        <w:ind w:right="1043"/>
        <w:jc w:val="both"/>
        <w:textAlignment w:val="baseline"/>
        <w:rPr>
          <w:rFonts w:ascii="宋体" w:hAnsi="宋体" w:eastAsia="宋体" w:cs="宋体"/>
          <w:color w:val="auto"/>
          <w:spacing w:val="-2"/>
          <w:sz w:val="28"/>
          <w:szCs w:val="28"/>
          <w:highlight w:val="none"/>
        </w:rPr>
      </w:pPr>
      <w:bookmarkStart w:id="595" w:name="_bookmark137"/>
      <w:bookmarkEnd w:id="595"/>
      <w:bookmarkStart w:id="596" w:name="_Toc28555"/>
    </w:p>
    <w:p>
      <w:pPr>
        <w:keepNext w:val="0"/>
        <w:keepLines w:val="0"/>
        <w:pageBreakBefore w:val="0"/>
        <w:widowControl/>
        <w:kinsoku w:val="0"/>
        <w:wordWrap/>
        <w:overflowPunct/>
        <w:topLinePunct w:val="0"/>
        <w:autoSpaceDE w:val="0"/>
        <w:autoSpaceDN w:val="0"/>
        <w:bidi w:val="0"/>
        <w:adjustRightInd w:val="0"/>
        <w:snapToGrid w:val="0"/>
        <w:spacing w:before="54" w:line="240" w:lineRule="exact"/>
        <w:ind w:right="1043"/>
        <w:jc w:val="both"/>
        <w:textAlignment w:val="baseline"/>
        <w:rPr>
          <w:rFonts w:hint="eastAsia" w:ascii="宋体" w:hAnsi="宋体" w:eastAsia="宋体" w:cs="宋体"/>
          <w:color w:val="auto"/>
          <w:spacing w:val="-1"/>
          <w:position w:val="9"/>
          <w:sz w:val="13"/>
          <w:szCs w:val="13"/>
          <w:highlight w:val="none"/>
        </w:rPr>
      </w:pPr>
      <w:r>
        <w:rPr>
          <w:rFonts w:ascii="宋体" w:hAnsi="宋体" w:eastAsia="宋体" w:cs="宋体"/>
          <w:color w:val="auto"/>
          <w:spacing w:val="-2"/>
          <w:sz w:val="28"/>
          <w:szCs w:val="28"/>
          <w:highlight w:val="none"/>
        </w:rPr>
        <w:t xml:space="preserve">附件四  </w:t>
      </w:r>
      <w:bookmarkEnd w:id="596"/>
      <w:r>
        <w:rPr>
          <w:rFonts w:hint="eastAsia" w:ascii="宋体" w:hAnsi="宋体" w:eastAsia="宋体" w:cs="宋体"/>
          <w:color w:val="auto"/>
          <w:spacing w:val="-2"/>
          <w:sz w:val="28"/>
          <w:szCs w:val="28"/>
          <w:highlight w:val="none"/>
        </w:rPr>
        <w:t>其</w:t>
      </w:r>
      <w:r>
        <w:rPr>
          <w:rFonts w:hint="eastAsia" w:ascii="宋体" w:hAnsi="宋体" w:eastAsia="宋体" w:cs="宋体"/>
          <w:color w:val="auto"/>
          <w:spacing w:val="-1"/>
          <w:sz w:val="28"/>
          <w:szCs w:val="28"/>
          <w:highlight w:val="none"/>
        </w:rPr>
        <w:t>他管理和技术人员最低要求</w:t>
      </w:r>
    </w:p>
    <w:p>
      <w:pPr>
        <w:pStyle w:val="2"/>
        <w:rPr>
          <w:rFonts w:hint="eastAsia"/>
          <w:color w:val="auto"/>
          <w:highlight w:val="none"/>
        </w:rPr>
      </w:pPr>
    </w:p>
    <w:p>
      <w:pPr>
        <w:spacing w:line="175" w:lineRule="exact"/>
        <w:rPr>
          <w:color w:val="auto"/>
          <w:highlight w:val="none"/>
        </w:rPr>
      </w:pPr>
    </w:p>
    <w:tbl>
      <w:tblPr>
        <w:tblStyle w:val="26"/>
        <w:tblW w:w="9128"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32"/>
        <w:gridCol w:w="2199"/>
        <w:gridCol w:w="48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032" w:type="dxa"/>
            <w:tcBorders>
              <w:left w:val="single" w:color="000000" w:sz="10" w:space="0"/>
              <w:right w:val="single" w:color="000000" w:sz="4" w:space="0"/>
            </w:tcBorders>
            <w:vAlign w:val="top"/>
          </w:tcPr>
          <w:p>
            <w:pPr>
              <w:spacing w:before="158" w:line="230" w:lineRule="auto"/>
              <w:ind w:left="798"/>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人</w:t>
            </w:r>
            <w:r>
              <w:rPr>
                <w:rFonts w:hint="eastAsia" w:ascii="宋体" w:hAnsi="宋体" w:eastAsia="宋体" w:cs="宋体"/>
                <w:color w:val="auto"/>
                <w:spacing w:val="3"/>
                <w:sz w:val="21"/>
                <w:szCs w:val="21"/>
                <w:highlight w:val="none"/>
              </w:rPr>
              <w:t>员</w:t>
            </w:r>
          </w:p>
        </w:tc>
        <w:tc>
          <w:tcPr>
            <w:tcW w:w="2199" w:type="dxa"/>
            <w:tcBorders>
              <w:left w:val="single" w:color="000000" w:sz="4" w:space="0"/>
              <w:right w:val="single" w:color="000000" w:sz="4" w:space="0"/>
            </w:tcBorders>
            <w:vAlign w:val="top"/>
          </w:tcPr>
          <w:p>
            <w:pPr>
              <w:spacing w:before="159" w:line="228" w:lineRule="auto"/>
              <w:ind w:left="888"/>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数</w:t>
            </w:r>
            <w:r>
              <w:rPr>
                <w:rFonts w:hint="eastAsia" w:ascii="宋体" w:hAnsi="宋体" w:eastAsia="宋体" w:cs="宋体"/>
                <w:color w:val="auto"/>
                <w:spacing w:val="3"/>
                <w:sz w:val="21"/>
                <w:szCs w:val="21"/>
                <w:highlight w:val="none"/>
              </w:rPr>
              <w:t>量</w:t>
            </w:r>
          </w:p>
        </w:tc>
        <w:tc>
          <w:tcPr>
            <w:tcW w:w="4897" w:type="dxa"/>
            <w:tcBorders>
              <w:left w:val="single" w:color="000000" w:sz="4" w:space="0"/>
              <w:right w:val="single" w:color="000000" w:sz="10" w:space="0"/>
            </w:tcBorders>
            <w:vAlign w:val="top"/>
          </w:tcPr>
          <w:p>
            <w:pPr>
              <w:spacing w:before="158" w:line="227" w:lineRule="auto"/>
              <w:ind w:left="2037"/>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资格要求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032" w:type="dxa"/>
            <w:tcBorders>
              <w:left w:val="single" w:color="000000" w:sz="10" w:space="0"/>
              <w:right w:val="single" w:color="000000" w:sz="4" w:space="0"/>
            </w:tcBorders>
            <w:vAlign w:val="center"/>
          </w:tcPr>
          <w:p>
            <w:pPr>
              <w:autoSpaceDE w:val="0"/>
              <w:autoSpaceDN w:val="0"/>
              <w:adjustRightInd w:val="0"/>
              <w:jc w:val="center"/>
              <w:rPr>
                <w:rFonts w:hint="eastAsia" w:ascii="宋体" w:hAnsi="宋体" w:eastAsia="宋体" w:cs="宋体"/>
                <w:color w:val="auto"/>
                <w:sz w:val="21"/>
                <w:szCs w:val="21"/>
                <w:highlight w:val="none"/>
              </w:rPr>
            </w:pPr>
            <w:r>
              <w:rPr>
                <w:rFonts w:hint="eastAsia" w:ascii="宋体" w:hAnsi="宋体" w:eastAsia="宋体" w:cs="宋体"/>
                <w:color w:val="auto"/>
                <w:sz w:val="22"/>
                <w:szCs w:val="22"/>
                <w:highlight w:val="none"/>
                <w:lang w:val="en-US" w:eastAsia="zh-CN"/>
              </w:rPr>
              <w:t>路面、路基</w:t>
            </w:r>
            <w:r>
              <w:rPr>
                <w:rFonts w:hint="eastAsia" w:ascii="宋体" w:hAnsi="宋体" w:eastAsia="宋体" w:cs="宋体"/>
                <w:color w:val="auto"/>
                <w:sz w:val="22"/>
                <w:szCs w:val="22"/>
                <w:highlight w:val="none"/>
                <w:lang w:eastAsia="zh-CN"/>
              </w:rPr>
              <w:t>负责人</w:t>
            </w:r>
          </w:p>
        </w:tc>
        <w:tc>
          <w:tcPr>
            <w:tcW w:w="2199" w:type="dxa"/>
            <w:tcBorders>
              <w:left w:val="single" w:color="000000" w:sz="4" w:space="0"/>
              <w:right w:val="single" w:color="000000" w:sz="4" w:space="0"/>
            </w:tcBorders>
            <w:vAlign w:val="center"/>
          </w:tcPr>
          <w:p>
            <w:pPr>
              <w:tabs>
                <w:tab w:val="left" w:pos="2790"/>
              </w:tabs>
              <w:jc w:val="center"/>
              <w:rPr>
                <w:rFonts w:hint="eastAsia" w:ascii="宋体" w:hAnsi="宋体" w:eastAsia="宋体" w:cs="宋体"/>
                <w:color w:val="auto"/>
                <w:sz w:val="21"/>
                <w:szCs w:val="21"/>
                <w:highlight w:val="none"/>
              </w:rPr>
            </w:pPr>
            <w:r>
              <w:rPr>
                <w:rFonts w:hint="eastAsia" w:ascii="宋体" w:hAnsi="宋体" w:eastAsia="宋体" w:cs="宋体"/>
                <w:color w:val="auto"/>
                <w:sz w:val="22"/>
                <w:szCs w:val="22"/>
                <w:highlight w:val="none"/>
                <w:lang w:val="en-US" w:eastAsia="zh-CN"/>
              </w:rPr>
              <w:t>1</w:t>
            </w:r>
          </w:p>
        </w:tc>
        <w:tc>
          <w:tcPr>
            <w:tcW w:w="4897" w:type="dxa"/>
            <w:tcBorders>
              <w:left w:val="single" w:color="000000" w:sz="4" w:space="0"/>
              <w:right w:val="single" w:color="000000" w:sz="10" w:space="0"/>
            </w:tcBorders>
            <w:vAlign w:val="center"/>
          </w:tcPr>
          <w:p>
            <w:pPr>
              <w:autoSpaceDE w:val="0"/>
              <w:autoSpaceDN w:val="0"/>
              <w:adjustRightInd w:val="0"/>
              <w:jc w:val="left"/>
              <w:rPr>
                <w:rFonts w:hint="eastAsia" w:ascii="宋体" w:hAnsi="宋体" w:eastAsia="宋体" w:cs="宋体"/>
                <w:color w:val="auto"/>
                <w:sz w:val="21"/>
                <w:szCs w:val="21"/>
                <w:highlight w:val="none"/>
              </w:rPr>
            </w:pPr>
            <w:r>
              <w:rPr>
                <w:rFonts w:hint="eastAsia" w:ascii="宋体" w:hAnsi="宋体" w:eastAsia="宋体" w:cs="宋体"/>
                <w:color w:val="auto"/>
                <w:sz w:val="22"/>
                <w:szCs w:val="22"/>
                <w:highlight w:val="none"/>
              </w:rPr>
              <w:t>具有</w:t>
            </w:r>
            <w:r>
              <w:rPr>
                <w:rFonts w:hint="eastAsia" w:ascii="宋体" w:hAnsi="宋体" w:eastAsia="宋体" w:cs="宋体"/>
                <w:color w:val="auto"/>
                <w:sz w:val="22"/>
                <w:szCs w:val="22"/>
                <w:highlight w:val="none"/>
                <w:lang w:val="en-US" w:eastAsia="zh-CN"/>
              </w:rPr>
              <w:t>公路工程相关专业工程师及以上技术职称，3年以上公路路基路面施工工作经验。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2032" w:type="dxa"/>
            <w:tcBorders>
              <w:left w:val="single" w:color="000000" w:sz="10" w:space="0"/>
              <w:right w:val="single" w:color="000000" w:sz="4" w:space="0"/>
            </w:tcBorders>
            <w:vAlign w:val="center"/>
          </w:tcPr>
          <w:p>
            <w:pPr>
              <w:autoSpaceDE w:val="0"/>
              <w:autoSpaceDN w:val="0"/>
              <w:adjustRightInd w:val="0"/>
              <w:jc w:val="center"/>
              <w:rPr>
                <w:rFonts w:hint="eastAsia" w:ascii="宋体" w:hAnsi="宋体" w:eastAsia="宋体" w:cs="宋体"/>
                <w:color w:val="auto"/>
                <w:sz w:val="21"/>
                <w:szCs w:val="21"/>
                <w:highlight w:val="none"/>
              </w:rPr>
            </w:pPr>
            <w:r>
              <w:rPr>
                <w:rFonts w:hint="eastAsia" w:ascii="宋体" w:hAnsi="宋体" w:eastAsia="宋体" w:cs="宋体"/>
                <w:color w:val="auto"/>
                <w:sz w:val="22"/>
                <w:szCs w:val="22"/>
                <w:highlight w:val="none"/>
                <w:lang w:val="en-US" w:eastAsia="zh-CN"/>
              </w:rPr>
              <w:t>桥涵</w:t>
            </w:r>
            <w:r>
              <w:rPr>
                <w:rFonts w:hint="eastAsia" w:ascii="宋体" w:hAnsi="宋体" w:eastAsia="宋体" w:cs="宋体"/>
                <w:color w:val="auto"/>
                <w:sz w:val="22"/>
                <w:szCs w:val="22"/>
                <w:highlight w:val="none"/>
                <w:lang w:eastAsia="zh-CN"/>
              </w:rPr>
              <w:t>负责人</w:t>
            </w:r>
          </w:p>
        </w:tc>
        <w:tc>
          <w:tcPr>
            <w:tcW w:w="2199" w:type="dxa"/>
            <w:tcBorders>
              <w:left w:val="single" w:color="000000" w:sz="4" w:space="0"/>
              <w:right w:val="single" w:color="000000" w:sz="4" w:space="0"/>
            </w:tcBorders>
            <w:vAlign w:val="center"/>
          </w:tcPr>
          <w:p>
            <w:pPr>
              <w:tabs>
                <w:tab w:val="left" w:pos="2790"/>
              </w:tabs>
              <w:jc w:val="center"/>
              <w:rPr>
                <w:rFonts w:hint="eastAsia" w:ascii="宋体" w:hAnsi="宋体" w:eastAsia="宋体" w:cs="宋体"/>
                <w:color w:val="auto"/>
                <w:sz w:val="21"/>
                <w:szCs w:val="21"/>
                <w:highlight w:val="none"/>
              </w:rPr>
            </w:pPr>
            <w:r>
              <w:rPr>
                <w:rFonts w:hint="eastAsia" w:ascii="宋体" w:hAnsi="宋体" w:eastAsia="宋体" w:cs="宋体"/>
                <w:color w:val="auto"/>
                <w:sz w:val="22"/>
                <w:szCs w:val="22"/>
                <w:highlight w:val="none"/>
                <w:lang w:val="en-US" w:eastAsia="zh-CN"/>
              </w:rPr>
              <w:t>1</w:t>
            </w:r>
          </w:p>
        </w:tc>
        <w:tc>
          <w:tcPr>
            <w:tcW w:w="4897" w:type="dxa"/>
            <w:tcBorders>
              <w:left w:val="single" w:color="000000" w:sz="4" w:space="0"/>
              <w:right w:val="single" w:color="000000" w:sz="10" w:space="0"/>
            </w:tcBorders>
            <w:vAlign w:val="center"/>
          </w:tcPr>
          <w:p>
            <w:pPr>
              <w:autoSpaceDE w:val="0"/>
              <w:autoSpaceDN w:val="0"/>
              <w:adjustRightInd w:val="0"/>
              <w:jc w:val="left"/>
              <w:rPr>
                <w:rFonts w:hint="eastAsia" w:ascii="宋体" w:hAnsi="宋体" w:eastAsia="宋体" w:cs="宋体"/>
                <w:color w:val="auto"/>
                <w:sz w:val="21"/>
                <w:szCs w:val="21"/>
                <w:highlight w:val="none"/>
              </w:rPr>
            </w:pPr>
            <w:r>
              <w:rPr>
                <w:rFonts w:hint="eastAsia" w:ascii="宋体" w:hAnsi="宋体" w:eastAsia="宋体" w:cs="宋体"/>
                <w:color w:val="auto"/>
                <w:sz w:val="22"/>
                <w:szCs w:val="22"/>
                <w:highlight w:val="none"/>
              </w:rPr>
              <w:t>具有</w:t>
            </w:r>
            <w:r>
              <w:rPr>
                <w:rFonts w:hint="eastAsia" w:ascii="宋体" w:hAnsi="宋体" w:eastAsia="宋体" w:cs="宋体"/>
                <w:color w:val="auto"/>
                <w:sz w:val="22"/>
                <w:szCs w:val="22"/>
                <w:highlight w:val="none"/>
                <w:lang w:val="en-US" w:eastAsia="zh-CN"/>
              </w:rPr>
              <w:t>公路工程相关专业工程师及以上技术职称，5年以上公路桥梁工程施工工作经验。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032" w:type="dxa"/>
            <w:tcBorders>
              <w:left w:val="single" w:color="000000" w:sz="10" w:space="0"/>
              <w:right w:val="single" w:color="000000" w:sz="4" w:space="0"/>
            </w:tcBorders>
            <w:vAlign w:val="center"/>
          </w:tcPr>
          <w:p>
            <w:pPr>
              <w:tabs>
                <w:tab w:val="left" w:pos="2790"/>
              </w:tabs>
              <w:jc w:val="center"/>
              <w:rPr>
                <w:rFonts w:hint="eastAsia" w:ascii="宋体" w:hAnsi="宋体" w:eastAsia="宋体" w:cs="宋体"/>
                <w:color w:val="auto"/>
                <w:sz w:val="21"/>
                <w:szCs w:val="21"/>
                <w:highlight w:val="none"/>
              </w:rPr>
            </w:pPr>
            <w:r>
              <w:rPr>
                <w:rFonts w:hint="eastAsia" w:ascii="宋体" w:hAnsi="宋体" w:eastAsia="宋体" w:cs="宋体"/>
                <w:color w:val="auto"/>
                <w:sz w:val="22"/>
                <w:szCs w:val="22"/>
                <w:highlight w:val="none"/>
              </w:rPr>
              <w:t>质检</w:t>
            </w:r>
            <w:r>
              <w:rPr>
                <w:rFonts w:hint="eastAsia" w:ascii="宋体" w:hAnsi="宋体" w:eastAsia="宋体" w:cs="宋体"/>
                <w:color w:val="auto"/>
                <w:sz w:val="22"/>
                <w:szCs w:val="22"/>
                <w:highlight w:val="none"/>
                <w:lang w:eastAsia="zh-CN"/>
              </w:rPr>
              <w:t>负责人</w:t>
            </w:r>
          </w:p>
        </w:tc>
        <w:tc>
          <w:tcPr>
            <w:tcW w:w="2199" w:type="dxa"/>
            <w:tcBorders>
              <w:left w:val="single" w:color="000000" w:sz="4" w:space="0"/>
              <w:right w:val="single" w:color="000000" w:sz="4" w:space="0"/>
            </w:tcBorders>
            <w:vAlign w:val="center"/>
          </w:tcPr>
          <w:p>
            <w:pPr>
              <w:tabs>
                <w:tab w:val="left" w:pos="2790"/>
              </w:tabs>
              <w:jc w:val="center"/>
              <w:rPr>
                <w:rFonts w:hint="eastAsia" w:ascii="宋体" w:hAnsi="宋体" w:eastAsia="宋体" w:cs="宋体"/>
                <w:color w:val="auto"/>
                <w:sz w:val="21"/>
                <w:szCs w:val="21"/>
                <w:highlight w:val="none"/>
              </w:rPr>
            </w:pPr>
            <w:r>
              <w:rPr>
                <w:rFonts w:hint="eastAsia" w:ascii="宋体" w:hAnsi="宋体" w:eastAsia="宋体" w:cs="宋体"/>
                <w:color w:val="auto"/>
                <w:sz w:val="22"/>
                <w:szCs w:val="22"/>
                <w:highlight w:val="none"/>
                <w:lang w:val="en-US" w:eastAsia="zh-CN"/>
              </w:rPr>
              <w:t>1</w:t>
            </w:r>
          </w:p>
        </w:tc>
        <w:tc>
          <w:tcPr>
            <w:tcW w:w="4897" w:type="dxa"/>
            <w:tcBorders>
              <w:left w:val="single" w:color="000000" w:sz="4" w:space="0"/>
              <w:right w:val="single" w:color="000000" w:sz="10" w:space="0"/>
            </w:tcBorders>
            <w:vAlign w:val="center"/>
          </w:tcPr>
          <w:p>
            <w:pPr>
              <w:autoSpaceDE w:val="0"/>
              <w:autoSpaceDN w:val="0"/>
              <w:adjustRightInd w:val="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sz w:val="22"/>
                <w:szCs w:val="22"/>
                <w:highlight w:val="none"/>
                <w:lang w:val="en-US" w:eastAsia="zh-CN" w:bidi="ar-SA"/>
              </w:rPr>
              <w:t>工程师及以上技术职称，具有3年以上公路工程质量检验工作经验，并有交通主管部门核发的质检岗位证书或质检培训证书。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032" w:type="dxa"/>
            <w:tcBorders>
              <w:left w:val="single" w:color="000000" w:sz="10" w:space="0"/>
              <w:right w:val="single" w:color="000000" w:sz="4" w:space="0"/>
            </w:tcBorders>
            <w:vAlign w:val="center"/>
          </w:tcPr>
          <w:p>
            <w:pPr>
              <w:autoSpaceDE w:val="0"/>
              <w:autoSpaceDN w:val="0"/>
              <w:adjustRightInd w:val="0"/>
              <w:jc w:val="center"/>
              <w:rPr>
                <w:rFonts w:hint="eastAsia" w:ascii="宋体" w:hAnsi="宋体" w:eastAsia="宋体" w:cs="宋体"/>
                <w:color w:val="auto"/>
                <w:sz w:val="21"/>
                <w:szCs w:val="21"/>
                <w:highlight w:val="none"/>
              </w:rPr>
            </w:pPr>
            <w:r>
              <w:rPr>
                <w:rFonts w:hint="eastAsia" w:ascii="宋体" w:hAnsi="宋体" w:eastAsia="宋体" w:cs="宋体"/>
                <w:color w:val="auto"/>
                <w:sz w:val="22"/>
                <w:szCs w:val="22"/>
                <w:highlight w:val="none"/>
                <w:lang w:val="en-US" w:eastAsia="zh-CN"/>
              </w:rPr>
              <w:t>测量负责人</w:t>
            </w:r>
          </w:p>
        </w:tc>
        <w:tc>
          <w:tcPr>
            <w:tcW w:w="2199" w:type="dxa"/>
            <w:tcBorders>
              <w:left w:val="single" w:color="000000" w:sz="4" w:space="0"/>
              <w:right w:val="single" w:color="000000" w:sz="4" w:space="0"/>
            </w:tcBorders>
            <w:vAlign w:val="center"/>
          </w:tcPr>
          <w:p>
            <w:pPr>
              <w:tabs>
                <w:tab w:val="left" w:pos="2790"/>
              </w:tabs>
              <w:jc w:val="center"/>
              <w:rPr>
                <w:rFonts w:hint="eastAsia" w:ascii="宋体" w:hAnsi="宋体" w:eastAsia="宋体" w:cs="宋体"/>
                <w:color w:val="auto"/>
                <w:sz w:val="21"/>
                <w:szCs w:val="21"/>
                <w:highlight w:val="none"/>
              </w:rPr>
            </w:pPr>
            <w:r>
              <w:rPr>
                <w:rFonts w:hint="eastAsia" w:ascii="宋体" w:hAnsi="宋体" w:eastAsia="宋体" w:cs="宋体"/>
                <w:color w:val="auto"/>
                <w:sz w:val="22"/>
                <w:szCs w:val="22"/>
                <w:highlight w:val="none"/>
                <w:lang w:val="en-US" w:eastAsia="zh-CN"/>
              </w:rPr>
              <w:t>1</w:t>
            </w:r>
          </w:p>
        </w:tc>
        <w:tc>
          <w:tcPr>
            <w:tcW w:w="4897" w:type="dxa"/>
            <w:tcBorders>
              <w:left w:val="single" w:color="000000" w:sz="4" w:space="0"/>
              <w:right w:val="single" w:color="000000" w:sz="10" w:space="0"/>
            </w:tcBorders>
            <w:vAlign w:val="center"/>
          </w:tcPr>
          <w:p>
            <w:pPr>
              <w:autoSpaceDE w:val="0"/>
              <w:autoSpaceDN w:val="0"/>
              <w:adjustRightInd w:val="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sz w:val="22"/>
                <w:szCs w:val="22"/>
                <w:highlight w:val="none"/>
                <w:lang w:val="en-US" w:eastAsia="zh-CN" w:bidi="ar-SA"/>
              </w:rPr>
              <w:t>具有3年以上公路工程测量工作经验。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032" w:type="dxa"/>
            <w:tcBorders>
              <w:left w:val="single" w:color="000000" w:sz="10" w:space="0"/>
              <w:right w:val="single" w:color="000000" w:sz="4" w:space="0"/>
            </w:tcBorders>
            <w:vAlign w:val="center"/>
          </w:tcPr>
          <w:p>
            <w:pPr>
              <w:autoSpaceDE w:val="0"/>
              <w:autoSpaceDN w:val="0"/>
              <w:adjustRightInd w:val="0"/>
              <w:jc w:val="center"/>
              <w:rPr>
                <w:rFonts w:ascii="Arial"/>
                <w:color w:val="auto"/>
                <w:sz w:val="21"/>
                <w:highlight w:val="none"/>
              </w:rPr>
            </w:pPr>
            <w:r>
              <w:rPr>
                <w:rFonts w:hint="eastAsia" w:ascii="宋体" w:hAnsi="宋体" w:eastAsia="宋体" w:cs="宋体"/>
                <w:color w:val="auto"/>
                <w:sz w:val="22"/>
                <w:szCs w:val="22"/>
                <w:highlight w:val="none"/>
              </w:rPr>
              <w:t>试验</w:t>
            </w:r>
            <w:r>
              <w:rPr>
                <w:rFonts w:hint="eastAsia" w:ascii="宋体" w:hAnsi="宋体" w:eastAsia="宋体" w:cs="宋体"/>
                <w:color w:val="auto"/>
                <w:sz w:val="22"/>
                <w:szCs w:val="22"/>
                <w:highlight w:val="none"/>
                <w:lang w:val="en-US" w:eastAsia="zh-CN"/>
              </w:rPr>
              <w:t>负责人</w:t>
            </w:r>
          </w:p>
        </w:tc>
        <w:tc>
          <w:tcPr>
            <w:tcW w:w="2199" w:type="dxa"/>
            <w:tcBorders>
              <w:left w:val="single" w:color="000000" w:sz="4" w:space="0"/>
              <w:right w:val="single" w:color="000000" w:sz="4" w:space="0"/>
            </w:tcBorders>
            <w:vAlign w:val="center"/>
          </w:tcPr>
          <w:p>
            <w:pPr>
              <w:tabs>
                <w:tab w:val="left" w:pos="2790"/>
              </w:tabs>
              <w:jc w:val="center"/>
              <w:rPr>
                <w:rFonts w:ascii="Arial"/>
                <w:color w:val="auto"/>
                <w:sz w:val="21"/>
                <w:highlight w:val="none"/>
              </w:rPr>
            </w:pPr>
            <w:r>
              <w:rPr>
                <w:rFonts w:hint="eastAsia" w:ascii="宋体" w:hAnsi="宋体" w:eastAsia="宋体" w:cs="宋体"/>
                <w:color w:val="auto"/>
                <w:sz w:val="22"/>
                <w:szCs w:val="22"/>
                <w:highlight w:val="none"/>
                <w:lang w:val="en-US" w:eastAsia="zh-CN"/>
              </w:rPr>
              <w:t>1</w:t>
            </w:r>
          </w:p>
        </w:tc>
        <w:tc>
          <w:tcPr>
            <w:tcW w:w="4897" w:type="dxa"/>
            <w:tcBorders>
              <w:left w:val="single" w:color="000000" w:sz="4" w:space="0"/>
              <w:right w:val="single" w:color="000000" w:sz="10" w:space="0"/>
            </w:tcBorders>
            <w:vAlign w:val="center"/>
          </w:tcPr>
          <w:p>
            <w:pPr>
              <w:autoSpaceDE w:val="0"/>
              <w:autoSpaceDN w:val="0"/>
              <w:adjustRightInd w:val="0"/>
              <w:jc w:val="left"/>
              <w:rPr>
                <w:rFonts w:ascii="Arial"/>
                <w:color w:val="auto"/>
                <w:sz w:val="21"/>
                <w:highlight w:val="none"/>
              </w:rPr>
            </w:pPr>
            <w:r>
              <w:rPr>
                <w:rFonts w:hint="eastAsia" w:ascii="宋体" w:hAnsi="宋体" w:eastAsia="宋体" w:cs="宋体"/>
                <w:snapToGrid w:val="0"/>
                <w:color w:val="auto"/>
                <w:sz w:val="22"/>
                <w:szCs w:val="22"/>
                <w:highlight w:val="none"/>
                <w:lang w:val="en-US" w:eastAsia="zh-CN" w:bidi="ar-SA"/>
              </w:rPr>
              <w:t>具有3年以上公路工程试验工作经验，并有试验检测工程师资格证书。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032" w:type="dxa"/>
            <w:tcBorders>
              <w:left w:val="single" w:color="000000" w:sz="10" w:space="0"/>
              <w:right w:val="single" w:color="000000" w:sz="4" w:space="0"/>
            </w:tcBorders>
            <w:vAlign w:val="center"/>
          </w:tcPr>
          <w:p>
            <w:pPr>
              <w:tabs>
                <w:tab w:val="left" w:pos="2790"/>
              </w:tabs>
              <w:jc w:val="center"/>
              <w:rPr>
                <w:rFonts w:ascii="Arial"/>
                <w:color w:val="auto"/>
                <w:sz w:val="21"/>
                <w:highlight w:val="none"/>
              </w:rPr>
            </w:pPr>
            <w:r>
              <w:rPr>
                <w:rFonts w:hint="eastAsia" w:ascii="宋体" w:hAnsi="宋体" w:eastAsia="宋体" w:cs="宋体"/>
                <w:snapToGrid w:val="0"/>
                <w:color w:val="auto"/>
                <w:sz w:val="22"/>
                <w:szCs w:val="22"/>
                <w:highlight w:val="none"/>
                <w:lang w:val="en-US" w:eastAsia="zh-CN" w:bidi="ar-SA"/>
              </w:rPr>
              <w:t>合同负责人</w:t>
            </w:r>
          </w:p>
        </w:tc>
        <w:tc>
          <w:tcPr>
            <w:tcW w:w="2199" w:type="dxa"/>
            <w:tcBorders>
              <w:left w:val="single" w:color="000000" w:sz="4" w:space="0"/>
              <w:right w:val="single" w:color="000000" w:sz="4" w:space="0"/>
            </w:tcBorders>
            <w:vAlign w:val="center"/>
          </w:tcPr>
          <w:p>
            <w:pPr>
              <w:tabs>
                <w:tab w:val="left" w:pos="2790"/>
              </w:tabs>
              <w:jc w:val="center"/>
              <w:rPr>
                <w:rFonts w:ascii="Arial"/>
                <w:color w:val="auto"/>
                <w:sz w:val="21"/>
                <w:highlight w:val="none"/>
              </w:rPr>
            </w:pPr>
            <w:r>
              <w:rPr>
                <w:rFonts w:hint="eastAsia" w:ascii="宋体" w:hAnsi="宋体" w:eastAsia="宋体" w:cs="宋体"/>
                <w:snapToGrid w:val="0"/>
                <w:color w:val="auto"/>
                <w:sz w:val="22"/>
                <w:szCs w:val="22"/>
                <w:highlight w:val="none"/>
                <w:lang w:val="en-US" w:eastAsia="zh-CN" w:bidi="ar-SA"/>
              </w:rPr>
              <w:t>1</w:t>
            </w:r>
          </w:p>
        </w:tc>
        <w:tc>
          <w:tcPr>
            <w:tcW w:w="4897" w:type="dxa"/>
            <w:tcBorders>
              <w:left w:val="single" w:color="000000" w:sz="4" w:space="0"/>
              <w:right w:val="single" w:color="000000" w:sz="10" w:space="0"/>
            </w:tcBorders>
            <w:vAlign w:val="center"/>
          </w:tcPr>
          <w:p>
            <w:pPr>
              <w:autoSpaceDE w:val="0"/>
              <w:autoSpaceDN w:val="0"/>
              <w:adjustRightInd w:val="0"/>
              <w:jc w:val="left"/>
              <w:rPr>
                <w:rFonts w:ascii="Arial"/>
                <w:color w:val="auto"/>
                <w:sz w:val="21"/>
                <w:highlight w:val="none"/>
              </w:rPr>
            </w:pPr>
            <w:r>
              <w:rPr>
                <w:rFonts w:hint="eastAsia" w:ascii="宋体" w:hAnsi="宋体" w:eastAsia="宋体" w:cs="宋体"/>
                <w:snapToGrid w:val="0"/>
                <w:color w:val="auto"/>
                <w:sz w:val="22"/>
                <w:szCs w:val="22"/>
                <w:highlight w:val="none"/>
                <w:lang w:val="en-US" w:eastAsia="zh-CN" w:bidi="ar-SA"/>
              </w:rPr>
              <w:t>具有3年以上公路工程合同管理经验。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032" w:type="dxa"/>
            <w:tcBorders>
              <w:left w:val="single" w:color="000000" w:sz="10" w:space="0"/>
              <w:right w:val="single" w:color="000000" w:sz="4" w:space="0"/>
            </w:tcBorders>
            <w:vAlign w:val="top"/>
          </w:tcPr>
          <w:p>
            <w:pPr>
              <w:rPr>
                <w:rFonts w:ascii="Arial"/>
                <w:color w:val="auto"/>
                <w:sz w:val="21"/>
                <w:highlight w:val="none"/>
              </w:rPr>
            </w:pPr>
          </w:p>
        </w:tc>
        <w:tc>
          <w:tcPr>
            <w:tcW w:w="2199" w:type="dxa"/>
            <w:tcBorders>
              <w:left w:val="single" w:color="000000" w:sz="4" w:space="0"/>
              <w:right w:val="single" w:color="000000" w:sz="4" w:space="0"/>
            </w:tcBorders>
            <w:vAlign w:val="top"/>
          </w:tcPr>
          <w:p>
            <w:pPr>
              <w:rPr>
                <w:rFonts w:ascii="Arial"/>
                <w:color w:val="auto"/>
                <w:sz w:val="21"/>
                <w:highlight w:val="none"/>
              </w:rPr>
            </w:pPr>
          </w:p>
        </w:tc>
        <w:tc>
          <w:tcPr>
            <w:tcW w:w="4897"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2032" w:type="dxa"/>
            <w:tcBorders>
              <w:left w:val="single" w:color="000000" w:sz="10" w:space="0"/>
              <w:right w:val="single" w:color="000000" w:sz="4" w:space="0"/>
            </w:tcBorders>
            <w:vAlign w:val="top"/>
          </w:tcPr>
          <w:p>
            <w:pPr>
              <w:rPr>
                <w:rFonts w:ascii="Arial"/>
                <w:color w:val="auto"/>
                <w:sz w:val="21"/>
                <w:highlight w:val="none"/>
              </w:rPr>
            </w:pPr>
          </w:p>
        </w:tc>
        <w:tc>
          <w:tcPr>
            <w:tcW w:w="2199" w:type="dxa"/>
            <w:tcBorders>
              <w:left w:val="single" w:color="000000" w:sz="4" w:space="0"/>
              <w:right w:val="single" w:color="000000" w:sz="4" w:space="0"/>
            </w:tcBorders>
            <w:vAlign w:val="top"/>
          </w:tcPr>
          <w:p>
            <w:pPr>
              <w:rPr>
                <w:rFonts w:ascii="Arial"/>
                <w:color w:val="auto"/>
                <w:sz w:val="21"/>
                <w:highlight w:val="none"/>
              </w:rPr>
            </w:pPr>
          </w:p>
        </w:tc>
        <w:tc>
          <w:tcPr>
            <w:tcW w:w="4897"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032" w:type="dxa"/>
            <w:tcBorders>
              <w:left w:val="single" w:color="000000" w:sz="10" w:space="0"/>
              <w:right w:val="single" w:color="000000" w:sz="4" w:space="0"/>
            </w:tcBorders>
            <w:vAlign w:val="top"/>
          </w:tcPr>
          <w:p>
            <w:pPr>
              <w:rPr>
                <w:rFonts w:ascii="Arial"/>
                <w:color w:val="auto"/>
                <w:sz w:val="21"/>
                <w:highlight w:val="none"/>
              </w:rPr>
            </w:pPr>
          </w:p>
        </w:tc>
        <w:tc>
          <w:tcPr>
            <w:tcW w:w="2199" w:type="dxa"/>
            <w:tcBorders>
              <w:left w:val="single" w:color="000000" w:sz="4" w:space="0"/>
              <w:right w:val="single" w:color="000000" w:sz="4" w:space="0"/>
            </w:tcBorders>
            <w:vAlign w:val="top"/>
          </w:tcPr>
          <w:p>
            <w:pPr>
              <w:rPr>
                <w:rFonts w:ascii="Arial"/>
                <w:color w:val="auto"/>
                <w:sz w:val="21"/>
                <w:highlight w:val="none"/>
              </w:rPr>
            </w:pPr>
          </w:p>
        </w:tc>
        <w:tc>
          <w:tcPr>
            <w:tcW w:w="4897"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032" w:type="dxa"/>
            <w:tcBorders>
              <w:left w:val="single" w:color="000000" w:sz="10" w:space="0"/>
              <w:right w:val="single" w:color="000000" w:sz="4" w:space="0"/>
            </w:tcBorders>
            <w:vAlign w:val="top"/>
          </w:tcPr>
          <w:p>
            <w:pPr>
              <w:rPr>
                <w:rFonts w:ascii="Arial"/>
                <w:color w:val="auto"/>
                <w:sz w:val="21"/>
                <w:highlight w:val="none"/>
              </w:rPr>
            </w:pPr>
          </w:p>
        </w:tc>
        <w:tc>
          <w:tcPr>
            <w:tcW w:w="2199" w:type="dxa"/>
            <w:tcBorders>
              <w:left w:val="single" w:color="000000" w:sz="4" w:space="0"/>
              <w:right w:val="single" w:color="000000" w:sz="4" w:space="0"/>
            </w:tcBorders>
            <w:vAlign w:val="top"/>
          </w:tcPr>
          <w:p>
            <w:pPr>
              <w:rPr>
                <w:rFonts w:ascii="Arial"/>
                <w:color w:val="auto"/>
                <w:sz w:val="21"/>
                <w:highlight w:val="none"/>
              </w:rPr>
            </w:pPr>
          </w:p>
        </w:tc>
        <w:tc>
          <w:tcPr>
            <w:tcW w:w="4897"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032" w:type="dxa"/>
            <w:tcBorders>
              <w:left w:val="single" w:color="000000" w:sz="10" w:space="0"/>
              <w:right w:val="single" w:color="000000" w:sz="4" w:space="0"/>
            </w:tcBorders>
            <w:vAlign w:val="top"/>
          </w:tcPr>
          <w:p>
            <w:pPr>
              <w:rPr>
                <w:rFonts w:ascii="Arial"/>
                <w:color w:val="auto"/>
                <w:sz w:val="21"/>
                <w:highlight w:val="none"/>
              </w:rPr>
            </w:pPr>
          </w:p>
        </w:tc>
        <w:tc>
          <w:tcPr>
            <w:tcW w:w="2199" w:type="dxa"/>
            <w:tcBorders>
              <w:left w:val="single" w:color="000000" w:sz="4" w:space="0"/>
              <w:right w:val="single" w:color="000000" w:sz="4" w:space="0"/>
            </w:tcBorders>
            <w:vAlign w:val="top"/>
          </w:tcPr>
          <w:p>
            <w:pPr>
              <w:rPr>
                <w:rFonts w:ascii="Arial"/>
                <w:color w:val="auto"/>
                <w:sz w:val="21"/>
                <w:highlight w:val="none"/>
              </w:rPr>
            </w:pPr>
          </w:p>
        </w:tc>
        <w:tc>
          <w:tcPr>
            <w:tcW w:w="4897"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032" w:type="dxa"/>
            <w:tcBorders>
              <w:left w:val="single" w:color="000000" w:sz="10" w:space="0"/>
              <w:right w:val="single" w:color="000000" w:sz="4" w:space="0"/>
            </w:tcBorders>
            <w:vAlign w:val="top"/>
          </w:tcPr>
          <w:p>
            <w:pPr>
              <w:rPr>
                <w:rFonts w:ascii="Arial"/>
                <w:color w:val="auto"/>
                <w:sz w:val="21"/>
                <w:highlight w:val="none"/>
              </w:rPr>
            </w:pPr>
          </w:p>
        </w:tc>
        <w:tc>
          <w:tcPr>
            <w:tcW w:w="2199" w:type="dxa"/>
            <w:tcBorders>
              <w:left w:val="single" w:color="000000" w:sz="4" w:space="0"/>
              <w:right w:val="single" w:color="000000" w:sz="4" w:space="0"/>
            </w:tcBorders>
            <w:vAlign w:val="top"/>
          </w:tcPr>
          <w:p>
            <w:pPr>
              <w:rPr>
                <w:rFonts w:ascii="Arial"/>
                <w:color w:val="auto"/>
                <w:sz w:val="21"/>
                <w:highlight w:val="none"/>
              </w:rPr>
            </w:pPr>
          </w:p>
        </w:tc>
        <w:tc>
          <w:tcPr>
            <w:tcW w:w="4897"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032" w:type="dxa"/>
            <w:tcBorders>
              <w:left w:val="single" w:color="000000" w:sz="10" w:space="0"/>
              <w:right w:val="single" w:color="000000" w:sz="4" w:space="0"/>
            </w:tcBorders>
            <w:vAlign w:val="top"/>
          </w:tcPr>
          <w:p>
            <w:pPr>
              <w:rPr>
                <w:rFonts w:ascii="Arial"/>
                <w:color w:val="auto"/>
                <w:sz w:val="21"/>
                <w:highlight w:val="none"/>
              </w:rPr>
            </w:pPr>
          </w:p>
        </w:tc>
        <w:tc>
          <w:tcPr>
            <w:tcW w:w="2199" w:type="dxa"/>
            <w:tcBorders>
              <w:left w:val="single" w:color="000000" w:sz="4" w:space="0"/>
              <w:right w:val="single" w:color="000000" w:sz="4" w:space="0"/>
            </w:tcBorders>
            <w:vAlign w:val="top"/>
          </w:tcPr>
          <w:p>
            <w:pPr>
              <w:rPr>
                <w:rFonts w:ascii="Arial"/>
                <w:color w:val="auto"/>
                <w:sz w:val="21"/>
                <w:highlight w:val="none"/>
              </w:rPr>
            </w:pPr>
          </w:p>
        </w:tc>
        <w:tc>
          <w:tcPr>
            <w:tcW w:w="4897"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2032" w:type="dxa"/>
            <w:tcBorders>
              <w:left w:val="single" w:color="000000" w:sz="10" w:space="0"/>
              <w:right w:val="single" w:color="000000" w:sz="4" w:space="0"/>
            </w:tcBorders>
            <w:vAlign w:val="top"/>
          </w:tcPr>
          <w:p>
            <w:pPr>
              <w:rPr>
                <w:rFonts w:ascii="Arial"/>
                <w:color w:val="auto"/>
                <w:sz w:val="21"/>
                <w:highlight w:val="none"/>
              </w:rPr>
            </w:pPr>
          </w:p>
        </w:tc>
        <w:tc>
          <w:tcPr>
            <w:tcW w:w="2199" w:type="dxa"/>
            <w:tcBorders>
              <w:left w:val="single" w:color="000000" w:sz="4" w:space="0"/>
              <w:right w:val="single" w:color="000000" w:sz="4" w:space="0"/>
            </w:tcBorders>
            <w:vAlign w:val="top"/>
          </w:tcPr>
          <w:p>
            <w:pPr>
              <w:rPr>
                <w:rFonts w:ascii="Arial"/>
                <w:color w:val="auto"/>
                <w:sz w:val="21"/>
                <w:highlight w:val="none"/>
              </w:rPr>
            </w:pPr>
          </w:p>
        </w:tc>
        <w:tc>
          <w:tcPr>
            <w:tcW w:w="4897" w:type="dxa"/>
            <w:tcBorders>
              <w:left w:val="single" w:color="000000" w:sz="4" w:space="0"/>
              <w:right w:val="single" w:color="000000" w:sz="10" w:space="0"/>
            </w:tcBorders>
            <w:vAlign w:val="top"/>
          </w:tcPr>
          <w:p>
            <w:pPr>
              <w:rPr>
                <w:rFonts w:ascii="Arial"/>
                <w:color w:val="auto"/>
                <w:sz w:val="21"/>
                <w:highlight w:val="none"/>
              </w:rPr>
            </w:pPr>
          </w:p>
        </w:tc>
      </w:tr>
    </w:tbl>
    <w:p>
      <w:pPr>
        <w:spacing w:line="247" w:lineRule="auto"/>
        <w:rPr>
          <w:rFonts w:ascii="Arial"/>
          <w:color w:val="auto"/>
          <w:sz w:val="21"/>
          <w:highlight w:val="none"/>
        </w:rPr>
      </w:pPr>
    </w:p>
    <w:p>
      <w:pPr>
        <w:spacing w:line="248" w:lineRule="auto"/>
        <w:rPr>
          <w:rFonts w:ascii="Arial"/>
          <w:color w:val="auto"/>
          <w:sz w:val="21"/>
          <w:highlight w:val="none"/>
        </w:rPr>
      </w:pPr>
    </w:p>
    <w:p>
      <w:pPr>
        <w:spacing w:line="248" w:lineRule="auto"/>
        <w:rPr>
          <w:rFonts w:ascii="Arial"/>
          <w:color w:val="auto"/>
          <w:sz w:val="21"/>
          <w:highlight w:val="none"/>
        </w:rPr>
      </w:pPr>
    </w:p>
    <w:p>
      <w:pPr>
        <w:rPr>
          <w:rFonts w:ascii="宋体" w:hAnsi="宋体" w:eastAsia="宋体" w:cs="宋体"/>
          <w:color w:val="auto"/>
          <w:spacing w:val="-2"/>
          <w:sz w:val="28"/>
          <w:szCs w:val="28"/>
          <w:highlight w:val="none"/>
        </w:rPr>
      </w:pPr>
      <w:bookmarkStart w:id="597" w:name="_bookmark138"/>
      <w:bookmarkEnd w:id="597"/>
      <w:bookmarkStart w:id="598" w:name="_bookmark139"/>
      <w:bookmarkEnd w:id="598"/>
      <w:bookmarkStart w:id="599" w:name="_Toc13190"/>
      <w:r>
        <w:rPr>
          <w:rFonts w:ascii="宋体" w:hAnsi="宋体" w:eastAsia="宋体" w:cs="宋体"/>
          <w:color w:val="auto"/>
          <w:spacing w:val="-2"/>
          <w:sz w:val="28"/>
          <w:szCs w:val="28"/>
          <w:highlight w:val="none"/>
        </w:rPr>
        <w:br w:type="page"/>
      </w:r>
    </w:p>
    <w:p>
      <w:pPr>
        <w:pStyle w:val="2"/>
        <w:rPr>
          <w:color w:val="auto"/>
          <w:highlight w:val="none"/>
        </w:rPr>
      </w:pPr>
    </w:p>
    <w:p>
      <w:pPr>
        <w:spacing w:before="290" w:line="232" w:lineRule="auto"/>
        <w:ind w:left="73"/>
        <w:outlineLvl w:val="2"/>
        <w:rPr>
          <w:rFonts w:ascii="宋体" w:hAnsi="宋体" w:eastAsia="宋体" w:cs="宋体"/>
          <w:color w:val="auto"/>
          <w:sz w:val="13"/>
          <w:szCs w:val="13"/>
          <w:highlight w:val="none"/>
        </w:rPr>
      </w:pPr>
      <w:r>
        <w:rPr>
          <w:rFonts w:ascii="宋体" w:hAnsi="宋体" w:eastAsia="宋体" w:cs="宋体"/>
          <w:color w:val="auto"/>
          <w:spacing w:val="-2"/>
          <w:sz w:val="28"/>
          <w:szCs w:val="28"/>
          <w:highlight w:val="none"/>
        </w:rPr>
        <w:t>附</w:t>
      </w:r>
      <w:r>
        <w:rPr>
          <w:rFonts w:ascii="宋体" w:hAnsi="宋体" w:eastAsia="宋体" w:cs="宋体"/>
          <w:color w:val="auto"/>
          <w:spacing w:val="-1"/>
          <w:sz w:val="28"/>
          <w:szCs w:val="28"/>
          <w:highlight w:val="none"/>
        </w:rPr>
        <w:t>件五  主要机械设备和试验检测设备最低要求</w:t>
      </w:r>
      <w:bookmarkEnd w:id="599"/>
    </w:p>
    <w:p>
      <w:pPr>
        <w:rPr>
          <w:color w:val="auto"/>
          <w:highlight w:val="none"/>
        </w:rPr>
      </w:pPr>
    </w:p>
    <w:p>
      <w:pPr>
        <w:rPr>
          <w:color w:val="auto"/>
          <w:highlight w:val="none"/>
        </w:rPr>
      </w:pPr>
    </w:p>
    <w:p>
      <w:pPr>
        <w:spacing w:line="175" w:lineRule="exact"/>
        <w:rPr>
          <w:color w:val="auto"/>
          <w:highlight w:val="none"/>
        </w:rPr>
      </w:pPr>
    </w:p>
    <w:tbl>
      <w:tblPr>
        <w:tblStyle w:val="26"/>
        <w:tblW w:w="906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27"/>
        <w:gridCol w:w="3561"/>
        <w:gridCol w:w="1151"/>
        <w:gridCol w:w="242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1927" w:type="dxa"/>
            <w:tcBorders>
              <w:left w:val="single" w:color="000000" w:sz="10" w:space="0"/>
              <w:right w:val="single" w:color="000000" w:sz="4" w:space="0"/>
            </w:tcBorders>
            <w:vAlign w:val="top"/>
          </w:tcPr>
          <w:p>
            <w:pPr>
              <w:spacing w:before="161" w:line="230" w:lineRule="auto"/>
              <w:ind w:left="538"/>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设</w:t>
            </w:r>
            <w:r>
              <w:rPr>
                <w:rFonts w:hint="eastAsia" w:ascii="宋体" w:hAnsi="宋体" w:eastAsia="宋体" w:cs="宋体"/>
                <w:color w:val="auto"/>
                <w:spacing w:val="6"/>
                <w:sz w:val="21"/>
                <w:szCs w:val="21"/>
                <w:highlight w:val="none"/>
              </w:rPr>
              <w:t>备名称</w:t>
            </w:r>
          </w:p>
        </w:tc>
        <w:tc>
          <w:tcPr>
            <w:tcW w:w="3561" w:type="dxa"/>
            <w:tcBorders>
              <w:left w:val="single" w:color="000000" w:sz="4" w:space="0"/>
              <w:right w:val="single" w:color="000000" w:sz="4" w:space="0"/>
            </w:tcBorders>
            <w:vAlign w:val="top"/>
          </w:tcPr>
          <w:p>
            <w:pPr>
              <w:spacing w:before="161" w:line="228" w:lineRule="auto"/>
              <w:ind w:left="939"/>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规</w:t>
            </w:r>
            <w:r>
              <w:rPr>
                <w:rFonts w:hint="eastAsia" w:ascii="宋体" w:hAnsi="宋体" w:eastAsia="宋体" w:cs="宋体"/>
                <w:color w:val="auto"/>
                <w:spacing w:val="8"/>
                <w:sz w:val="21"/>
                <w:szCs w:val="21"/>
                <w:highlight w:val="none"/>
              </w:rPr>
              <w:t>格、功能及容量</w:t>
            </w:r>
          </w:p>
        </w:tc>
        <w:tc>
          <w:tcPr>
            <w:tcW w:w="1151" w:type="dxa"/>
            <w:tcBorders>
              <w:left w:val="single" w:color="000000" w:sz="4" w:space="0"/>
              <w:right w:val="single" w:color="000000" w:sz="4" w:space="0"/>
            </w:tcBorders>
            <w:vAlign w:val="top"/>
          </w:tcPr>
          <w:p>
            <w:pPr>
              <w:spacing w:before="161" w:line="229" w:lineRule="auto"/>
              <w:ind w:left="372"/>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单</w:t>
            </w:r>
            <w:r>
              <w:rPr>
                <w:rFonts w:hint="eastAsia" w:ascii="宋体" w:hAnsi="宋体" w:eastAsia="宋体" w:cs="宋体"/>
                <w:color w:val="auto"/>
                <w:spacing w:val="3"/>
                <w:sz w:val="21"/>
                <w:szCs w:val="21"/>
                <w:highlight w:val="none"/>
              </w:rPr>
              <w:t>位</w:t>
            </w:r>
          </w:p>
        </w:tc>
        <w:tc>
          <w:tcPr>
            <w:tcW w:w="2422" w:type="dxa"/>
            <w:tcBorders>
              <w:left w:val="single" w:color="000000" w:sz="4" w:space="0"/>
              <w:right w:val="single" w:color="000000" w:sz="10" w:space="0"/>
            </w:tcBorders>
            <w:vAlign w:val="top"/>
          </w:tcPr>
          <w:p>
            <w:pPr>
              <w:spacing w:before="161" w:line="227" w:lineRule="auto"/>
              <w:ind w:left="587"/>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最低数量要</w:t>
            </w:r>
            <w:r>
              <w:rPr>
                <w:rFonts w:hint="eastAsia" w:ascii="宋体" w:hAnsi="宋体" w:eastAsia="宋体" w:cs="宋体"/>
                <w:color w:val="auto"/>
                <w:spacing w:val="6"/>
                <w:sz w:val="21"/>
                <w:szCs w:val="21"/>
                <w:highlight w:val="none"/>
              </w:rPr>
              <w:t>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927" w:type="dxa"/>
            <w:tcBorders>
              <w:left w:val="single" w:color="000000" w:sz="10" w:space="0"/>
              <w:right w:val="single" w:color="000000" w:sz="4" w:space="0"/>
            </w:tcBorders>
            <w:vAlign w:val="center"/>
          </w:tcPr>
          <w:p>
            <w:pPr>
              <w:widowControl/>
              <w:snapToGrid w:val="0"/>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挖掘机</w:t>
            </w:r>
          </w:p>
        </w:tc>
        <w:tc>
          <w:tcPr>
            <w:tcW w:w="3561" w:type="dxa"/>
            <w:tcBorders>
              <w:left w:val="single" w:color="000000" w:sz="4" w:space="0"/>
              <w:right w:val="single" w:color="000000" w:sz="4" w:space="0"/>
            </w:tcBorders>
            <w:vAlign w:val="center"/>
          </w:tcPr>
          <w:p>
            <w:pPr>
              <w:widowControl/>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满足施工要求</w:t>
            </w:r>
          </w:p>
        </w:tc>
        <w:tc>
          <w:tcPr>
            <w:tcW w:w="1151" w:type="dxa"/>
            <w:tcBorders>
              <w:left w:val="single" w:color="000000" w:sz="4" w:space="0"/>
              <w:right w:val="single" w:color="000000" w:sz="4" w:space="0"/>
            </w:tcBorders>
            <w:vAlign w:val="center"/>
          </w:tcPr>
          <w:p>
            <w:pPr>
              <w:widowControl/>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台</w:t>
            </w:r>
          </w:p>
        </w:tc>
        <w:tc>
          <w:tcPr>
            <w:tcW w:w="2422" w:type="dxa"/>
            <w:tcBorders>
              <w:left w:val="single" w:color="000000" w:sz="4" w:space="0"/>
              <w:right w:val="single" w:color="000000" w:sz="10" w:space="0"/>
            </w:tcBorders>
            <w:vAlign w:val="center"/>
          </w:tcPr>
          <w:p>
            <w:pPr>
              <w:widowControl/>
              <w:ind w:firstLine="210" w:firstLineChars="0"/>
              <w:jc w:val="center"/>
              <w:rPr>
                <w:rFonts w:hint="default"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927" w:type="dxa"/>
            <w:tcBorders>
              <w:left w:val="single" w:color="000000" w:sz="10" w:space="0"/>
              <w:right w:val="single" w:color="000000" w:sz="4" w:space="0"/>
            </w:tcBorders>
            <w:vAlign w:val="center"/>
          </w:tcPr>
          <w:p>
            <w:pPr>
              <w:widowControl/>
              <w:snapToGrid w:val="0"/>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压路机</w:t>
            </w:r>
          </w:p>
        </w:tc>
        <w:tc>
          <w:tcPr>
            <w:tcW w:w="3561" w:type="dxa"/>
            <w:tcBorders>
              <w:left w:val="single" w:color="000000" w:sz="4" w:space="0"/>
              <w:right w:val="single" w:color="000000" w:sz="4" w:space="0"/>
            </w:tcBorders>
            <w:vAlign w:val="center"/>
          </w:tcPr>
          <w:p>
            <w:pPr>
              <w:widowControl/>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满足施工要求</w:t>
            </w:r>
          </w:p>
        </w:tc>
        <w:tc>
          <w:tcPr>
            <w:tcW w:w="1151" w:type="dxa"/>
            <w:tcBorders>
              <w:left w:val="single" w:color="000000" w:sz="4" w:space="0"/>
              <w:right w:val="single" w:color="000000" w:sz="4" w:space="0"/>
            </w:tcBorders>
            <w:vAlign w:val="center"/>
          </w:tcPr>
          <w:p>
            <w:pPr>
              <w:widowControl/>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台</w:t>
            </w:r>
          </w:p>
        </w:tc>
        <w:tc>
          <w:tcPr>
            <w:tcW w:w="2422" w:type="dxa"/>
            <w:tcBorders>
              <w:left w:val="single" w:color="000000" w:sz="4" w:space="0"/>
              <w:right w:val="single" w:color="000000" w:sz="10" w:space="0"/>
            </w:tcBorders>
            <w:vAlign w:val="center"/>
          </w:tcPr>
          <w:p>
            <w:pPr>
              <w:widowControl/>
              <w:ind w:firstLine="210" w:firstLineChars="0"/>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927" w:type="dxa"/>
            <w:tcBorders>
              <w:left w:val="single" w:color="000000" w:sz="10" w:space="0"/>
              <w:right w:val="single" w:color="000000" w:sz="4" w:space="0"/>
            </w:tcBorders>
            <w:vAlign w:val="center"/>
          </w:tcPr>
          <w:p>
            <w:pPr>
              <w:widowControl/>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装载机</w:t>
            </w:r>
          </w:p>
        </w:tc>
        <w:tc>
          <w:tcPr>
            <w:tcW w:w="3561" w:type="dxa"/>
            <w:tcBorders>
              <w:left w:val="single" w:color="000000" w:sz="4" w:space="0"/>
              <w:right w:val="single" w:color="000000" w:sz="4" w:space="0"/>
            </w:tcBorders>
            <w:vAlign w:val="center"/>
          </w:tcPr>
          <w:p>
            <w:pPr>
              <w:widowControl/>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满足施工要求</w:t>
            </w:r>
          </w:p>
        </w:tc>
        <w:tc>
          <w:tcPr>
            <w:tcW w:w="1151" w:type="dxa"/>
            <w:tcBorders>
              <w:left w:val="single" w:color="000000" w:sz="4" w:space="0"/>
              <w:right w:val="single" w:color="000000" w:sz="4" w:space="0"/>
            </w:tcBorders>
            <w:vAlign w:val="center"/>
          </w:tcPr>
          <w:p>
            <w:pPr>
              <w:widowControl/>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台</w:t>
            </w:r>
          </w:p>
        </w:tc>
        <w:tc>
          <w:tcPr>
            <w:tcW w:w="2422" w:type="dxa"/>
            <w:tcBorders>
              <w:left w:val="single" w:color="000000" w:sz="4" w:space="0"/>
              <w:right w:val="single" w:color="000000" w:sz="10" w:space="0"/>
            </w:tcBorders>
            <w:vAlign w:val="center"/>
          </w:tcPr>
          <w:p>
            <w:pPr>
              <w:widowControl/>
              <w:ind w:firstLine="210" w:firstLineChars="0"/>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927" w:type="dxa"/>
            <w:tcBorders>
              <w:left w:val="single" w:color="000000" w:sz="10" w:space="0"/>
              <w:right w:val="single" w:color="000000" w:sz="4" w:space="0"/>
            </w:tcBorders>
            <w:vAlign w:val="center"/>
          </w:tcPr>
          <w:p>
            <w:pPr>
              <w:widowControl/>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全站仪</w:t>
            </w:r>
          </w:p>
        </w:tc>
        <w:tc>
          <w:tcPr>
            <w:tcW w:w="3561" w:type="dxa"/>
            <w:tcBorders>
              <w:left w:val="single" w:color="000000" w:sz="4" w:space="0"/>
              <w:right w:val="single" w:color="000000" w:sz="4" w:space="0"/>
            </w:tcBorders>
            <w:vAlign w:val="center"/>
          </w:tcPr>
          <w:p>
            <w:pPr>
              <w:widowControl/>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满足施工要求</w:t>
            </w:r>
          </w:p>
        </w:tc>
        <w:tc>
          <w:tcPr>
            <w:tcW w:w="1151" w:type="dxa"/>
            <w:tcBorders>
              <w:left w:val="single" w:color="000000" w:sz="4" w:space="0"/>
              <w:right w:val="single" w:color="000000" w:sz="4" w:space="0"/>
            </w:tcBorders>
            <w:vAlign w:val="center"/>
          </w:tcPr>
          <w:p>
            <w:pPr>
              <w:widowControl/>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套</w:t>
            </w:r>
          </w:p>
        </w:tc>
        <w:tc>
          <w:tcPr>
            <w:tcW w:w="2422" w:type="dxa"/>
            <w:tcBorders>
              <w:left w:val="single" w:color="000000" w:sz="4" w:space="0"/>
              <w:right w:val="single" w:color="000000" w:sz="10" w:space="0"/>
            </w:tcBorders>
            <w:vAlign w:val="center"/>
          </w:tcPr>
          <w:p>
            <w:pPr>
              <w:widowControl/>
              <w:ind w:firstLine="210" w:firstLineChars="0"/>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927" w:type="dxa"/>
            <w:tcBorders>
              <w:left w:val="single" w:color="000000" w:sz="10" w:space="0"/>
              <w:right w:val="single" w:color="000000" w:sz="4" w:space="0"/>
            </w:tcBorders>
            <w:vAlign w:val="center"/>
          </w:tcPr>
          <w:p>
            <w:pPr>
              <w:widowControl/>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水稳摊铺机</w:t>
            </w:r>
          </w:p>
        </w:tc>
        <w:tc>
          <w:tcPr>
            <w:tcW w:w="3561" w:type="dxa"/>
            <w:tcBorders>
              <w:left w:val="single" w:color="000000" w:sz="4" w:space="0"/>
              <w:right w:val="single" w:color="000000" w:sz="4" w:space="0"/>
            </w:tcBorders>
            <w:vAlign w:val="center"/>
          </w:tcPr>
          <w:p>
            <w:pPr>
              <w:widowControl/>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满足施工要求</w:t>
            </w:r>
          </w:p>
        </w:tc>
        <w:tc>
          <w:tcPr>
            <w:tcW w:w="1151" w:type="dxa"/>
            <w:tcBorders>
              <w:left w:val="single" w:color="000000" w:sz="4" w:space="0"/>
              <w:right w:val="single" w:color="000000" w:sz="4" w:space="0"/>
            </w:tcBorders>
            <w:vAlign w:val="center"/>
          </w:tcPr>
          <w:p>
            <w:pPr>
              <w:widowControl/>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套</w:t>
            </w:r>
          </w:p>
        </w:tc>
        <w:tc>
          <w:tcPr>
            <w:tcW w:w="2422" w:type="dxa"/>
            <w:tcBorders>
              <w:left w:val="single" w:color="000000" w:sz="4" w:space="0"/>
              <w:right w:val="single" w:color="000000" w:sz="10" w:space="0"/>
            </w:tcBorders>
            <w:vAlign w:val="center"/>
          </w:tcPr>
          <w:p>
            <w:pPr>
              <w:widowControl/>
              <w:ind w:firstLine="210" w:firstLineChars="0"/>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927" w:type="dxa"/>
            <w:tcBorders>
              <w:left w:val="single" w:color="000000" w:sz="10" w:space="0"/>
              <w:right w:val="single" w:color="000000" w:sz="4" w:space="0"/>
            </w:tcBorders>
            <w:vAlign w:val="center"/>
          </w:tcPr>
          <w:p>
            <w:pPr>
              <w:widowControl/>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eastAsia="zh-CN"/>
              </w:rPr>
              <w:t>沥青</w:t>
            </w:r>
            <w:r>
              <w:rPr>
                <w:rFonts w:hint="eastAsia" w:ascii="宋体" w:hAnsi="宋体" w:eastAsia="宋体" w:cs="宋体"/>
                <w:color w:val="auto"/>
                <w:kern w:val="0"/>
                <w:sz w:val="21"/>
                <w:szCs w:val="21"/>
                <w:highlight w:val="none"/>
              </w:rPr>
              <w:t>摊铺机</w:t>
            </w:r>
          </w:p>
        </w:tc>
        <w:tc>
          <w:tcPr>
            <w:tcW w:w="3561" w:type="dxa"/>
            <w:tcBorders>
              <w:left w:val="single" w:color="000000" w:sz="4" w:space="0"/>
              <w:right w:val="single" w:color="000000" w:sz="4" w:space="0"/>
            </w:tcBorders>
            <w:vAlign w:val="center"/>
          </w:tcPr>
          <w:p>
            <w:pPr>
              <w:widowControl/>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满足施工要求</w:t>
            </w:r>
          </w:p>
        </w:tc>
        <w:tc>
          <w:tcPr>
            <w:tcW w:w="1151" w:type="dxa"/>
            <w:tcBorders>
              <w:left w:val="single" w:color="000000" w:sz="4" w:space="0"/>
              <w:right w:val="single" w:color="000000" w:sz="4" w:space="0"/>
            </w:tcBorders>
            <w:vAlign w:val="center"/>
          </w:tcPr>
          <w:p>
            <w:pPr>
              <w:widowControl/>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套</w:t>
            </w:r>
          </w:p>
        </w:tc>
        <w:tc>
          <w:tcPr>
            <w:tcW w:w="2422" w:type="dxa"/>
            <w:tcBorders>
              <w:left w:val="single" w:color="000000" w:sz="4" w:space="0"/>
              <w:right w:val="single" w:color="000000" w:sz="10" w:space="0"/>
            </w:tcBorders>
            <w:vAlign w:val="center"/>
          </w:tcPr>
          <w:p>
            <w:pPr>
              <w:widowControl/>
              <w:ind w:firstLine="210" w:firstLineChars="0"/>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927" w:type="dxa"/>
            <w:tcBorders>
              <w:left w:val="single" w:color="000000" w:sz="10" w:space="0"/>
              <w:right w:val="single" w:color="000000" w:sz="4" w:space="0"/>
            </w:tcBorders>
            <w:vAlign w:val="center"/>
          </w:tcPr>
          <w:p>
            <w:pPr>
              <w:widowControl/>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专业洒水车</w:t>
            </w:r>
          </w:p>
        </w:tc>
        <w:tc>
          <w:tcPr>
            <w:tcW w:w="3561" w:type="dxa"/>
            <w:tcBorders>
              <w:left w:val="single" w:color="000000" w:sz="4" w:space="0"/>
              <w:right w:val="single" w:color="000000" w:sz="4" w:space="0"/>
            </w:tcBorders>
            <w:vAlign w:val="center"/>
          </w:tcPr>
          <w:p>
            <w:pPr>
              <w:widowControl/>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满足施工要求</w:t>
            </w:r>
          </w:p>
        </w:tc>
        <w:tc>
          <w:tcPr>
            <w:tcW w:w="1151" w:type="dxa"/>
            <w:tcBorders>
              <w:left w:val="single" w:color="000000" w:sz="4" w:space="0"/>
              <w:right w:val="single" w:color="000000" w:sz="4" w:space="0"/>
            </w:tcBorders>
            <w:vAlign w:val="center"/>
          </w:tcPr>
          <w:p>
            <w:pPr>
              <w:widowControl/>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台</w:t>
            </w:r>
          </w:p>
        </w:tc>
        <w:tc>
          <w:tcPr>
            <w:tcW w:w="2422" w:type="dxa"/>
            <w:tcBorders>
              <w:left w:val="single" w:color="000000" w:sz="4" w:space="0"/>
              <w:right w:val="single" w:color="000000" w:sz="10" w:space="0"/>
            </w:tcBorders>
            <w:vAlign w:val="center"/>
          </w:tcPr>
          <w:p>
            <w:pPr>
              <w:widowControl/>
              <w:ind w:firstLine="210" w:firstLineChars="0"/>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927" w:type="dxa"/>
            <w:tcBorders>
              <w:left w:val="single" w:color="000000" w:sz="10" w:space="0"/>
              <w:right w:val="single" w:color="000000" w:sz="4" w:space="0"/>
            </w:tcBorders>
            <w:vAlign w:val="center"/>
          </w:tcPr>
          <w:p>
            <w:pPr>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color w:val="auto"/>
                <w:highlight w:val="none"/>
                <w:lang w:val="en-US" w:eastAsia="zh-CN"/>
              </w:rPr>
              <w:t>起重机</w:t>
            </w:r>
          </w:p>
        </w:tc>
        <w:tc>
          <w:tcPr>
            <w:tcW w:w="3561" w:type="dxa"/>
            <w:tcBorders>
              <w:left w:val="single" w:color="000000" w:sz="4" w:space="0"/>
              <w:right w:val="single" w:color="000000" w:sz="4" w:space="0"/>
            </w:tcBorders>
            <w:vAlign w:val="center"/>
          </w:tcPr>
          <w:p>
            <w:pPr>
              <w:jc w:val="center"/>
              <w:rPr>
                <w:rFonts w:hint="eastAsia" w:ascii="宋体" w:hAnsi="宋体" w:eastAsia="宋体" w:cs="宋体"/>
                <w:snapToGrid w:val="0"/>
                <w:color w:val="auto"/>
                <w:kern w:val="0"/>
                <w:sz w:val="21"/>
                <w:szCs w:val="21"/>
                <w:highlight w:val="none"/>
              </w:rPr>
            </w:pPr>
            <w:r>
              <w:rPr>
                <w:rFonts w:hint="eastAsia" w:ascii="宋体" w:hAnsi="宋体" w:eastAsia="宋体" w:cs="宋体"/>
                <w:color w:val="auto"/>
                <w:kern w:val="0"/>
                <w:sz w:val="21"/>
                <w:szCs w:val="21"/>
                <w:highlight w:val="none"/>
                <w:lang w:val="en-US" w:eastAsia="zh-CN"/>
              </w:rPr>
              <w:t>满足施工要求</w:t>
            </w:r>
          </w:p>
        </w:tc>
        <w:tc>
          <w:tcPr>
            <w:tcW w:w="1151" w:type="dxa"/>
            <w:tcBorders>
              <w:left w:val="single" w:color="000000" w:sz="4" w:space="0"/>
              <w:right w:val="single" w:color="000000" w:sz="4" w:space="0"/>
            </w:tcBorders>
            <w:vAlign w:val="center"/>
          </w:tcPr>
          <w:p>
            <w:pPr>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color w:val="auto"/>
                <w:highlight w:val="none"/>
                <w:lang w:val="en-US" w:eastAsia="zh-CN"/>
              </w:rPr>
              <w:t>台</w:t>
            </w:r>
          </w:p>
        </w:tc>
        <w:tc>
          <w:tcPr>
            <w:tcW w:w="2422" w:type="dxa"/>
            <w:tcBorders>
              <w:left w:val="single" w:color="000000" w:sz="4" w:space="0"/>
              <w:right w:val="single" w:color="000000" w:sz="10" w:space="0"/>
            </w:tcBorders>
            <w:vAlign w:val="center"/>
          </w:tcPr>
          <w:p>
            <w:pPr>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color w:val="auto"/>
                <w:highlight w:val="none"/>
                <w:lang w:val="en-US" w:eastAsia="zh-CN"/>
              </w:rPr>
              <w:t xml:space="preserve">  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927" w:type="dxa"/>
            <w:tcBorders>
              <w:left w:val="single" w:color="000000" w:sz="10" w:space="0"/>
              <w:right w:val="single" w:color="000000" w:sz="4" w:space="0"/>
            </w:tcBorders>
            <w:vAlign w:val="center"/>
          </w:tcPr>
          <w:p>
            <w:pPr>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color w:val="auto"/>
                <w:highlight w:val="none"/>
                <w:lang w:val="en-US" w:eastAsia="zh-CN"/>
              </w:rPr>
              <w:t>钢筋加工数控设备</w:t>
            </w:r>
          </w:p>
        </w:tc>
        <w:tc>
          <w:tcPr>
            <w:tcW w:w="3561" w:type="dxa"/>
            <w:tcBorders>
              <w:left w:val="single" w:color="000000" w:sz="4" w:space="0"/>
              <w:right w:val="single" w:color="000000" w:sz="4" w:space="0"/>
            </w:tcBorders>
            <w:vAlign w:val="center"/>
          </w:tcPr>
          <w:p>
            <w:pPr>
              <w:jc w:val="center"/>
              <w:rPr>
                <w:rFonts w:hint="eastAsia" w:ascii="宋体" w:hAnsi="宋体" w:eastAsia="宋体" w:cs="宋体"/>
                <w:snapToGrid w:val="0"/>
                <w:color w:val="auto"/>
                <w:kern w:val="0"/>
                <w:sz w:val="21"/>
                <w:szCs w:val="21"/>
                <w:highlight w:val="none"/>
              </w:rPr>
            </w:pPr>
            <w:r>
              <w:rPr>
                <w:rFonts w:hint="eastAsia" w:ascii="宋体" w:hAnsi="宋体" w:eastAsia="宋体" w:cs="宋体"/>
                <w:color w:val="auto"/>
                <w:kern w:val="0"/>
                <w:sz w:val="21"/>
                <w:szCs w:val="21"/>
                <w:highlight w:val="none"/>
                <w:lang w:val="en-US" w:eastAsia="zh-CN"/>
              </w:rPr>
              <w:t>满足施工要求</w:t>
            </w:r>
          </w:p>
        </w:tc>
        <w:tc>
          <w:tcPr>
            <w:tcW w:w="1151" w:type="dxa"/>
            <w:tcBorders>
              <w:left w:val="single" w:color="000000" w:sz="4" w:space="0"/>
              <w:right w:val="single" w:color="000000" w:sz="4" w:space="0"/>
            </w:tcBorders>
            <w:vAlign w:val="center"/>
          </w:tcPr>
          <w:p>
            <w:pPr>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color w:val="auto"/>
                <w:highlight w:val="none"/>
                <w:lang w:val="en-US" w:eastAsia="zh-CN"/>
              </w:rPr>
              <w:t>套</w:t>
            </w:r>
          </w:p>
        </w:tc>
        <w:tc>
          <w:tcPr>
            <w:tcW w:w="2422" w:type="dxa"/>
            <w:tcBorders>
              <w:left w:val="single" w:color="000000" w:sz="4" w:space="0"/>
              <w:right w:val="single" w:color="000000" w:sz="10" w:space="0"/>
            </w:tcBorders>
            <w:vAlign w:val="center"/>
          </w:tcPr>
          <w:p>
            <w:pPr>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color w:val="auto"/>
                <w:highlight w:val="none"/>
                <w:lang w:val="en-US" w:eastAsia="zh-CN"/>
              </w:rPr>
              <w:t xml:space="preserve">  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1927" w:type="dxa"/>
            <w:tcBorders>
              <w:left w:val="single" w:color="000000" w:sz="10" w:space="0"/>
              <w:right w:val="single" w:color="000000" w:sz="4" w:space="0"/>
            </w:tcBorders>
            <w:vAlign w:val="center"/>
          </w:tcPr>
          <w:p>
            <w:pPr>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highlight w:val="none"/>
                <w:lang w:val="en-US" w:eastAsia="zh-CN"/>
              </w:rPr>
              <w:t>试验设备</w:t>
            </w:r>
          </w:p>
        </w:tc>
        <w:tc>
          <w:tcPr>
            <w:tcW w:w="3561" w:type="dxa"/>
            <w:tcBorders>
              <w:left w:val="single" w:color="000000" w:sz="4" w:space="0"/>
              <w:right w:val="single" w:color="000000" w:sz="4" w:space="0"/>
            </w:tcBorders>
            <w:vAlign w:val="center"/>
          </w:tcPr>
          <w:p>
            <w:pPr>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满足施工要求</w:t>
            </w:r>
          </w:p>
        </w:tc>
        <w:tc>
          <w:tcPr>
            <w:tcW w:w="1151" w:type="dxa"/>
            <w:tcBorders>
              <w:left w:val="single" w:color="000000" w:sz="4" w:space="0"/>
              <w:right w:val="single" w:color="000000" w:sz="4" w:space="0"/>
            </w:tcBorders>
            <w:vAlign w:val="center"/>
          </w:tcPr>
          <w:p>
            <w:pPr>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highlight w:val="none"/>
                <w:lang w:val="en-US" w:eastAsia="zh-CN"/>
              </w:rPr>
              <w:t>套</w:t>
            </w:r>
          </w:p>
        </w:tc>
        <w:tc>
          <w:tcPr>
            <w:tcW w:w="2422" w:type="dxa"/>
            <w:tcBorders>
              <w:left w:val="single" w:color="000000" w:sz="4" w:space="0"/>
              <w:right w:val="single" w:color="000000" w:sz="10" w:space="0"/>
            </w:tcBorders>
            <w:vAlign w:val="center"/>
          </w:tcPr>
          <w:p>
            <w:pPr>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highlight w:val="none"/>
                <w:lang w:val="en-US" w:eastAsia="zh-CN"/>
              </w:rPr>
              <w:t xml:space="preserve">  1</w:t>
            </w:r>
          </w:p>
        </w:tc>
      </w:tr>
    </w:tbl>
    <w:p>
      <w:pPr>
        <w:spacing w:line="251" w:lineRule="auto"/>
        <w:rPr>
          <w:rFonts w:ascii="Arial"/>
          <w:color w:val="auto"/>
          <w:sz w:val="21"/>
          <w:highlight w:val="none"/>
        </w:rPr>
      </w:pPr>
    </w:p>
    <w:p>
      <w:pPr>
        <w:spacing w:line="251" w:lineRule="auto"/>
        <w:rPr>
          <w:rFonts w:ascii="Arial"/>
          <w:color w:val="auto"/>
          <w:sz w:val="21"/>
          <w:highlight w:val="none"/>
        </w:rPr>
      </w:pPr>
    </w:p>
    <w:p>
      <w:pPr>
        <w:spacing w:line="251" w:lineRule="auto"/>
        <w:rPr>
          <w:rFonts w:ascii="Arial"/>
          <w:color w:val="auto"/>
          <w:sz w:val="21"/>
          <w:highlight w:val="none"/>
        </w:rPr>
      </w:pPr>
    </w:p>
    <w:p>
      <w:pPr>
        <w:spacing w:line="252" w:lineRule="auto"/>
        <w:rPr>
          <w:rFonts w:ascii="Arial"/>
          <w:color w:val="auto"/>
          <w:sz w:val="21"/>
          <w:highlight w:val="none"/>
        </w:rPr>
      </w:pPr>
    </w:p>
    <w:p>
      <w:pPr>
        <w:spacing w:line="252" w:lineRule="auto"/>
        <w:rPr>
          <w:rFonts w:ascii="Arial"/>
          <w:color w:val="auto"/>
          <w:sz w:val="21"/>
          <w:highlight w:val="none"/>
        </w:rPr>
      </w:pPr>
    </w:p>
    <w:p>
      <w:pPr>
        <w:spacing w:line="252" w:lineRule="auto"/>
        <w:rPr>
          <w:rFonts w:ascii="Arial"/>
          <w:color w:val="auto"/>
          <w:sz w:val="21"/>
          <w:highlight w:val="none"/>
        </w:rPr>
      </w:pPr>
    </w:p>
    <w:p>
      <w:pPr>
        <w:rPr>
          <w:color w:val="auto"/>
          <w:highlight w:val="none"/>
        </w:rPr>
        <w:sectPr>
          <w:pgSz w:w="11900" w:h="16840"/>
          <w:pgMar w:top="1160" w:right="1354" w:bottom="1448" w:left="1319" w:header="883" w:footer="1234" w:gutter="0"/>
          <w:pgNumType w:fmt="decimal"/>
          <w:cols w:space="720" w:num="1"/>
        </w:sectPr>
      </w:pPr>
    </w:p>
    <w:p>
      <w:pPr>
        <w:spacing w:before="298" w:line="220" w:lineRule="auto"/>
        <w:ind w:left="32"/>
        <w:outlineLvl w:val="2"/>
        <w:rPr>
          <w:rFonts w:hint="eastAsia" w:ascii="宋体" w:hAnsi="宋体" w:eastAsia="宋体" w:cs="宋体"/>
          <w:color w:val="auto"/>
          <w:spacing w:val="-2"/>
          <w:sz w:val="28"/>
          <w:szCs w:val="28"/>
          <w:highlight w:val="none"/>
        </w:rPr>
      </w:pPr>
      <w:bookmarkStart w:id="600" w:name="_Toc27603"/>
      <w:r>
        <w:rPr>
          <w:rFonts w:hint="eastAsia" w:ascii="宋体" w:hAnsi="宋体" w:eastAsia="宋体" w:cs="宋体"/>
          <w:color w:val="auto"/>
          <w:spacing w:val="-2"/>
          <w:sz w:val="28"/>
          <w:szCs w:val="28"/>
          <w:highlight w:val="none"/>
        </w:rPr>
        <w:t>附件六  项目经理委任书</w:t>
      </w:r>
      <w:bookmarkEnd w:id="600"/>
    </w:p>
    <w:p>
      <w:pPr>
        <w:spacing w:before="299" w:line="217" w:lineRule="auto"/>
        <w:jc w:val="both"/>
        <w:outlineLvl w:val="2"/>
        <w:rPr>
          <w:rFonts w:hint="eastAsia" w:ascii="宋体" w:hAnsi="宋体" w:eastAsia="宋体" w:cs="宋体"/>
          <w:b/>
          <w:bCs/>
          <w:color w:val="auto"/>
          <w:spacing w:val="-4"/>
          <w:sz w:val="28"/>
          <w:szCs w:val="28"/>
          <w:highlight w:val="none"/>
        </w:rPr>
      </w:pPr>
    </w:p>
    <w:p>
      <w:pPr>
        <w:spacing w:before="299" w:line="217" w:lineRule="auto"/>
        <w:ind w:left="30"/>
        <w:jc w:val="center"/>
        <w:outlineLvl w:val="2"/>
        <w:rPr>
          <w:rFonts w:hint="eastAsia" w:ascii="宋体" w:hAnsi="宋体" w:eastAsia="宋体" w:cs="宋体"/>
          <w:b/>
          <w:bCs/>
          <w:color w:val="auto"/>
          <w:spacing w:val="-4"/>
          <w:sz w:val="28"/>
          <w:szCs w:val="28"/>
          <w:highlight w:val="none"/>
          <w:u w:val="single"/>
        </w:rPr>
      </w:pPr>
      <w:r>
        <w:rPr>
          <w:rFonts w:hint="eastAsia" w:ascii="宋体" w:hAnsi="宋体" w:eastAsia="宋体" w:cs="宋体"/>
          <w:b/>
          <w:bCs/>
          <w:color w:val="auto"/>
          <w:spacing w:val="-4"/>
          <w:sz w:val="28"/>
          <w:szCs w:val="28"/>
          <w:highlight w:val="none"/>
          <w:u w:val="single"/>
        </w:rPr>
        <w:t>(承包人全称)</w:t>
      </w:r>
    </w:p>
    <w:p>
      <w:pPr>
        <w:spacing w:before="299" w:line="217" w:lineRule="auto"/>
        <w:ind w:left="30"/>
        <w:jc w:val="center"/>
        <w:outlineLvl w:val="2"/>
        <w:rPr>
          <w:rFonts w:hint="eastAsia" w:ascii="宋体" w:hAnsi="宋体" w:eastAsia="宋体" w:cs="宋体"/>
          <w:b/>
          <w:bCs/>
          <w:color w:val="auto"/>
          <w:spacing w:val="-4"/>
          <w:sz w:val="28"/>
          <w:szCs w:val="28"/>
          <w:highlight w:val="none"/>
        </w:rPr>
      </w:pPr>
      <w:r>
        <w:rPr>
          <w:rFonts w:hint="eastAsia" w:ascii="宋体" w:hAnsi="宋体" w:eastAsia="宋体" w:cs="宋体"/>
          <w:b/>
          <w:bCs/>
          <w:color w:val="auto"/>
          <w:spacing w:val="-4"/>
          <w:sz w:val="28"/>
          <w:szCs w:val="28"/>
          <w:highlight w:val="none"/>
          <w:u w:val="single"/>
        </w:rPr>
        <w:t>(合同工程名称)</w:t>
      </w:r>
      <w:r>
        <w:rPr>
          <w:rFonts w:hint="eastAsia" w:ascii="宋体" w:hAnsi="宋体" w:eastAsia="宋体" w:cs="宋体"/>
          <w:b/>
          <w:bCs/>
          <w:color w:val="auto"/>
          <w:spacing w:val="-4"/>
          <w:sz w:val="28"/>
          <w:szCs w:val="28"/>
          <w:highlight w:val="none"/>
        </w:rPr>
        <w:t>项目经理委任书</w:t>
      </w:r>
    </w:p>
    <w:p>
      <w:pPr>
        <w:spacing w:line="449" w:lineRule="auto"/>
        <w:rPr>
          <w:rFonts w:ascii="Arial"/>
          <w:color w:val="auto"/>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5"/>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致：</w:t>
      </w:r>
      <w:r>
        <w:rPr>
          <w:rFonts w:hint="eastAsia" w:ascii="宋体" w:hAnsi="宋体" w:eastAsia="宋体" w:cs="宋体"/>
          <w:color w:val="auto"/>
          <w:spacing w:val="0"/>
          <w:sz w:val="21"/>
          <w:szCs w:val="21"/>
          <w:highlight w:val="none"/>
          <w:u w:val="single" w:color="auto"/>
        </w:rPr>
        <w:t>(发包人全称)</w:t>
      </w:r>
    </w:p>
    <w:p>
      <w:pPr>
        <w:keepNext w:val="0"/>
        <w:keepLines w:val="0"/>
        <w:pageBreakBefore w:val="0"/>
        <w:widowControl/>
        <w:kinsoku w:val="0"/>
        <w:wordWrap/>
        <w:overflowPunct/>
        <w:topLinePunct w:val="0"/>
        <w:autoSpaceDE w:val="0"/>
        <w:autoSpaceDN w:val="0"/>
        <w:bidi w:val="0"/>
        <w:adjustRightInd w:val="0"/>
        <w:snapToGrid w:val="0"/>
        <w:spacing w:before="119" w:line="400" w:lineRule="exact"/>
        <w:ind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u w:val="single" w:color="auto"/>
        </w:rPr>
        <w:t>(承包人全称)</w:t>
      </w:r>
      <w:r>
        <w:rPr>
          <w:rFonts w:hint="eastAsia" w:ascii="宋体" w:hAnsi="宋体" w:eastAsia="宋体" w:cs="宋体"/>
          <w:color w:val="auto"/>
          <w:spacing w:val="0"/>
          <w:sz w:val="21"/>
          <w:szCs w:val="21"/>
          <w:highlight w:val="none"/>
        </w:rPr>
        <w:t>法定代表人</w:t>
      </w:r>
      <w:r>
        <w:rPr>
          <w:rFonts w:hint="eastAsia" w:ascii="宋体" w:hAnsi="宋体" w:eastAsia="宋体" w:cs="宋体"/>
          <w:color w:val="auto"/>
          <w:spacing w:val="0"/>
          <w:sz w:val="21"/>
          <w:szCs w:val="21"/>
          <w:highlight w:val="none"/>
          <w:u w:val="single" w:color="auto"/>
        </w:rPr>
        <w:t>(职务、姓名)</w:t>
      </w:r>
      <w:r>
        <w:rPr>
          <w:rFonts w:hint="eastAsia" w:ascii="宋体" w:hAnsi="宋体" w:eastAsia="宋体" w:cs="宋体"/>
          <w:color w:val="auto"/>
          <w:spacing w:val="0"/>
          <w:sz w:val="21"/>
          <w:szCs w:val="21"/>
          <w:highlight w:val="none"/>
        </w:rPr>
        <w:t>代表本单位委任</w:t>
      </w:r>
      <w:r>
        <w:rPr>
          <w:rFonts w:hint="eastAsia" w:ascii="宋体" w:hAnsi="宋体" w:eastAsia="宋体" w:cs="宋体"/>
          <w:color w:val="auto"/>
          <w:spacing w:val="0"/>
          <w:sz w:val="21"/>
          <w:szCs w:val="21"/>
          <w:highlight w:val="none"/>
          <w:u w:val="single" w:color="auto"/>
        </w:rPr>
        <w:t>(职务、姓名)</w:t>
      </w:r>
      <w:r>
        <w:rPr>
          <w:rFonts w:hint="eastAsia" w:ascii="宋体" w:hAnsi="宋体" w:eastAsia="宋体" w:cs="宋体"/>
          <w:color w:val="auto"/>
          <w:spacing w:val="0"/>
          <w:sz w:val="21"/>
          <w:szCs w:val="21"/>
          <w:highlight w:val="none"/>
        </w:rPr>
        <w:t>为</w:t>
      </w:r>
      <w:r>
        <w:rPr>
          <w:rFonts w:hint="eastAsia" w:ascii="宋体" w:hAnsi="宋体" w:eastAsia="宋体" w:cs="宋体"/>
          <w:color w:val="auto"/>
          <w:spacing w:val="0"/>
          <w:sz w:val="21"/>
          <w:szCs w:val="21"/>
          <w:highlight w:val="none"/>
          <w:u w:val="single" w:color="auto"/>
        </w:rPr>
        <w:t>(合同工程名称)</w:t>
      </w:r>
      <w:r>
        <w:rPr>
          <w:rFonts w:hint="eastAsia" w:ascii="宋体" w:hAnsi="宋体" w:eastAsia="宋体" w:cs="宋体"/>
          <w:color w:val="auto"/>
          <w:spacing w:val="0"/>
          <w:sz w:val="21"/>
          <w:szCs w:val="21"/>
          <w:highlight w:val="none"/>
        </w:rPr>
        <w:t xml:space="preserve">的项目经理。凡本合同执行中的有关技术、工程进度、现场管理、质量检验、结算与支付等方面工作，由 </w:t>
      </w:r>
      <w:r>
        <w:rPr>
          <w:rFonts w:hint="eastAsia" w:ascii="宋体" w:hAnsi="宋体" w:eastAsia="宋体" w:cs="宋体"/>
          <w:color w:val="auto"/>
          <w:spacing w:val="0"/>
          <w:sz w:val="21"/>
          <w:szCs w:val="21"/>
          <w:highlight w:val="none"/>
          <w:u w:val="single" w:color="auto"/>
        </w:rPr>
        <w:t>(姓名)</w:t>
      </w:r>
      <w:r>
        <w:rPr>
          <w:rFonts w:hint="eastAsia" w:ascii="宋体" w:hAnsi="宋体" w:eastAsia="宋体" w:cs="宋体"/>
          <w:color w:val="auto"/>
          <w:spacing w:val="0"/>
          <w:sz w:val="21"/>
          <w:szCs w:val="21"/>
          <w:highlight w:val="none"/>
        </w:rPr>
        <w:t>代表本单位全面负责。</w:t>
      </w:r>
    </w:p>
    <w:p>
      <w:pPr>
        <w:rPr>
          <w:rFonts w:hint="eastAsia" w:ascii="宋体" w:hAnsi="宋体" w:eastAsia="宋体" w:cs="宋体"/>
          <w:color w:val="auto"/>
          <w:sz w:val="21"/>
          <w:szCs w:val="21"/>
          <w:highlight w:val="none"/>
        </w:rPr>
      </w:pPr>
    </w:p>
    <w:p>
      <w:pPr>
        <w:rPr>
          <w:rFonts w:hint="eastAsia" w:ascii="宋体" w:hAnsi="宋体" w:eastAsia="宋体" w:cs="宋体"/>
          <w:color w:val="auto"/>
          <w:sz w:val="21"/>
          <w:szCs w:val="21"/>
          <w:highlight w:val="none"/>
        </w:rPr>
      </w:pPr>
    </w:p>
    <w:p>
      <w:pPr>
        <w:spacing w:line="184" w:lineRule="exact"/>
        <w:rPr>
          <w:rFonts w:hint="eastAsia" w:ascii="宋体" w:hAnsi="宋体" w:eastAsia="宋体" w:cs="宋体"/>
          <w:color w:val="auto"/>
          <w:sz w:val="21"/>
          <w:szCs w:val="21"/>
          <w:highlight w:val="none"/>
        </w:rPr>
      </w:pPr>
    </w:p>
    <w:p>
      <w:pPr>
        <w:rPr>
          <w:rFonts w:hint="eastAsia" w:ascii="宋体" w:hAnsi="宋体" w:eastAsia="宋体" w:cs="宋体"/>
          <w:color w:val="auto"/>
          <w:sz w:val="21"/>
          <w:szCs w:val="21"/>
          <w:highlight w:val="none"/>
        </w:rPr>
        <w:sectPr>
          <w:pgSz w:w="11900" w:h="16840"/>
          <w:pgMar w:top="1160" w:right="1277" w:bottom="1448" w:left="1363" w:header="883" w:footer="1234" w:gutter="0"/>
          <w:pgNumType w:fmt="decimal"/>
          <w:cols w:equalWidth="0" w:num="1">
            <w:col w:w="9259"/>
          </w:cols>
        </w:sectPr>
      </w:pPr>
    </w:p>
    <w:p>
      <w:pPr>
        <w:spacing w:before="86" w:line="384" w:lineRule="auto"/>
        <w:ind w:left="3576"/>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7"/>
          <w:sz w:val="21"/>
          <w:szCs w:val="21"/>
          <w:highlight w:val="none"/>
        </w:rPr>
        <w:t>承</w:t>
      </w:r>
      <w:r>
        <w:rPr>
          <w:rFonts w:hint="eastAsia" w:ascii="宋体" w:hAnsi="宋体" w:eastAsia="宋体" w:cs="宋体"/>
          <w:color w:val="auto"/>
          <w:spacing w:val="-6"/>
          <w:sz w:val="21"/>
          <w:szCs w:val="21"/>
          <w:highlight w:val="none"/>
        </w:rPr>
        <w:t xml:space="preserve">  包  人</w:t>
      </w:r>
      <w:r>
        <w:rPr>
          <w:rFonts w:hint="eastAsia" w:ascii="宋体" w:hAnsi="宋体" w:eastAsia="宋体" w:cs="宋体"/>
          <w:color w:val="auto"/>
          <w:spacing w:val="-6"/>
          <w:sz w:val="21"/>
          <w:szCs w:val="21"/>
          <w:highlight w:val="none"/>
          <w:lang w:val="en-US" w:eastAsia="zh-CN"/>
        </w:rPr>
        <w:t>:</w:t>
      </w:r>
      <w:r>
        <w:rPr>
          <w:rFonts w:hint="eastAsia" w:ascii="宋体" w:hAnsi="宋体" w:eastAsia="宋体" w:cs="宋体"/>
          <w:color w:val="auto"/>
          <w:spacing w:val="-9"/>
          <w:sz w:val="21"/>
          <w:szCs w:val="21"/>
          <w:highlight w:val="none"/>
        </w:rPr>
        <w:t>法</w:t>
      </w:r>
      <w:r>
        <w:rPr>
          <w:rFonts w:hint="eastAsia" w:ascii="宋体" w:hAnsi="宋体" w:eastAsia="宋体" w:cs="宋体"/>
          <w:color w:val="auto"/>
          <w:spacing w:val="-8"/>
          <w:sz w:val="21"/>
          <w:szCs w:val="21"/>
          <w:highlight w:val="none"/>
        </w:rPr>
        <w:t>定代表人</w:t>
      </w:r>
      <w:r>
        <w:rPr>
          <w:rFonts w:hint="eastAsia" w:ascii="宋体" w:hAnsi="宋体" w:eastAsia="宋体" w:cs="宋体"/>
          <w:color w:val="auto"/>
          <w:spacing w:val="-8"/>
          <w:sz w:val="21"/>
          <w:szCs w:val="21"/>
          <w:highlight w:val="none"/>
          <w:lang w:val="en-US" w:eastAsia="zh-CN"/>
        </w:rPr>
        <w:t>:</w:t>
      </w:r>
    </w:p>
    <w:p>
      <w:pPr>
        <w:spacing w:line="244" w:lineRule="auto"/>
        <w:rPr>
          <w:rFonts w:hint="eastAsia" w:ascii="宋体" w:hAnsi="宋体" w:eastAsia="宋体" w:cs="宋体"/>
          <w:color w:val="auto"/>
          <w:sz w:val="21"/>
          <w:szCs w:val="21"/>
          <w:highlight w:val="none"/>
        </w:rPr>
      </w:pPr>
    </w:p>
    <w:p>
      <w:pPr>
        <w:spacing w:line="244" w:lineRule="auto"/>
        <w:rPr>
          <w:rFonts w:hint="eastAsia" w:ascii="宋体" w:hAnsi="宋体" w:eastAsia="宋体" w:cs="宋体"/>
          <w:color w:val="auto"/>
          <w:sz w:val="21"/>
          <w:szCs w:val="21"/>
          <w:highlight w:val="none"/>
        </w:rPr>
      </w:pPr>
    </w:p>
    <w:p>
      <w:pPr>
        <w:spacing w:line="244" w:lineRule="auto"/>
        <w:rPr>
          <w:rFonts w:hint="eastAsia" w:ascii="宋体" w:hAnsi="宋体" w:eastAsia="宋体" w:cs="宋体"/>
          <w:color w:val="auto"/>
          <w:sz w:val="21"/>
          <w:szCs w:val="21"/>
          <w:highlight w:val="none"/>
        </w:rPr>
      </w:pPr>
    </w:p>
    <w:p>
      <w:pPr>
        <w:spacing w:line="245" w:lineRule="auto"/>
        <w:rPr>
          <w:rFonts w:hint="eastAsia" w:ascii="宋体" w:hAnsi="宋体" w:eastAsia="宋体" w:cs="宋体"/>
          <w:color w:val="auto"/>
          <w:sz w:val="21"/>
          <w:szCs w:val="21"/>
          <w:highlight w:val="none"/>
        </w:rPr>
      </w:pPr>
    </w:p>
    <w:p>
      <w:pPr>
        <w:spacing w:line="245" w:lineRule="auto"/>
        <w:rPr>
          <w:rFonts w:hint="eastAsia" w:ascii="宋体" w:hAnsi="宋体" w:eastAsia="宋体" w:cs="宋体"/>
          <w:color w:val="auto"/>
          <w:sz w:val="21"/>
          <w:szCs w:val="21"/>
          <w:highlight w:val="none"/>
        </w:rPr>
      </w:pPr>
    </w:p>
    <w:p>
      <w:pPr>
        <w:spacing w:line="245" w:lineRule="auto"/>
        <w:rPr>
          <w:rFonts w:hint="eastAsia" w:ascii="宋体" w:hAnsi="宋体" w:eastAsia="宋体" w:cs="宋体"/>
          <w:color w:val="auto"/>
          <w:sz w:val="21"/>
          <w:szCs w:val="21"/>
          <w:highlight w:val="none"/>
        </w:rPr>
      </w:pPr>
    </w:p>
    <w:p>
      <w:pPr>
        <w:spacing w:before="66" w:line="253" w:lineRule="auto"/>
        <w:ind w:left="6"/>
        <w:rPr>
          <w:rFonts w:hint="eastAsia" w:ascii="宋体" w:hAnsi="宋体" w:eastAsia="宋体" w:cs="宋体"/>
          <w:color w:val="auto"/>
          <w:spacing w:val="7"/>
          <w:sz w:val="21"/>
          <w:szCs w:val="21"/>
          <w:highlight w:val="none"/>
          <w:u w:val="single" w:color="auto"/>
        </w:rPr>
      </w:pPr>
      <w:r>
        <w:rPr>
          <w:rFonts w:hint="eastAsia" w:ascii="宋体" w:hAnsi="宋体" w:eastAsia="宋体" w:cs="宋体"/>
          <w:color w:val="auto"/>
          <w:spacing w:val="7"/>
          <w:sz w:val="21"/>
          <w:szCs w:val="21"/>
          <w:highlight w:val="none"/>
        </w:rPr>
        <w:t>抄送：</w:t>
      </w:r>
      <w:r>
        <w:rPr>
          <w:rFonts w:hint="eastAsia" w:ascii="宋体" w:hAnsi="宋体" w:eastAsia="宋体" w:cs="宋体"/>
          <w:color w:val="auto"/>
          <w:spacing w:val="7"/>
          <w:sz w:val="21"/>
          <w:szCs w:val="21"/>
          <w:highlight w:val="none"/>
          <w:u w:val="single" w:color="auto"/>
        </w:rPr>
        <w:t>(监理人)</w:t>
      </w:r>
    </w:p>
    <w:p>
      <w:pPr>
        <w:pStyle w:val="2"/>
        <w:rPr>
          <w:rFonts w:hint="eastAsia" w:ascii="宋体" w:hAnsi="宋体" w:eastAsia="宋体" w:cs="宋体"/>
          <w:color w:val="auto"/>
          <w:spacing w:val="7"/>
          <w:sz w:val="21"/>
          <w:szCs w:val="21"/>
          <w:highlight w:val="none"/>
          <w:u w:val="single" w:color="auto"/>
        </w:rPr>
      </w:pPr>
    </w:p>
    <w:p>
      <w:pPr>
        <w:pStyle w:val="2"/>
        <w:rPr>
          <w:rFonts w:hint="eastAsia" w:ascii="宋体" w:hAnsi="宋体" w:eastAsia="宋体" w:cs="宋体"/>
          <w:color w:val="auto"/>
          <w:spacing w:val="7"/>
          <w:sz w:val="21"/>
          <w:szCs w:val="21"/>
          <w:highlight w:val="none"/>
          <w:u w:val="single" w:color="auto"/>
        </w:rPr>
      </w:pPr>
    </w:p>
    <w:p>
      <w:pPr>
        <w:pStyle w:val="2"/>
        <w:rPr>
          <w:rFonts w:hint="eastAsia" w:ascii="宋体" w:hAnsi="宋体" w:eastAsia="宋体" w:cs="宋体"/>
          <w:color w:val="auto"/>
          <w:spacing w:val="7"/>
          <w:sz w:val="21"/>
          <w:szCs w:val="21"/>
          <w:highlight w:val="none"/>
          <w:u w:val="single" w:color="auto"/>
        </w:rPr>
      </w:pPr>
    </w:p>
    <w:p>
      <w:pPr>
        <w:pStyle w:val="2"/>
        <w:ind w:firstLine="1344" w:firstLineChars="600"/>
        <w:rPr>
          <w:rFonts w:hint="eastAsia" w:ascii="宋体" w:hAnsi="宋体" w:cs="宋体"/>
          <w:color w:val="auto"/>
          <w:spacing w:val="7"/>
          <w:sz w:val="21"/>
          <w:szCs w:val="21"/>
          <w:highlight w:val="none"/>
          <w:u w:val="single" w:color="auto"/>
          <w:lang w:val="en-US" w:eastAsia="zh-CN"/>
        </w:rPr>
      </w:pPr>
    </w:p>
    <w:p>
      <w:pPr>
        <w:pStyle w:val="2"/>
        <w:ind w:firstLine="1344" w:firstLineChars="600"/>
        <w:rPr>
          <w:rFonts w:hint="eastAsia" w:ascii="宋体" w:hAnsi="宋体" w:cs="宋体"/>
          <w:color w:val="auto"/>
          <w:spacing w:val="7"/>
          <w:sz w:val="21"/>
          <w:szCs w:val="21"/>
          <w:highlight w:val="none"/>
          <w:u w:val="single" w:color="auto"/>
          <w:lang w:val="en-US" w:eastAsia="zh-CN"/>
        </w:rPr>
      </w:pPr>
    </w:p>
    <w:p>
      <w:pPr>
        <w:pStyle w:val="2"/>
        <w:ind w:firstLine="1344" w:firstLineChars="600"/>
        <w:rPr>
          <w:rFonts w:hint="default" w:ascii="宋体" w:hAnsi="宋体" w:cs="宋体"/>
          <w:color w:val="auto"/>
          <w:spacing w:val="7"/>
          <w:sz w:val="21"/>
          <w:szCs w:val="21"/>
          <w:highlight w:val="none"/>
          <w:u w:val="single" w:color="auto"/>
          <w:lang w:val="en-US" w:eastAsia="zh-CN"/>
        </w:rPr>
      </w:pPr>
    </w:p>
    <w:p>
      <w:pPr>
        <w:spacing w:line="14"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column"/>
      </w:r>
    </w:p>
    <w:p>
      <w:pPr>
        <w:tabs>
          <w:tab w:val="left" w:pos="2001"/>
        </w:tabs>
        <w:spacing w:before="53" w:line="377"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pict>
          <v:shape id="_x0000_s1085" o:spid="_x0000_s1085" style="position:absolute;left:0pt;margin-left:0pt;margin-top:34.75pt;height:0.5pt;width:96.1pt;z-index:251661312;mso-width-relative:page;mso-height-relative:page;" filled="f" stroked="t" coordsize="1923,10" path="m0,4l1922,4e">
            <v:fill on="f" focussize="0,0"/>
            <v:stroke weight="0.48pt" color="#000000" miterlimit="10" joinstyle="bevel"/>
            <v:imagedata o:title=""/>
            <o:lock v:ext="edit"/>
          </v:shape>
        </w:pict>
      </w:r>
      <w:r>
        <w:rPr>
          <w:rFonts w:hint="eastAsia" w:ascii="宋体" w:hAnsi="宋体" w:eastAsia="宋体" w:cs="宋体"/>
          <w:color w:val="auto"/>
          <w:sz w:val="21"/>
          <w:szCs w:val="21"/>
          <w:highlight w:val="none"/>
          <w:u w:val="single" w:color="auto"/>
        </w:rPr>
        <w:tab/>
      </w:r>
      <w:r>
        <w:rPr>
          <w:rFonts w:hint="eastAsia" w:ascii="宋体" w:hAnsi="宋体" w:eastAsia="宋体" w:cs="宋体"/>
          <w:color w:val="auto"/>
          <w:spacing w:val="8"/>
          <w:sz w:val="21"/>
          <w:szCs w:val="21"/>
          <w:highlight w:val="none"/>
        </w:rPr>
        <w:t>(</w:t>
      </w:r>
      <w:r>
        <w:rPr>
          <w:rFonts w:hint="eastAsia" w:ascii="宋体" w:hAnsi="宋体" w:eastAsia="宋体" w:cs="宋体"/>
          <w:color w:val="auto"/>
          <w:spacing w:val="6"/>
          <w:sz w:val="21"/>
          <w:szCs w:val="21"/>
          <w:highlight w:val="none"/>
        </w:rPr>
        <w:t>盖单位章)</w:t>
      </w:r>
    </w:p>
    <w:p>
      <w:pPr>
        <w:spacing w:line="275" w:lineRule="exact"/>
        <w:ind w:left="637"/>
        <w:rPr>
          <w:rFonts w:hint="eastAsia" w:ascii="宋体" w:hAnsi="宋体" w:eastAsia="宋体" w:cs="宋体"/>
          <w:color w:val="auto"/>
          <w:sz w:val="21"/>
          <w:szCs w:val="21"/>
          <w:highlight w:val="none"/>
        </w:rPr>
      </w:pPr>
      <w:r>
        <w:rPr>
          <w:rFonts w:hint="eastAsia" w:ascii="宋体" w:hAnsi="宋体" w:eastAsia="宋体" w:cs="宋体"/>
          <w:color w:val="auto"/>
          <w:spacing w:val="5"/>
          <w:position w:val="2"/>
          <w:sz w:val="21"/>
          <w:szCs w:val="21"/>
          <w:highlight w:val="none"/>
        </w:rPr>
        <w:t>(</w:t>
      </w:r>
      <w:r>
        <w:rPr>
          <w:rFonts w:hint="eastAsia" w:ascii="宋体" w:hAnsi="宋体" w:eastAsia="宋体" w:cs="宋体"/>
          <w:color w:val="auto"/>
          <w:spacing w:val="4"/>
          <w:position w:val="2"/>
          <w:sz w:val="21"/>
          <w:szCs w:val="21"/>
          <w:highlight w:val="none"/>
        </w:rPr>
        <w:t>职务)</w:t>
      </w:r>
    </w:p>
    <w:p>
      <w:pPr>
        <w:spacing w:before="133" w:line="275" w:lineRule="exact"/>
        <w:ind w:left="63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pict>
          <v:shape id="_x0000_s1086" o:spid="_x0000_s1086" o:spt="202" type="#_x0000_t202" style="position:absolute;left:0pt;margin-left:-1pt;margin-top:7.2pt;height:15.4pt;width:98.1pt;z-index:251662336;mso-width-relative:page;mso-height-relative:page;" filled="f" stroked="f" coordsize="21600,21600">
            <v:path/>
            <v:fill on="f" focussize="0,0"/>
            <v:stroke on="f"/>
            <v:imagedata o:title=""/>
            <o:lock v:ext="edit" aspectratio="f"/>
            <v:textbox inset="0mm,0mm,0mm,0mm">
              <w:txbxContent>
                <w:p>
                  <w:pPr>
                    <w:tabs>
                      <w:tab w:val="left" w:pos="725"/>
                    </w:tabs>
                    <w:spacing w:before="20" w:line="228" w:lineRule="auto"/>
                    <w:ind w:left="2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5"/>
                      <w:sz w:val="20"/>
                      <w:szCs w:val="20"/>
                      <w:u w:val="single" w:color="auto"/>
                    </w:rPr>
                    <w:t>姓名</w:t>
                  </w:r>
                  <w:r>
                    <w:rPr>
                      <w:rFonts w:ascii="宋体" w:hAnsi="宋体" w:eastAsia="宋体" w:cs="宋体"/>
                      <w:sz w:val="20"/>
                      <w:szCs w:val="20"/>
                      <w:u w:val="single" w:color="auto"/>
                    </w:rPr>
                    <w:t xml:space="preserve">        </w:t>
                  </w:r>
                </w:p>
              </w:txbxContent>
            </v:textbox>
          </v:shape>
        </w:pict>
      </w:r>
      <w:r>
        <w:rPr>
          <w:rFonts w:hint="eastAsia" w:ascii="宋体" w:hAnsi="宋体" w:eastAsia="宋体" w:cs="宋体"/>
          <w:color w:val="auto"/>
          <w:spacing w:val="2"/>
          <w:position w:val="3"/>
          <w:sz w:val="21"/>
          <w:szCs w:val="21"/>
          <w:highlight w:val="none"/>
        </w:rPr>
        <w:t xml:space="preserve">(        </w:t>
      </w:r>
      <w:r>
        <w:rPr>
          <w:rFonts w:hint="eastAsia" w:ascii="宋体" w:hAnsi="宋体" w:eastAsia="宋体" w:cs="宋体"/>
          <w:color w:val="auto"/>
          <w:spacing w:val="1"/>
          <w:position w:val="3"/>
          <w:sz w:val="21"/>
          <w:szCs w:val="21"/>
          <w:highlight w:val="none"/>
        </w:rPr>
        <w:t>)</w:t>
      </w:r>
    </w:p>
    <w:p>
      <w:pPr>
        <w:tabs>
          <w:tab w:val="left" w:pos="637"/>
        </w:tabs>
        <w:spacing w:before="136" w:line="405"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color="auto"/>
        </w:rPr>
        <w:tab/>
      </w:r>
      <w:r>
        <w:rPr>
          <w:rFonts w:hint="eastAsia" w:ascii="宋体" w:hAnsi="宋体" w:eastAsia="宋体" w:cs="宋体"/>
          <w:color w:val="auto"/>
          <w:spacing w:val="5"/>
          <w:sz w:val="21"/>
          <w:szCs w:val="21"/>
          <w:highlight w:val="none"/>
          <w:u w:val="single" w:color="auto"/>
        </w:rPr>
        <w:t>(</w:t>
      </w:r>
      <w:r>
        <w:rPr>
          <w:rFonts w:hint="eastAsia" w:ascii="宋体" w:hAnsi="宋体" w:eastAsia="宋体" w:cs="宋体"/>
          <w:color w:val="auto"/>
          <w:spacing w:val="4"/>
          <w:sz w:val="21"/>
          <w:szCs w:val="21"/>
          <w:highlight w:val="none"/>
          <w:u w:val="single" w:color="auto"/>
        </w:rPr>
        <w:t>签字)</w:t>
      </w:r>
      <w:r>
        <w:rPr>
          <w:rFonts w:hint="eastAsia" w:ascii="宋体" w:hAnsi="宋体" w:eastAsia="宋体" w:cs="宋体"/>
          <w:color w:val="auto"/>
          <w:sz w:val="21"/>
          <w:szCs w:val="21"/>
          <w:highlight w:val="none"/>
          <w:u w:val="single" w:color="auto"/>
        </w:rPr>
        <w:t xml:space="preserve">              </w:t>
      </w:r>
    </w:p>
    <w:p>
      <w:pPr>
        <w:tabs>
          <w:tab w:val="left" w:pos="675"/>
        </w:tabs>
        <w:spacing w:line="228" w:lineRule="auto"/>
        <w:ind w:left="3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color="auto"/>
        </w:rPr>
        <w:tab/>
      </w:r>
      <w:r>
        <w:rPr>
          <w:rFonts w:hint="eastAsia" w:ascii="宋体" w:hAnsi="宋体" w:eastAsia="宋体" w:cs="宋体"/>
          <w:color w:val="auto"/>
          <w:spacing w:val="-1"/>
          <w:sz w:val="21"/>
          <w:szCs w:val="21"/>
          <w:highlight w:val="none"/>
        </w:rPr>
        <w:t>年</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月</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 xml:space="preserve"> 日</w:t>
      </w:r>
    </w:p>
    <w:p>
      <w:pPr>
        <w:rPr>
          <w:color w:val="auto"/>
          <w:highlight w:val="none"/>
        </w:rPr>
        <w:sectPr>
          <w:type w:val="continuous"/>
          <w:pgSz w:w="11900" w:h="16840"/>
          <w:pgMar w:top="1160" w:right="1277" w:bottom="1448" w:left="1363" w:header="883" w:footer="1234" w:gutter="0"/>
          <w:pgNumType w:fmt="decimal"/>
          <w:cols w:equalWidth="0" w:num="2">
            <w:col w:w="4729" w:space="100"/>
            <w:col w:w="4431"/>
          </w:cols>
        </w:sectPr>
      </w:pPr>
    </w:p>
    <w:p>
      <w:pPr>
        <w:spacing w:before="298" w:line="220" w:lineRule="auto"/>
        <w:ind w:left="32"/>
        <w:outlineLvl w:val="2"/>
        <w:rPr>
          <w:rFonts w:hint="eastAsia" w:ascii="宋体" w:hAnsi="宋体" w:eastAsia="宋体" w:cs="宋体"/>
          <w:color w:val="auto"/>
          <w:spacing w:val="-2"/>
          <w:sz w:val="28"/>
          <w:szCs w:val="28"/>
          <w:highlight w:val="none"/>
        </w:rPr>
      </w:pPr>
      <w:bookmarkStart w:id="601" w:name="_Toc10525"/>
      <w:r>
        <w:rPr>
          <w:rFonts w:hint="eastAsia" w:ascii="宋体" w:hAnsi="宋体" w:eastAsia="宋体" w:cs="宋体"/>
          <w:color w:val="auto"/>
          <w:spacing w:val="-2"/>
          <w:sz w:val="28"/>
          <w:szCs w:val="28"/>
          <w:highlight w:val="none"/>
        </w:rPr>
        <w:t>附件七  履约保证金格式</w:t>
      </w:r>
      <w:bookmarkEnd w:id="601"/>
    </w:p>
    <w:p>
      <w:pPr>
        <w:spacing w:before="299" w:line="217" w:lineRule="auto"/>
        <w:outlineLvl w:val="2"/>
        <w:rPr>
          <w:rFonts w:hint="eastAsia" w:ascii="宋体" w:hAnsi="宋体" w:eastAsia="宋体" w:cs="宋体"/>
          <w:b w:val="0"/>
          <w:bCs w:val="0"/>
          <w:color w:val="auto"/>
          <w:spacing w:val="-2"/>
          <w:sz w:val="21"/>
          <w:szCs w:val="21"/>
          <w:highlight w:val="none"/>
        </w:rPr>
      </w:pPr>
      <w:r>
        <w:rPr>
          <w:rFonts w:hint="eastAsia" w:ascii="宋体" w:hAnsi="宋体" w:eastAsia="宋体" w:cs="宋体"/>
          <w:b w:val="0"/>
          <w:bCs w:val="0"/>
          <w:color w:val="auto"/>
          <w:spacing w:val="-2"/>
          <w:sz w:val="21"/>
          <w:szCs w:val="21"/>
          <w:highlight w:val="none"/>
        </w:rPr>
        <w:t>如采用银行保函，格式如下：</w:t>
      </w:r>
    </w:p>
    <w:p>
      <w:pPr>
        <w:spacing w:before="299" w:line="217" w:lineRule="auto"/>
        <w:ind w:left="30"/>
        <w:jc w:val="center"/>
        <w:outlineLvl w:val="2"/>
        <w:rPr>
          <w:rFonts w:hint="eastAsia" w:ascii="宋体" w:hAnsi="宋体" w:eastAsia="宋体" w:cs="宋体"/>
          <w:b/>
          <w:bCs/>
          <w:color w:val="auto"/>
          <w:spacing w:val="-2"/>
          <w:sz w:val="28"/>
          <w:szCs w:val="28"/>
          <w:highlight w:val="none"/>
        </w:rPr>
      </w:pPr>
      <w:r>
        <w:rPr>
          <w:rFonts w:hint="eastAsia" w:ascii="宋体" w:hAnsi="宋体" w:eastAsia="宋体" w:cs="宋体"/>
          <w:b/>
          <w:bCs/>
          <w:color w:val="auto"/>
          <w:spacing w:val="-2"/>
          <w:sz w:val="28"/>
          <w:szCs w:val="28"/>
          <w:highlight w:val="none"/>
        </w:rPr>
        <w:t>履约保证金</w:t>
      </w:r>
    </w:p>
    <w:p>
      <w:pPr>
        <w:spacing w:line="461" w:lineRule="auto"/>
        <w:outlineLvl w:val="9"/>
        <w:rPr>
          <w:rFonts w:hint="eastAsia" w:ascii="宋体" w:hAnsi="宋体" w:eastAsia="宋体" w:cs="宋体"/>
          <w:color w:val="auto"/>
          <w:sz w:val="21"/>
          <w:szCs w:val="21"/>
          <w:highlight w:val="none"/>
        </w:rPr>
      </w:pPr>
    </w:p>
    <w:p>
      <w:pPr>
        <w:keepNext w:val="0"/>
        <w:keepLines w:val="0"/>
        <w:pageBreakBefore w:val="0"/>
        <w:widowControl/>
        <w:tabs>
          <w:tab w:val="left" w:pos="1516"/>
        </w:tabs>
        <w:kinsoku w:val="0"/>
        <w:wordWrap/>
        <w:overflowPunct/>
        <w:topLinePunct w:val="0"/>
        <w:autoSpaceDE w:val="0"/>
        <w:autoSpaceDN w:val="0"/>
        <w:bidi w:val="0"/>
        <w:adjustRightInd w:val="0"/>
        <w:snapToGrid w:val="0"/>
        <w:spacing w:before="65" w:line="400" w:lineRule="exact"/>
        <w:ind w:left="37"/>
        <w:textAlignment w:val="baseline"/>
        <w:outlineLvl w:val="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u w:val="single" w:color="auto"/>
        </w:rPr>
        <w:tab/>
      </w:r>
      <w:r>
        <w:rPr>
          <w:rFonts w:hint="eastAsia" w:ascii="宋体" w:hAnsi="宋体" w:eastAsia="宋体" w:cs="宋体"/>
          <w:color w:val="auto"/>
          <w:spacing w:val="0"/>
          <w:position w:val="0"/>
          <w:sz w:val="21"/>
          <w:szCs w:val="21"/>
          <w:highlight w:val="none"/>
        </w:rPr>
        <w:t>(发包人名称)：</w:t>
      </w:r>
    </w:p>
    <w:p>
      <w:pPr>
        <w:keepNext w:val="0"/>
        <w:keepLines w:val="0"/>
        <w:pageBreakBefore w:val="0"/>
        <w:widowControl/>
        <w:kinsoku/>
        <w:wordWrap/>
        <w:overflowPunct/>
        <w:topLinePunct w:val="0"/>
        <w:autoSpaceDE w:val="0"/>
        <w:autoSpaceDN w:val="0"/>
        <w:bidi w:val="0"/>
        <w:adjustRightInd w:val="0"/>
        <w:snapToGrid w:val="0"/>
        <w:spacing w:before="119" w:line="400" w:lineRule="exact"/>
        <w:ind w:right="18" w:firstLine="468"/>
        <w:textAlignment w:val="baseline"/>
        <w:outlineLvl w:val="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鉴于</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(发包人名称， 以下简称“发包人”)接受</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(承包人名称)(以下称 “承包人”)于</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年</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月</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日参加</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(项目名称)</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标段施工的投标。我方愿意无条件地、不可撤销地就承包人履行与你方订立的合同，向你方提供担保。</w:t>
      </w:r>
    </w:p>
    <w:p>
      <w:pPr>
        <w:keepNext w:val="0"/>
        <w:keepLines w:val="0"/>
        <w:pageBreakBefore w:val="0"/>
        <w:widowControl/>
        <w:kinsoku/>
        <w:wordWrap/>
        <w:overflowPunct/>
        <w:topLinePunct w:val="0"/>
        <w:autoSpaceDE w:val="0"/>
        <w:autoSpaceDN w:val="0"/>
        <w:bidi w:val="0"/>
        <w:adjustRightInd w:val="0"/>
        <w:snapToGrid w:val="0"/>
        <w:spacing w:before="1" w:line="400" w:lineRule="exact"/>
        <w:ind w:left="48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1.担保金额人民币(大写)</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元(￥</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w:t>
      </w:r>
    </w:p>
    <w:p>
      <w:pPr>
        <w:keepNext w:val="0"/>
        <w:keepLines w:val="0"/>
        <w:pageBreakBefore w:val="0"/>
        <w:widowControl/>
        <w:kinsoku/>
        <w:wordWrap/>
        <w:overflowPunct/>
        <w:topLinePunct w:val="0"/>
        <w:autoSpaceDE w:val="0"/>
        <w:autoSpaceDN w:val="0"/>
        <w:bidi w:val="0"/>
        <w:adjustRightInd w:val="0"/>
        <w:snapToGrid w:val="0"/>
        <w:spacing w:before="148" w:line="400" w:lineRule="exact"/>
        <w:ind w:right="16"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2.担保有效期自发包人与承包人签订的合同生效之日起至发包人签发交工验收证书且承包人按 照合同约定缴纳质量保证金之日止。</w:t>
      </w:r>
    </w:p>
    <w:p>
      <w:pPr>
        <w:keepNext w:val="0"/>
        <w:keepLines w:val="0"/>
        <w:pageBreakBefore w:val="0"/>
        <w:widowControl/>
        <w:kinsoku/>
        <w:wordWrap/>
        <w:overflowPunct/>
        <w:topLinePunct w:val="0"/>
        <w:autoSpaceDE w:val="0"/>
        <w:autoSpaceDN w:val="0"/>
        <w:bidi w:val="0"/>
        <w:adjustRightInd w:val="0"/>
        <w:snapToGrid w:val="0"/>
        <w:spacing w:before="1" w:line="400"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3.在本担保有效期内，因承包人违反合同约定的义务给你方造成经济损失时，我方在收到你方以书面形式提出的在担保金额内的赔偿要求后，在 7 天内无条件支付，无须你方出具证明或陈述理由。</w:t>
      </w:r>
    </w:p>
    <w:p>
      <w:pPr>
        <w:keepNext w:val="0"/>
        <w:keepLines w:val="0"/>
        <w:pageBreakBefore w:val="0"/>
        <w:widowControl/>
        <w:kinsoku/>
        <w:wordWrap/>
        <w:overflowPunct/>
        <w:topLinePunct w:val="0"/>
        <w:autoSpaceDE w:val="0"/>
        <w:autoSpaceDN w:val="0"/>
        <w:bidi w:val="0"/>
        <w:adjustRightInd w:val="0"/>
        <w:snapToGrid w:val="0"/>
        <w:spacing w:line="400" w:lineRule="exact"/>
        <w:ind w:left="46" w:right="21" w:firstLine="414"/>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4.发包人和承包人按合同条款第 15 条变更合同时，无论我方是否收到该变更，我方承担本担保规定的义务不变。</w:t>
      </w:r>
    </w:p>
    <w:p>
      <w:pPr>
        <w:spacing w:line="246" w:lineRule="auto"/>
        <w:rPr>
          <w:rFonts w:hint="eastAsia" w:ascii="宋体" w:hAnsi="宋体" w:eastAsia="宋体" w:cs="宋体"/>
          <w:color w:val="auto"/>
          <w:sz w:val="21"/>
          <w:szCs w:val="21"/>
          <w:highlight w:val="none"/>
        </w:rPr>
      </w:pPr>
    </w:p>
    <w:p>
      <w:pPr>
        <w:spacing w:before="66" w:line="381" w:lineRule="auto"/>
        <w:ind w:left="3718" w:right="1226" w:firstLine="2"/>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担 保 人：</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rPr>
        <w:t xml:space="preserve">(盖单位章) </w:t>
      </w:r>
      <w:r>
        <w:rPr>
          <w:rFonts w:hint="eastAsia" w:ascii="宋体" w:hAnsi="宋体" w:eastAsia="宋体" w:cs="宋体"/>
          <w:color w:val="auto"/>
          <w:spacing w:val="-1"/>
          <w:sz w:val="21"/>
          <w:szCs w:val="21"/>
          <w:highlight w:val="none"/>
        </w:rPr>
        <w:t>法定代表人或其</w:t>
      </w:r>
      <w:r>
        <w:rPr>
          <w:rFonts w:hint="eastAsia" w:ascii="宋体" w:hAnsi="宋体" w:eastAsia="宋体" w:cs="宋体"/>
          <w:color w:val="auto"/>
          <w:sz w:val="21"/>
          <w:szCs w:val="21"/>
          <w:highlight w:val="none"/>
        </w:rPr>
        <w:t>委托代理人：</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rPr>
        <w:t xml:space="preserve">(签字) </w:t>
      </w:r>
      <w:r>
        <w:rPr>
          <w:rFonts w:hint="eastAsia" w:ascii="宋体" w:hAnsi="宋体" w:eastAsia="宋体" w:cs="宋体"/>
          <w:color w:val="auto"/>
          <w:spacing w:val="-8"/>
          <w:sz w:val="21"/>
          <w:szCs w:val="21"/>
          <w:highlight w:val="none"/>
        </w:rPr>
        <w:t>地    址 ：</w:t>
      </w:r>
      <w:r>
        <w:rPr>
          <w:rFonts w:hint="eastAsia"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4"/>
          <w:sz w:val="21"/>
          <w:szCs w:val="21"/>
          <w:highlight w:val="none"/>
          <w:u w:val="single" w:color="auto"/>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4"/>
          <w:sz w:val="21"/>
          <w:szCs w:val="21"/>
          <w:highlight w:val="none"/>
        </w:rPr>
        <w:t>邮政编码：</w:t>
      </w:r>
      <w:r>
        <w:rPr>
          <w:rFonts w:hint="eastAsia" w:ascii="宋体" w:hAnsi="宋体" w:eastAsia="宋体" w:cs="宋体"/>
          <w:color w:val="auto"/>
          <w:spacing w:val="-4"/>
          <w:sz w:val="21"/>
          <w:szCs w:val="21"/>
          <w:highlight w:val="none"/>
          <w:u w:val="single" w:color="auto"/>
        </w:rPr>
        <w:t xml:space="preserve">      </w:t>
      </w:r>
      <w:r>
        <w:rPr>
          <w:rFonts w:hint="eastAsia" w:ascii="宋体" w:hAnsi="宋体" w:eastAsia="宋体" w:cs="宋体"/>
          <w:color w:val="auto"/>
          <w:spacing w:val="-3"/>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8"/>
          <w:sz w:val="21"/>
          <w:szCs w:val="21"/>
          <w:highlight w:val="none"/>
        </w:rPr>
        <w:t>电    话 ：</w:t>
      </w:r>
      <w:r>
        <w:rPr>
          <w:rFonts w:hint="eastAsia"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4"/>
          <w:sz w:val="21"/>
          <w:szCs w:val="21"/>
          <w:highlight w:val="none"/>
          <w:u w:val="single" w:color="auto"/>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9"/>
          <w:sz w:val="21"/>
          <w:szCs w:val="21"/>
          <w:highlight w:val="none"/>
        </w:rPr>
        <w:t>传</w:t>
      </w:r>
      <w:r>
        <w:rPr>
          <w:rFonts w:hint="eastAsia" w:ascii="宋体" w:hAnsi="宋体" w:eastAsia="宋体" w:cs="宋体"/>
          <w:color w:val="auto"/>
          <w:spacing w:val="-8"/>
          <w:sz w:val="21"/>
          <w:szCs w:val="21"/>
          <w:highlight w:val="none"/>
        </w:rPr>
        <w:t xml:space="preserve">    真 ：</w:t>
      </w:r>
      <w:r>
        <w:rPr>
          <w:rFonts w:hint="eastAsia" w:ascii="宋体" w:hAnsi="宋体" w:eastAsia="宋体" w:cs="宋体"/>
          <w:color w:val="auto"/>
          <w:sz w:val="21"/>
          <w:szCs w:val="21"/>
          <w:highlight w:val="none"/>
          <w:u w:val="single" w:color="auto"/>
        </w:rPr>
        <w:t xml:space="preserve">                                  </w:t>
      </w:r>
    </w:p>
    <w:p>
      <w:pPr>
        <w:tabs>
          <w:tab w:val="left" w:pos="6557"/>
        </w:tabs>
        <w:spacing w:before="3" w:line="228" w:lineRule="auto"/>
        <w:ind w:left="6023"/>
        <w:rPr>
          <w:rFonts w:ascii="Arial"/>
          <w:color w:val="auto"/>
          <w:sz w:val="21"/>
          <w:highlight w:val="none"/>
        </w:rPr>
      </w:pPr>
      <w:r>
        <w:rPr>
          <w:rFonts w:hint="eastAsia" w:ascii="宋体" w:hAnsi="宋体" w:eastAsia="宋体" w:cs="宋体"/>
          <w:color w:val="auto"/>
          <w:sz w:val="21"/>
          <w:szCs w:val="21"/>
          <w:highlight w:val="none"/>
          <w:u w:val="single" w:color="auto"/>
        </w:rPr>
        <w:tab/>
      </w:r>
      <w:r>
        <w:rPr>
          <w:rFonts w:hint="eastAsia" w:ascii="宋体" w:hAnsi="宋体" w:eastAsia="宋体" w:cs="宋体"/>
          <w:color w:val="auto"/>
          <w:spacing w:val="9"/>
          <w:sz w:val="21"/>
          <w:szCs w:val="21"/>
          <w:highlight w:val="none"/>
        </w:rPr>
        <w:t>年</w:t>
      </w:r>
      <w:r>
        <w:rPr>
          <w:rFonts w:hint="eastAsia" w:ascii="宋体" w:hAnsi="宋体" w:eastAsia="宋体" w:cs="宋体"/>
          <w:color w:val="auto"/>
          <w:spacing w:val="9"/>
          <w:sz w:val="21"/>
          <w:szCs w:val="21"/>
          <w:highlight w:val="none"/>
          <w:u w:val="single" w:color="auto"/>
        </w:rPr>
        <w:t xml:space="preserve">   </w:t>
      </w:r>
      <w:r>
        <w:rPr>
          <w:rFonts w:hint="eastAsia" w:ascii="宋体" w:hAnsi="宋体" w:eastAsia="宋体" w:cs="宋体"/>
          <w:color w:val="auto"/>
          <w:spacing w:val="9"/>
          <w:sz w:val="21"/>
          <w:szCs w:val="21"/>
          <w:highlight w:val="none"/>
        </w:rPr>
        <w:t>月</w:t>
      </w:r>
      <w:r>
        <w:rPr>
          <w:rFonts w:hint="eastAsia" w:ascii="宋体" w:hAnsi="宋体" w:eastAsia="宋体" w:cs="宋体"/>
          <w:color w:val="auto"/>
          <w:spacing w:val="9"/>
          <w:sz w:val="21"/>
          <w:szCs w:val="21"/>
          <w:highlight w:val="none"/>
          <w:u w:val="single" w:color="auto"/>
        </w:rPr>
        <w:t xml:space="preserve">    </w:t>
      </w:r>
      <w:r>
        <w:rPr>
          <w:rFonts w:hint="eastAsia" w:ascii="宋体" w:hAnsi="宋体" w:eastAsia="宋体" w:cs="宋体"/>
          <w:color w:val="auto"/>
          <w:spacing w:val="9"/>
          <w:sz w:val="21"/>
          <w:szCs w:val="21"/>
          <w:highlight w:val="none"/>
        </w:rPr>
        <w:t>日</w:t>
      </w:r>
    </w:p>
    <w:p>
      <w:pPr>
        <w:spacing w:line="254" w:lineRule="auto"/>
        <w:rPr>
          <w:rFonts w:ascii="Arial"/>
          <w:color w:val="auto"/>
          <w:sz w:val="21"/>
          <w:highlight w:val="none"/>
        </w:rPr>
      </w:pPr>
    </w:p>
    <w:p>
      <w:pPr>
        <w:spacing w:line="254" w:lineRule="auto"/>
        <w:rPr>
          <w:rFonts w:ascii="Arial"/>
          <w:color w:val="auto"/>
          <w:sz w:val="21"/>
          <w:highlight w:val="none"/>
        </w:rPr>
      </w:pPr>
    </w:p>
    <w:p>
      <w:pPr>
        <w:spacing w:line="254" w:lineRule="auto"/>
        <w:rPr>
          <w:rFonts w:ascii="Arial"/>
          <w:color w:val="auto"/>
          <w:sz w:val="21"/>
          <w:highlight w:val="none"/>
        </w:rPr>
      </w:pPr>
    </w:p>
    <w:p>
      <w:pPr>
        <w:spacing w:line="254" w:lineRule="auto"/>
        <w:rPr>
          <w:rFonts w:ascii="Arial"/>
          <w:color w:val="auto"/>
          <w:sz w:val="21"/>
          <w:highlight w:val="none"/>
        </w:rPr>
      </w:pPr>
    </w:p>
    <w:p>
      <w:pPr>
        <w:spacing w:line="254" w:lineRule="auto"/>
        <w:rPr>
          <w:rFonts w:ascii="Arial"/>
          <w:color w:val="auto"/>
          <w:sz w:val="21"/>
          <w:highlight w:val="none"/>
        </w:rPr>
      </w:pPr>
    </w:p>
    <w:p>
      <w:pPr>
        <w:spacing w:line="254" w:lineRule="auto"/>
        <w:rPr>
          <w:rFonts w:ascii="Arial"/>
          <w:color w:val="auto"/>
          <w:sz w:val="21"/>
          <w:highlight w:val="none"/>
        </w:rPr>
      </w:pPr>
    </w:p>
    <w:p>
      <w:pPr>
        <w:spacing w:line="255" w:lineRule="auto"/>
        <w:rPr>
          <w:rFonts w:ascii="Arial"/>
          <w:color w:val="auto"/>
          <w:sz w:val="21"/>
          <w:highlight w:val="none"/>
        </w:rPr>
      </w:pPr>
    </w:p>
    <w:p>
      <w:pPr>
        <w:spacing w:line="255" w:lineRule="auto"/>
        <w:rPr>
          <w:rFonts w:ascii="Arial"/>
          <w:color w:val="auto"/>
          <w:sz w:val="21"/>
          <w:highlight w:val="none"/>
        </w:rPr>
      </w:pPr>
    </w:p>
    <w:p>
      <w:pPr>
        <w:spacing w:line="255" w:lineRule="auto"/>
        <w:rPr>
          <w:rFonts w:ascii="Arial"/>
          <w:color w:val="auto"/>
          <w:sz w:val="21"/>
          <w:highlight w:val="none"/>
        </w:rPr>
      </w:pPr>
    </w:p>
    <w:p>
      <w:pPr>
        <w:rPr>
          <w:color w:val="auto"/>
          <w:highlight w:val="none"/>
        </w:rPr>
        <w:sectPr>
          <w:pgSz w:w="11900" w:h="16840"/>
          <w:pgMar w:top="1160" w:right="1333" w:bottom="1448" w:left="1323" w:header="883" w:footer="1234" w:gutter="0"/>
          <w:pgNumType w:fmt="decimal"/>
          <w:cols w:space="720" w:num="1"/>
        </w:sectPr>
      </w:pPr>
    </w:p>
    <w:p>
      <w:pPr>
        <w:spacing w:before="298" w:line="220" w:lineRule="auto"/>
        <w:ind w:left="32"/>
        <w:outlineLvl w:val="2"/>
        <w:rPr>
          <w:rFonts w:ascii="宋体" w:hAnsi="宋体" w:eastAsia="宋体" w:cs="宋体"/>
          <w:color w:val="auto"/>
          <w:sz w:val="28"/>
          <w:szCs w:val="28"/>
          <w:highlight w:val="none"/>
        </w:rPr>
      </w:pPr>
      <w:bookmarkStart w:id="602" w:name="_bookmark143"/>
      <w:bookmarkEnd w:id="602"/>
      <w:bookmarkStart w:id="603" w:name="_bookmark142"/>
      <w:bookmarkEnd w:id="603"/>
      <w:bookmarkStart w:id="604" w:name="_bookmark141"/>
      <w:bookmarkEnd w:id="604"/>
      <w:bookmarkStart w:id="605" w:name="_bookmark140"/>
      <w:bookmarkEnd w:id="605"/>
      <w:bookmarkStart w:id="606" w:name="_Toc9696"/>
      <w:r>
        <w:rPr>
          <w:rFonts w:ascii="宋体" w:hAnsi="宋体" w:eastAsia="宋体" w:cs="宋体"/>
          <w:color w:val="auto"/>
          <w:spacing w:val="-4"/>
          <w:sz w:val="28"/>
          <w:szCs w:val="28"/>
          <w:highlight w:val="none"/>
        </w:rPr>
        <w:t>附</w:t>
      </w:r>
      <w:r>
        <w:rPr>
          <w:rFonts w:ascii="宋体" w:hAnsi="宋体" w:eastAsia="宋体" w:cs="宋体"/>
          <w:color w:val="auto"/>
          <w:spacing w:val="-3"/>
          <w:sz w:val="28"/>
          <w:szCs w:val="28"/>
          <w:highlight w:val="none"/>
        </w:rPr>
        <w:t>件</w:t>
      </w:r>
      <w:r>
        <w:rPr>
          <w:rFonts w:ascii="宋体" w:hAnsi="宋体" w:eastAsia="宋体" w:cs="宋体"/>
          <w:color w:val="auto"/>
          <w:spacing w:val="-2"/>
          <w:sz w:val="28"/>
          <w:szCs w:val="28"/>
          <w:highlight w:val="none"/>
        </w:rPr>
        <w:t>八  发包人支付担保格式</w:t>
      </w:r>
      <w:bookmarkEnd w:id="606"/>
    </w:p>
    <w:p>
      <w:pPr>
        <w:spacing w:before="210" w:line="224" w:lineRule="auto"/>
        <w:ind w:left="3625"/>
        <w:rPr>
          <w:rFonts w:ascii="黑体" w:hAnsi="黑体" w:eastAsia="黑体" w:cs="黑体"/>
          <w:color w:val="auto"/>
          <w:sz w:val="28"/>
          <w:szCs w:val="28"/>
          <w:highlight w:val="none"/>
        </w:rPr>
      </w:pPr>
      <w:r>
        <w:rPr>
          <w:rFonts w:ascii="黑体" w:hAnsi="黑体" w:eastAsia="黑体" w:cs="黑体"/>
          <w:color w:val="auto"/>
          <w:spacing w:val="-2"/>
          <w:sz w:val="28"/>
          <w:szCs w:val="28"/>
          <w:highlight w:val="none"/>
        </w:rPr>
        <w:t>发包人支付担</w:t>
      </w:r>
      <w:r>
        <w:rPr>
          <w:rFonts w:ascii="黑体" w:hAnsi="黑体" w:eastAsia="黑体" w:cs="黑体"/>
          <w:color w:val="auto"/>
          <w:spacing w:val="-1"/>
          <w:sz w:val="28"/>
          <w:szCs w:val="28"/>
          <w:highlight w:val="none"/>
        </w:rPr>
        <w:t>保</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position w:val="0"/>
          <w:sz w:val="21"/>
          <w:highlight w:val="none"/>
        </w:rPr>
      </w:pPr>
    </w:p>
    <w:p>
      <w:pPr>
        <w:keepNext w:val="0"/>
        <w:keepLines w:val="0"/>
        <w:pageBreakBefore w:val="0"/>
        <w:widowControl/>
        <w:tabs>
          <w:tab w:val="left" w:pos="1581"/>
        </w:tabs>
        <w:kinsoku w:val="0"/>
        <w:wordWrap/>
        <w:overflowPunct/>
        <w:topLinePunct w:val="0"/>
        <w:autoSpaceDE w:val="0"/>
        <w:autoSpaceDN w:val="0"/>
        <w:bidi w:val="0"/>
        <w:adjustRightInd w:val="0"/>
        <w:snapToGrid w:val="0"/>
        <w:spacing w:before="65" w:line="380" w:lineRule="exact"/>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u w:val="single" w:color="auto"/>
        </w:rPr>
        <w:tab/>
      </w:r>
      <w:r>
        <w:rPr>
          <w:rFonts w:hint="eastAsia" w:ascii="宋体" w:hAnsi="宋体" w:eastAsia="宋体" w:cs="宋体"/>
          <w:color w:val="auto"/>
          <w:spacing w:val="0"/>
          <w:position w:val="0"/>
          <w:sz w:val="21"/>
          <w:szCs w:val="21"/>
          <w:highlight w:val="none"/>
        </w:rPr>
        <w:t>(承包人名称)：</w:t>
      </w:r>
    </w:p>
    <w:p>
      <w:pPr>
        <w:keepNext w:val="0"/>
        <w:keepLines w:val="0"/>
        <w:pageBreakBefore w:val="0"/>
        <w:widowControl/>
        <w:kinsoku w:val="0"/>
        <w:wordWrap/>
        <w:overflowPunct/>
        <w:topLinePunct w:val="0"/>
        <w:autoSpaceDE w:val="0"/>
        <w:autoSpaceDN w:val="0"/>
        <w:bidi w:val="0"/>
        <w:adjustRightInd w:val="0"/>
        <w:snapToGrid w:val="0"/>
        <w:spacing w:before="150" w:line="380" w:lineRule="exact"/>
        <w:ind w:right="135"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鉴于你方作为承包人已经与_____________________ (发包人名称)(以下称“发包人”)于________ 年____月____ 日签订了_____________________  (工程名称) 施工合同 (以下称“主合同”) ，应发包人的申请，我方愿就发包人履行主合同约定的工程款支付义务以保证的方式向你方提供如下担保：</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43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一、保证的范围及保证金额</w:t>
      </w:r>
    </w:p>
    <w:p>
      <w:pPr>
        <w:keepNext w:val="0"/>
        <w:keepLines w:val="0"/>
        <w:pageBreakBefore w:val="0"/>
        <w:widowControl/>
        <w:kinsoku w:val="0"/>
        <w:wordWrap/>
        <w:overflowPunct/>
        <w:topLinePunct w:val="0"/>
        <w:autoSpaceDE w:val="0"/>
        <w:autoSpaceDN w:val="0"/>
        <w:bidi w:val="0"/>
        <w:adjustRightInd w:val="0"/>
        <w:snapToGrid w:val="0"/>
        <w:spacing w:before="65" w:line="380"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我方的保证范围是主合同约定的工程款。</w:t>
      </w:r>
    </w:p>
    <w:p>
      <w:pPr>
        <w:keepNext w:val="0"/>
        <w:keepLines w:val="0"/>
        <w:pageBreakBefore w:val="0"/>
        <w:widowControl/>
        <w:kinsoku w:val="0"/>
        <w:wordWrap/>
        <w:overflowPunct/>
        <w:topLinePunct w:val="0"/>
        <w:autoSpaceDE w:val="0"/>
        <w:autoSpaceDN w:val="0"/>
        <w:bidi w:val="0"/>
        <w:adjustRightInd w:val="0"/>
        <w:snapToGrid w:val="0"/>
        <w:spacing w:before="162" w:line="380"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本保函所称主合同约定的工程款是指主合同约定的除工程质量保证金以外的合同价款。</w:t>
      </w:r>
    </w:p>
    <w:p>
      <w:pPr>
        <w:keepNext w:val="0"/>
        <w:keepLines w:val="0"/>
        <w:pageBreakBefore w:val="0"/>
        <w:widowControl/>
        <w:kinsoku w:val="0"/>
        <w:wordWrap/>
        <w:overflowPunct/>
        <w:topLinePunct w:val="0"/>
        <w:autoSpaceDE w:val="0"/>
        <w:autoSpaceDN w:val="0"/>
        <w:bidi w:val="0"/>
        <w:adjustRightInd w:val="0"/>
        <w:snapToGrid w:val="0"/>
        <w:spacing w:before="133" w:line="380"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我方保证的金额是主合同约定的工程款的___ % ，数额最高不超过人民币元 (大写：________ )。</w:t>
      </w:r>
    </w:p>
    <w:p>
      <w:pPr>
        <w:keepNext w:val="0"/>
        <w:keepLines w:val="0"/>
        <w:pageBreakBefore w:val="0"/>
        <w:widowControl/>
        <w:kinsoku w:val="0"/>
        <w:wordWrap/>
        <w:overflowPunct/>
        <w:topLinePunct w:val="0"/>
        <w:autoSpaceDE w:val="0"/>
        <w:autoSpaceDN w:val="0"/>
        <w:bidi w:val="0"/>
        <w:adjustRightInd w:val="0"/>
        <w:snapToGrid w:val="0"/>
        <w:spacing w:before="164" w:line="380" w:lineRule="exact"/>
        <w:ind w:left="43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二、保证的方式及保证期间</w:t>
      </w:r>
    </w:p>
    <w:p>
      <w:pPr>
        <w:keepNext w:val="0"/>
        <w:keepLines w:val="0"/>
        <w:pageBreakBefore w:val="0"/>
        <w:widowControl/>
        <w:kinsoku w:val="0"/>
        <w:wordWrap/>
        <w:overflowPunct/>
        <w:topLinePunct w:val="0"/>
        <w:autoSpaceDE w:val="0"/>
        <w:autoSpaceDN w:val="0"/>
        <w:bidi w:val="0"/>
        <w:adjustRightInd w:val="0"/>
        <w:snapToGrid w:val="0"/>
        <w:spacing w:before="134" w:line="380" w:lineRule="exact"/>
        <w:ind w:left="42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我方保证的方式为：连带责任保证。</w:t>
      </w:r>
    </w:p>
    <w:p>
      <w:pPr>
        <w:keepNext w:val="0"/>
        <w:keepLines w:val="0"/>
        <w:pageBreakBefore w:val="0"/>
        <w:widowControl/>
        <w:kinsoku w:val="0"/>
        <w:wordWrap/>
        <w:overflowPunct/>
        <w:topLinePunct w:val="0"/>
        <w:autoSpaceDE w:val="0"/>
        <w:autoSpaceDN w:val="0"/>
        <w:bidi w:val="0"/>
        <w:adjustRightInd w:val="0"/>
        <w:snapToGrid w:val="0"/>
        <w:spacing w:before="163" w:line="380" w:lineRule="exact"/>
        <w:ind w:left="42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我方保证的期间为：自本合同生效之日起至主合同约定的工程款支付之日后____ 日内。</w:t>
      </w:r>
    </w:p>
    <w:p>
      <w:pPr>
        <w:keepNext w:val="0"/>
        <w:keepLines w:val="0"/>
        <w:pageBreakBefore w:val="0"/>
        <w:widowControl/>
        <w:kinsoku w:val="0"/>
        <w:wordWrap/>
        <w:overflowPunct/>
        <w:topLinePunct w:val="0"/>
        <w:autoSpaceDE w:val="0"/>
        <w:autoSpaceDN w:val="0"/>
        <w:bidi w:val="0"/>
        <w:adjustRightInd w:val="0"/>
        <w:snapToGrid w:val="0"/>
        <w:spacing w:before="169" w:line="380" w:lineRule="exact"/>
        <w:ind w:right="143"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你方与发包人协议变更工程款支付日期的，经我方书面同意后，保证期间按照变更后的支付日期 做相应调整。</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428"/>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三、承担保证责任的形式</w:t>
      </w:r>
    </w:p>
    <w:p>
      <w:pPr>
        <w:keepNext w:val="0"/>
        <w:keepLines w:val="0"/>
        <w:pageBreakBefore w:val="0"/>
        <w:widowControl/>
        <w:kinsoku w:val="0"/>
        <w:wordWrap/>
        <w:overflowPunct/>
        <w:topLinePunct w:val="0"/>
        <w:autoSpaceDE w:val="0"/>
        <w:autoSpaceDN w:val="0"/>
        <w:bidi w:val="0"/>
        <w:adjustRightInd w:val="0"/>
        <w:snapToGrid w:val="0"/>
        <w:spacing w:before="141" w:line="380" w:lineRule="exact"/>
        <w:ind w:left="8" w:right="143" w:firstLine="42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我方承担保证责任的形式是代为支付。发包人未按主合同约定向你方支付工程款的，由我方在保 证金额内代为支付。</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447"/>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四、代偿的安排</w:t>
      </w:r>
    </w:p>
    <w:p>
      <w:pPr>
        <w:keepNext w:val="0"/>
        <w:keepLines w:val="0"/>
        <w:pageBreakBefore w:val="0"/>
        <w:widowControl/>
        <w:kinsoku w:val="0"/>
        <w:wordWrap/>
        <w:overflowPunct/>
        <w:topLinePunct w:val="0"/>
        <w:autoSpaceDE w:val="0"/>
        <w:autoSpaceDN w:val="0"/>
        <w:bidi w:val="0"/>
        <w:adjustRightInd w:val="0"/>
        <w:snapToGrid w:val="0"/>
        <w:spacing w:before="159" w:line="380" w:lineRule="exact"/>
        <w:ind w:left="8" w:right="143" w:firstLine="42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你方要求我方承担保证责任的，应向我方发出书面索赔通知及发包人未支付主合同约定工程款的 证明材料。索赔通知应写明耍求索赔的金额，支付款项应到达的账号。</w:t>
      </w:r>
    </w:p>
    <w:p>
      <w:pPr>
        <w:keepNext w:val="0"/>
        <w:keepLines w:val="0"/>
        <w:pageBreakBefore w:val="0"/>
        <w:widowControl/>
        <w:kinsoku w:val="0"/>
        <w:wordWrap/>
        <w:overflowPunct/>
        <w:topLinePunct w:val="0"/>
        <w:autoSpaceDE w:val="0"/>
        <w:autoSpaceDN w:val="0"/>
        <w:bidi w:val="0"/>
        <w:adjustRightInd w:val="0"/>
        <w:snapToGrid w:val="0"/>
        <w:spacing w:before="2" w:line="380" w:lineRule="exact"/>
        <w:ind w:left="8" w:right="143" w:firstLine="41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在出现你方与发包人因工程质量发生争议，发包人拒绝向你方支付工程款的情形时，你方要求我 方履行保证责任代为支付的，还需提供项目监理人或符合相应条件要求的工程质量检测机构出具的质 量说明材料。</w:t>
      </w:r>
    </w:p>
    <w:p>
      <w:pPr>
        <w:keepNext w:val="0"/>
        <w:keepLines w:val="0"/>
        <w:pageBreakBefore w:val="0"/>
        <w:widowControl/>
        <w:kinsoku w:val="0"/>
        <w:wordWrap/>
        <w:overflowPunct/>
        <w:topLinePunct w:val="0"/>
        <w:autoSpaceDE w:val="0"/>
        <w:autoSpaceDN w:val="0"/>
        <w:bidi w:val="0"/>
        <w:adjustRightInd w:val="0"/>
        <w:snapToGrid w:val="0"/>
        <w:spacing w:before="2" w:line="380" w:lineRule="exact"/>
        <w:ind w:left="8" w:right="141" w:firstLine="42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我方收到你方的书面索赔通知及相应证明材料后，在</w:t>
      </w:r>
      <w:r>
        <w:rPr>
          <w:rFonts w:hint="eastAsia" w:ascii="宋体" w:hAnsi="宋体" w:eastAsia="宋体" w:cs="宋体"/>
          <w:color w:val="auto"/>
          <w:spacing w:val="0"/>
          <w:position w:val="0"/>
          <w:sz w:val="21"/>
          <w:szCs w:val="21"/>
          <w:highlight w:val="none"/>
          <w:lang w:val="en-US" w:eastAsia="zh-CN"/>
        </w:rPr>
        <w:t>7</w:t>
      </w:r>
      <w:r>
        <w:rPr>
          <w:rFonts w:hint="eastAsia" w:ascii="宋体" w:hAnsi="宋体" w:eastAsia="宋体" w:cs="宋体"/>
          <w:color w:val="auto"/>
          <w:spacing w:val="0"/>
          <w:position w:val="0"/>
          <w:sz w:val="21"/>
          <w:szCs w:val="21"/>
          <w:highlight w:val="none"/>
        </w:rPr>
        <w:t>个工作日内进行核定后按照本保函的承诺 承担保证责任。</w:t>
      </w:r>
    </w:p>
    <w:p>
      <w:pPr>
        <w:keepNext w:val="0"/>
        <w:keepLines w:val="0"/>
        <w:pageBreakBefore w:val="0"/>
        <w:widowControl/>
        <w:kinsoku w:val="0"/>
        <w:wordWrap/>
        <w:overflowPunct/>
        <w:topLinePunct w:val="0"/>
        <w:autoSpaceDE w:val="0"/>
        <w:autoSpaceDN w:val="0"/>
        <w:bidi w:val="0"/>
        <w:adjustRightInd w:val="0"/>
        <w:snapToGrid w:val="0"/>
        <w:spacing w:before="2" w:line="380" w:lineRule="exact"/>
        <w:ind w:left="8" w:right="141" w:firstLine="42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五、保证责任的解除</w:t>
      </w:r>
    </w:p>
    <w:p>
      <w:pPr>
        <w:keepNext w:val="0"/>
        <w:keepLines w:val="0"/>
        <w:pageBreakBefore w:val="0"/>
        <w:widowControl/>
        <w:kinsoku w:val="0"/>
        <w:wordWrap/>
        <w:overflowPunct/>
        <w:topLinePunct w:val="0"/>
        <w:autoSpaceDE w:val="0"/>
        <w:autoSpaceDN w:val="0"/>
        <w:bidi w:val="0"/>
        <w:adjustRightInd w:val="0"/>
        <w:snapToGrid w:val="0"/>
        <w:spacing w:before="2" w:line="380" w:lineRule="exact"/>
        <w:ind w:left="8" w:right="141" w:firstLine="42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．在本保函承诺的保证期间内，你方未书面向我方主张保证责任的，自保证期间届满次日起，我方保证责任解除。</w:t>
      </w:r>
    </w:p>
    <w:p>
      <w:pPr>
        <w:keepNext w:val="0"/>
        <w:keepLines w:val="0"/>
        <w:pageBreakBefore w:val="0"/>
        <w:widowControl/>
        <w:kinsoku w:val="0"/>
        <w:wordWrap/>
        <w:overflowPunct/>
        <w:topLinePunct w:val="0"/>
        <w:autoSpaceDE w:val="0"/>
        <w:autoSpaceDN w:val="0"/>
        <w:bidi w:val="0"/>
        <w:adjustRightInd w:val="0"/>
        <w:snapToGrid w:val="0"/>
        <w:spacing w:before="1" w:line="380" w:lineRule="exact"/>
        <w:ind w:left="9" w:right="87" w:firstLine="414"/>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2．发包人按主合同约定履行了工程款的全部支付义务的，自本保函承诺的保证期间届满次日起， 我方保证责任解除。</w:t>
      </w:r>
    </w:p>
    <w:p>
      <w:pPr>
        <w:keepNext w:val="0"/>
        <w:keepLines w:val="0"/>
        <w:pageBreakBefore w:val="0"/>
        <w:widowControl/>
        <w:kinsoku w:val="0"/>
        <w:wordWrap/>
        <w:overflowPunct/>
        <w:topLinePunct w:val="0"/>
        <w:autoSpaceDE w:val="0"/>
        <w:autoSpaceDN w:val="0"/>
        <w:bidi w:val="0"/>
        <w:adjustRightInd w:val="0"/>
        <w:snapToGrid w:val="0"/>
        <w:spacing w:before="2" w:line="380"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3．我方按照本保函向你方履行保证责任所支付金额达到本保函保证金额时，自我方向你方支付(支付款项从我方账户划出)之日起，保证责任即解除。</w:t>
      </w:r>
    </w:p>
    <w:p>
      <w:pPr>
        <w:keepNext w:val="0"/>
        <w:keepLines w:val="0"/>
        <w:pageBreakBefore w:val="0"/>
        <w:widowControl/>
        <w:kinsoku w:val="0"/>
        <w:wordWrap/>
        <w:overflowPunct/>
        <w:topLinePunct w:val="0"/>
        <w:autoSpaceDE w:val="0"/>
        <w:autoSpaceDN w:val="0"/>
        <w:bidi w:val="0"/>
        <w:adjustRightInd w:val="0"/>
        <w:snapToGrid w:val="0"/>
        <w:spacing w:before="161" w:line="380" w:lineRule="exact"/>
        <w:ind w:left="10" w:right="4" w:firstLine="41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．按照法律法规的规定或出现应解除我方保证责任的其他情形的'我方在本保函项下的保证责任 亦解除。</w:t>
      </w:r>
    </w:p>
    <w:p>
      <w:pPr>
        <w:keepNext w:val="0"/>
        <w:keepLines w:val="0"/>
        <w:pageBreakBefore w:val="0"/>
        <w:widowControl/>
        <w:kinsoku w:val="0"/>
        <w:wordWrap/>
        <w:overflowPunct/>
        <w:topLinePunct w:val="0"/>
        <w:autoSpaceDE w:val="0"/>
        <w:autoSpaceDN w:val="0"/>
        <w:bidi w:val="0"/>
        <w:adjustRightInd w:val="0"/>
        <w:snapToGrid w:val="0"/>
        <w:spacing w:before="1" w:line="380" w:lineRule="exact"/>
        <w:ind w:left="6" w:firstLine="42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我方解除保证责任后，你方应自我方保证责任解除之日起____个工作日内将本保函原件返还我方。</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427"/>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六、免责条款</w:t>
      </w:r>
    </w:p>
    <w:p>
      <w:pPr>
        <w:keepNext w:val="0"/>
        <w:keepLines w:val="0"/>
        <w:pageBreakBefore w:val="0"/>
        <w:widowControl/>
        <w:kinsoku w:val="0"/>
        <w:wordWrap/>
        <w:overflowPunct/>
        <w:topLinePunct w:val="0"/>
        <w:autoSpaceDE w:val="0"/>
        <w:autoSpaceDN w:val="0"/>
        <w:bidi w:val="0"/>
        <w:adjustRightInd w:val="0"/>
        <w:snapToGrid w:val="0"/>
        <w:spacing w:before="155" w:line="380" w:lineRule="exact"/>
        <w:ind w:left="442"/>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．因你方违约致使发包人不能履行义务的，我方不承担保证责任。</w:t>
      </w:r>
    </w:p>
    <w:p>
      <w:pPr>
        <w:keepNext w:val="0"/>
        <w:keepLines w:val="0"/>
        <w:pageBreakBefore w:val="0"/>
        <w:widowControl/>
        <w:kinsoku w:val="0"/>
        <w:wordWrap/>
        <w:overflowPunct/>
        <w:topLinePunct w:val="0"/>
        <w:autoSpaceDE w:val="0"/>
        <w:autoSpaceDN w:val="0"/>
        <w:bidi w:val="0"/>
        <w:adjustRightInd w:val="0"/>
        <w:snapToGrid w:val="0"/>
        <w:spacing w:before="139" w:line="380" w:lineRule="exact"/>
        <w:ind w:left="18" w:right="14" w:firstLine="40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．依照法律法规的规定或你方与发包人的另行约定，免除发包人部分或全部义务的，我方亦免 除其相应的保证责任。</w:t>
      </w:r>
    </w:p>
    <w:p>
      <w:pPr>
        <w:keepNext w:val="0"/>
        <w:keepLines w:val="0"/>
        <w:pageBreakBefore w:val="0"/>
        <w:widowControl/>
        <w:kinsoku w:val="0"/>
        <w:wordWrap/>
        <w:overflowPunct/>
        <w:topLinePunct w:val="0"/>
        <w:autoSpaceDE w:val="0"/>
        <w:autoSpaceDN w:val="0"/>
        <w:bidi w:val="0"/>
        <w:adjustRightInd w:val="0"/>
        <w:snapToGrid w:val="0"/>
        <w:spacing w:before="1" w:line="380" w:lineRule="exact"/>
        <w:ind w:left="5" w:right="2" w:firstLine="42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．你方与发包人协议变更主合同的(符合主合同合同条款第 15 条约定的变更除外) ，如加重发 包人责任致使我方保证责任加重的，需征得我方书面同意，否则我方不再承担因此而加重部分的保证 责任。</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42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．因不可抗力造成发包人不能履行义务的，我方不承担保证责任。</w:t>
      </w:r>
    </w:p>
    <w:p>
      <w:pPr>
        <w:keepNext w:val="0"/>
        <w:keepLines w:val="0"/>
        <w:pageBreakBefore w:val="0"/>
        <w:widowControl/>
        <w:kinsoku w:val="0"/>
        <w:wordWrap/>
        <w:overflowPunct/>
        <w:topLinePunct w:val="0"/>
        <w:autoSpaceDE w:val="0"/>
        <w:autoSpaceDN w:val="0"/>
        <w:bidi w:val="0"/>
        <w:adjustRightInd w:val="0"/>
        <w:snapToGrid w:val="0"/>
        <w:spacing w:before="140" w:line="380" w:lineRule="exact"/>
        <w:ind w:left="424"/>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七、争议的解决</w:t>
      </w:r>
    </w:p>
    <w:p>
      <w:pPr>
        <w:keepNext w:val="0"/>
        <w:keepLines w:val="0"/>
        <w:pageBreakBefore w:val="0"/>
        <w:widowControl/>
        <w:kinsoku w:val="0"/>
        <w:wordWrap/>
        <w:overflowPunct/>
        <w:topLinePunct w:val="0"/>
        <w:autoSpaceDE w:val="0"/>
        <w:autoSpaceDN w:val="0"/>
        <w:bidi w:val="0"/>
        <w:adjustRightInd w:val="0"/>
        <w:snapToGrid w:val="0"/>
        <w:spacing w:before="150" w:line="380" w:lineRule="exact"/>
        <w:ind w:left="13" w:right="4" w:firstLine="428"/>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因本保函发生的纠纷，由贵我双方协商解决，协商不成的，任何一方均可提请__________仲裁委 员会仲裁。</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42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八、保函的生效</w:t>
      </w:r>
    </w:p>
    <w:p>
      <w:pPr>
        <w:keepNext w:val="0"/>
        <w:keepLines w:val="0"/>
        <w:pageBreakBefore w:val="0"/>
        <w:widowControl/>
        <w:kinsoku w:val="0"/>
        <w:wordWrap/>
        <w:overflowPunct/>
        <w:topLinePunct w:val="0"/>
        <w:autoSpaceDE w:val="0"/>
        <w:autoSpaceDN w:val="0"/>
        <w:bidi w:val="0"/>
        <w:adjustRightInd w:val="0"/>
        <w:snapToGrid w:val="0"/>
        <w:spacing w:before="160" w:line="380" w:lineRule="exact"/>
        <w:ind w:left="42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本保函自我方法定代表人(或其授权代理人)签字、加盖单位公章并交付你方之日起生效。</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z w:val="21"/>
          <w:szCs w:val="21"/>
          <w:highlight w:val="none"/>
        </w:rPr>
      </w:pPr>
    </w:p>
    <w:p>
      <w:pPr>
        <w:pStyle w:val="2"/>
        <w:ind w:left="0" w:leftChars="0" w:firstLine="0" w:firstLineChars="0"/>
        <w:rPr>
          <w:rFonts w:hint="eastAsia" w:ascii="宋体" w:hAnsi="宋体" w:eastAsia="宋体" w:cs="宋体"/>
          <w:color w:val="auto"/>
          <w:sz w:val="21"/>
          <w:szCs w:val="21"/>
          <w:highlight w:val="none"/>
        </w:rPr>
      </w:pPr>
    </w:p>
    <w:p>
      <w:pPr>
        <w:pStyle w:val="2"/>
        <w:rPr>
          <w:rFonts w:hint="eastAsia" w:ascii="宋体" w:hAnsi="宋体" w:eastAsia="宋体" w:cs="宋体"/>
          <w:color w:val="auto"/>
          <w:sz w:val="21"/>
          <w:szCs w:val="21"/>
          <w:highlight w:val="none"/>
        </w:rPr>
      </w:pPr>
    </w:p>
    <w:p>
      <w:pPr>
        <w:spacing w:before="66" w:line="381" w:lineRule="auto"/>
        <w:ind w:left="3678" w:right="1207" w:firstLine="2"/>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担 保 人：</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lang w:val="en-US" w:eastAsia="zh-CN"/>
        </w:rPr>
        <w:t xml:space="preserve">  </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rPr>
        <w:t xml:space="preserve">(盖单位章) </w:t>
      </w:r>
      <w:r>
        <w:rPr>
          <w:rFonts w:hint="eastAsia" w:ascii="宋体" w:hAnsi="宋体" w:eastAsia="宋体" w:cs="宋体"/>
          <w:color w:val="auto"/>
          <w:spacing w:val="-1"/>
          <w:sz w:val="21"/>
          <w:szCs w:val="21"/>
          <w:highlight w:val="none"/>
        </w:rPr>
        <w:t>法定代表人或其</w:t>
      </w:r>
      <w:r>
        <w:rPr>
          <w:rFonts w:hint="eastAsia" w:ascii="宋体" w:hAnsi="宋体" w:eastAsia="宋体" w:cs="宋体"/>
          <w:color w:val="auto"/>
          <w:sz w:val="21"/>
          <w:szCs w:val="21"/>
          <w:highlight w:val="none"/>
        </w:rPr>
        <w:t>委托代理人：</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rPr>
        <w:t xml:space="preserve">(签字) </w:t>
      </w:r>
      <w:r>
        <w:rPr>
          <w:rFonts w:hint="eastAsia" w:ascii="宋体" w:hAnsi="宋体" w:eastAsia="宋体" w:cs="宋体"/>
          <w:color w:val="auto"/>
          <w:spacing w:val="-8"/>
          <w:sz w:val="21"/>
          <w:szCs w:val="21"/>
          <w:highlight w:val="none"/>
        </w:rPr>
        <w:t>地    址 ：</w:t>
      </w:r>
      <w:r>
        <w:rPr>
          <w:rFonts w:hint="eastAsia"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4"/>
          <w:sz w:val="21"/>
          <w:szCs w:val="21"/>
          <w:highlight w:val="none"/>
          <w:u w:val="single" w:color="auto"/>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4"/>
          <w:sz w:val="21"/>
          <w:szCs w:val="21"/>
          <w:highlight w:val="none"/>
        </w:rPr>
        <w:t>邮政编码：</w:t>
      </w:r>
      <w:r>
        <w:rPr>
          <w:rFonts w:hint="eastAsia" w:ascii="宋体" w:hAnsi="宋体" w:eastAsia="宋体" w:cs="宋体"/>
          <w:color w:val="auto"/>
          <w:spacing w:val="-4"/>
          <w:sz w:val="21"/>
          <w:szCs w:val="21"/>
          <w:highlight w:val="none"/>
          <w:u w:val="single" w:color="auto"/>
        </w:rPr>
        <w:t xml:space="preserve">      </w:t>
      </w:r>
      <w:r>
        <w:rPr>
          <w:rFonts w:hint="eastAsia" w:ascii="宋体" w:hAnsi="宋体" w:eastAsia="宋体" w:cs="宋体"/>
          <w:color w:val="auto"/>
          <w:spacing w:val="-3"/>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8"/>
          <w:sz w:val="21"/>
          <w:szCs w:val="21"/>
          <w:highlight w:val="none"/>
        </w:rPr>
        <w:t>电    话 ：</w:t>
      </w:r>
      <w:r>
        <w:rPr>
          <w:rFonts w:hint="eastAsia"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4"/>
          <w:sz w:val="21"/>
          <w:szCs w:val="21"/>
          <w:highlight w:val="none"/>
          <w:u w:val="single" w:color="auto"/>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9"/>
          <w:sz w:val="21"/>
          <w:szCs w:val="21"/>
          <w:highlight w:val="none"/>
        </w:rPr>
        <w:t>传</w:t>
      </w:r>
      <w:r>
        <w:rPr>
          <w:rFonts w:hint="eastAsia" w:ascii="宋体" w:hAnsi="宋体" w:eastAsia="宋体" w:cs="宋体"/>
          <w:color w:val="auto"/>
          <w:spacing w:val="-8"/>
          <w:sz w:val="21"/>
          <w:szCs w:val="21"/>
          <w:highlight w:val="none"/>
        </w:rPr>
        <w:t xml:space="preserve">    真 ：</w:t>
      </w:r>
      <w:r>
        <w:rPr>
          <w:rFonts w:hint="eastAsia" w:ascii="宋体" w:hAnsi="宋体" w:eastAsia="宋体" w:cs="宋体"/>
          <w:color w:val="auto"/>
          <w:sz w:val="21"/>
          <w:szCs w:val="21"/>
          <w:highlight w:val="none"/>
          <w:u w:val="single" w:color="auto"/>
        </w:rPr>
        <w:t xml:space="preserve">                                  </w:t>
      </w:r>
    </w:p>
    <w:p>
      <w:pPr>
        <w:tabs>
          <w:tab w:val="left" w:pos="6517"/>
        </w:tabs>
        <w:spacing w:before="3" w:line="228" w:lineRule="auto"/>
        <w:ind w:left="598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color="auto"/>
        </w:rPr>
        <w:tab/>
      </w:r>
      <w:r>
        <w:rPr>
          <w:rFonts w:hint="eastAsia" w:ascii="宋体" w:hAnsi="宋体" w:eastAsia="宋体" w:cs="宋体"/>
          <w:color w:val="auto"/>
          <w:spacing w:val="9"/>
          <w:sz w:val="21"/>
          <w:szCs w:val="21"/>
          <w:highlight w:val="none"/>
        </w:rPr>
        <w:t>年</w:t>
      </w:r>
      <w:r>
        <w:rPr>
          <w:rFonts w:hint="eastAsia" w:ascii="宋体" w:hAnsi="宋体" w:eastAsia="宋体" w:cs="宋体"/>
          <w:color w:val="auto"/>
          <w:spacing w:val="9"/>
          <w:sz w:val="21"/>
          <w:szCs w:val="21"/>
          <w:highlight w:val="none"/>
          <w:u w:val="single" w:color="auto"/>
        </w:rPr>
        <w:t xml:space="preserve">   </w:t>
      </w:r>
      <w:r>
        <w:rPr>
          <w:rFonts w:hint="eastAsia" w:ascii="宋体" w:hAnsi="宋体" w:eastAsia="宋体" w:cs="宋体"/>
          <w:color w:val="auto"/>
          <w:spacing w:val="9"/>
          <w:sz w:val="21"/>
          <w:szCs w:val="21"/>
          <w:highlight w:val="none"/>
        </w:rPr>
        <w:t>月</w:t>
      </w:r>
      <w:r>
        <w:rPr>
          <w:rFonts w:hint="eastAsia" w:ascii="宋体" w:hAnsi="宋体" w:eastAsia="宋体" w:cs="宋体"/>
          <w:color w:val="auto"/>
          <w:spacing w:val="9"/>
          <w:sz w:val="21"/>
          <w:szCs w:val="21"/>
          <w:highlight w:val="none"/>
          <w:u w:val="single" w:color="auto"/>
        </w:rPr>
        <w:t xml:space="preserve">    </w:t>
      </w:r>
      <w:r>
        <w:rPr>
          <w:rFonts w:hint="eastAsia" w:ascii="宋体" w:hAnsi="宋体" w:eastAsia="宋体" w:cs="宋体"/>
          <w:color w:val="auto"/>
          <w:spacing w:val="9"/>
          <w:sz w:val="21"/>
          <w:szCs w:val="21"/>
          <w:highlight w:val="none"/>
        </w:rPr>
        <w:t>日</w:t>
      </w:r>
    </w:p>
    <w:p>
      <w:pPr>
        <w:spacing w:line="457" w:lineRule="auto"/>
        <w:rPr>
          <w:rFonts w:hint="eastAsia" w:ascii="宋体" w:hAnsi="宋体" w:eastAsia="宋体" w:cs="宋体"/>
          <w:color w:val="auto"/>
          <w:sz w:val="21"/>
          <w:szCs w:val="21"/>
          <w:highlight w:val="none"/>
        </w:rPr>
      </w:pPr>
    </w:p>
    <w:p>
      <w:pPr>
        <w:spacing w:before="65" w:line="231" w:lineRule="auto"/>
        <w:ind w:left="5"/>
        <w:rPr>
          <w:color w:val="auto"/>
          <w:highlight w:val="none"/>
        </w:rPr>
        <w:sectPr>
          <w:pgSz w:w="11900" w:h="16840"/>
          <w:pgMar w:top="1160" w:right="1179" w:bottom="1448" w:left="1191" w:header="883" w:footer="1234" w:gutter="0"/>
          <w:pgNumType w:fmt="decimal"/>
          <w:cols w:space="720" w:num="1"/>
        </w:sectPr>
      </w:pPr>
      <w:r>
        <w:rPr>
          <w:rFonts w:ascii="宋体" w:hAnsi="宋体" w:eastAsia="宋体" w:cs="宋体"/>
          <w:color w:val="auto"/>
          <w:spacing w:val="11"/>
          <w:sz w:val="20"/>
          <w:szCs w:val="20"/>
          <w:highlight w:val="none"/>
        </w:rPr>
        <w:t>注</w:t>
      </w:r>
      <w:r>
        <w:rPr>
          <w:rFonts w:ascii="宋体" w:hAnsi="宋体" w:eastAsia="宋体" w:cs="宋体"/>
          <w:color w:val="auto"/>
          <w:spacing w:val="9"/>
          <w:sz w:val="20"/>
          <w:szCs w:val="20"/>
          <w:highlight w:val="none"/>
        </w:rPr>
        <w:t>：本支付担保格式可采用经承包人同意的其他格式，但相关约定应当与履约保证金对等。</w:t>
      </w:r>
      <w:bookmarkStart w:id="607" w:name="_bookmark144"/>
      <w:bookmarkEnd w:id="607"/>
    </w:p>
    <w:p>
      <w:pPr>
        <w:spacing w:before="299" w:line="219" w:lineRule="auto"/>
        <w:outlineLvl w:val="2"/>
        <w:rPr>
          <w:rFonts w:ascii="宋体" w:hAnsi="宋体" w:eastAsia="宋体" w:cs="宋体"/>
          <w:color w:val="auto"/>
          <w:sz w:val="28"/>
          <w:szCs w:val="28"/>
          <w:highlight w:val="none"/>
        </w:rPr>
      </w:pPr>
      <w:bookmarkStart w:id="608" w:name="_bookmark146"/>
      <w:bookmarkEnd w:id="608"/>
      <w:bookmarkStart w:id="609" w:name="_bookmark145"/>
      <w:bookmarkEnd w:id="609"/>
      <w:bookmarkStart w:id="610" w:name="_Toc7207"/>
      <w:r>
        <w:rPr>
          <w:rFonts w:ascii="宋体" w:hAnsi="宋体" w:eastAsia="宋体" w:cs="宋体"/>
          <w:color w:val="auto"/>
          <w:spacing w:val="-4"/>
          <w:sz w:val="28"/>
          <w:szCs w:val="28"/>
          <w:highlight w:val="none"/>
        </w:rPr>
        <w:t>附</w:t>
      </w:r>
      <w:r>
        <w:rPr>
          <w:rFonts w:ascii="宋体" w:hAnsi="宋体" w:eastAsia="宋体" w:cs="宋体"/>
          <w:color w:val="auto"/>
          <w:spacing w:val="-2"/>
          <w:sz w:val="28"/>
          <w:szCs w:val="28"/>
          <w:highlight w:val="none"/>
        </w:rPr>
        <w:t>件九  工程资金监管协议格式</w:t>
      </w:r>
      <w:bookmarkEnd w:id="610"/>
    </w:p>
    <w:p>
      <w:pPr>
        <w:spacing w:before="170" w:line="378" w:lineRule="auto"/>
        <w:ind w:left="9" w:right="56" w:firstLine="416"/>
        <w:rPr>
          <w:rFonts w:hint="eastAsia" w:ascii="宋体" w:hAnsi="宋体" w:eastAsia="宋体" w:cs="宋体"/>
          <w:color w:val="auto"/>
          <w:sz w:val="21"/>
          <w:szCs w:val="21"/>
          <w:highlight w:val="none"/>
        </w:rPr>
      </w:pPr>
      <w:r>
        <w:rPr>
          <w:rFonts w:hint="eastAsia" w:ascii="宋体" w:hAnsi="宋体" w:eastAsia="宋体" w:cs="宋体"/>
          <w:color w:val="auto"/>
          <w:spacing w:val="22"/>
          <w:sz w:val="21"/>
          <w:szCs w:val="21"/>
          <w:highlight w:val="none"/>
        </w:rPr>
        <w:t>(发</w:t>
      </w:r>
      <w:r>
        <w:rPr>
          <w:rFonts w:hint="eastAsia" w:ascii="宋体" w:hAnsi="宋体" w:eastAsia="宋体" w:cs="宋体"/>
          <w:color w:val="auto"/>
          <w:spacing w:val="16"/>
          <w:sz w:val="21"/>
          <w:szCs w:val="21"/>
          <w:highlight w:val="none"/>
        </w:rPr>
        <w:t>包</w:t>
      </w:r>
      <w:r>
        <w:rPr>
          <w:rFonts w:hint="eastAsia" w:ascii="宋体" w:hAnsi="宋体" w:eastAsia="宋体" w:cs="宋体"/>
          <w:color w:val="auto"/>
          <w:spacing w:val="11"/>
          <w:sz w:val="21"/>
          <w:szCs w:val="21"/>
          <w:highlight w:val="none"/>
        </w:rPr>
        <w:t>人与承包人签订合同协议书时应与发包人指定的银行签署工程资金监管协议，工程资金监</w:t>
      </w:r>
      <w:r>
        <w:rPr>
          <w:rFonts w:hint="eastAsia" w:ascii="宋体" w:hAnsi="宋体" w:eastAsia="宋体" w:cs="宋体"/>
          <w:color w:val="auto"/>
          <w:spacing w:val="18"/>
          <w:sz w:val="21"/>
          <w:szCs w:val="21"/>
          <w:highlight w:val="none"/>
        </w:rPr>
        <w:t>管</w:t>
      </w:r>
      <w:r>
        <w:rPr>
          <w:rFonts w:hint="eastAsia" w:ascii="宋体" w:hAnsi="宋体" w:eastAsia="宋体" w:cs="宋体"/>
          <w:color w:val="auto"/>
          <w:spacing w:val="9"/>
          <w:sz w:val="21"/>
          <w:szCs w:val="21"/>
          <w:highlight w:val="none"/>
        </w:rPr>
        <w:t>协议内容在保证本项目资金有效监管的前提下由三方共同商定)</w:t>
      </w:r>
    </w:p>
    <w:p>
      <w:pPr>
        <w:spacing w:line="306" w:lineRule="auto"/>
        <w:rPr>
          <w:rFonts w:ascii="Arial"/>
          <w:color w:val="auto"/>
          <w:sz w:val="21"/>
          <w:highlight w:val="none"/>
        </w:rPr>
      </w:pPr>
    </w:p>
    <w:p>
      <w:pPr>
        <w:spacing w:before="97" w:line="222" w:lineRule="auto"/>
        <w:ind w:left="3401"/>
        <w:rPr>
          <w:rFonts w:ascii="黑体" w:hAnsi="黑体" w:eastAsia="黑体" w:cs="黑体"/>
          <w:color w:val="auto"/>
          <w:sz w:val="28"/>
          <w:szCs w:val="28"/>
          <w:highlight w:val="none"/>
        </w:rPr>
      </w:pPr>
      <w:r>
        <w:rPr>
          <w:rFonts w:ascii="黑体" w:hAnsi="黑体" w:eastAsia="黑体" w:cs="黑体"/>
          <w:color w:val="auto"/>
          <w:spacing w:val="-2"/>
          <w:sz w:val="28"/>
          <w:szCs w:val="28"/>
          <w:highlight w:val="none"/>
        </w:rPr>
        <w:t>工程资金监</w:t>
      </w:r>
      <w:r>
        <w:rPr>
          <w:rFonts w:ascii="黑体" w:hAnsi="黑体" w:eastAsia="黑体" w:cs="黑体"/>
          <w:color w:val="auto"/>
          <w:spacing w:val="-1"/>
          <w:sz w:val="28"/>
          <w:szCs w:val="28"/>
          <w:highlight w:val="none"/>
        </w:rPr>
        <w:t>管协议</w:t>
      </w:r>
    </w:p>
    <w:p>
      <w:pPr>
        <w:spacing w:line="471" w:lineRule="auto"/>
        <w:rPr>
          <w:rFonts w:ascii="Arial"/>
          <w:color w:val="auto"/>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326" w:lineRule="exact"/>
        <w:ind w:left="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发 包 人：</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(以下简称“甲方”)</w:t>
      </w:r>
    </w:p>
    <w:p>
      <w:pPr>
        <w:keepNext w:val="0"/>
        <w:keepLines w:val="0"/>
        <w:pageBreakBefore w:val="0"/>
        <w:widowControl/>
        <w:kinsoku w:val="0"/>
        <w:wordWrap/>
        <w:overflowPunct/>
        <w:topLinePunct w:val="0"/>
        <w:autoSpaceDE w:val="0"/>
        <w:autoSpaceDN w:val="0"/>
        <w:bidi w:val="0"/>
        <w:adjustRightInd w:val="0"/>
        <w:snapToGrid w:val="0"/>
        <w:spacing w:line="326" w:lineRule="exact"/>
        <w:ind w:left="5"/>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承 包 人：</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(以下简称“乙方”)</w:t>
      </w:r>
    </w:p>
    <w:p>
      <w:pPr>
        <w:keepNext w:val="0"/>
        <w:keepLines w:val="0"/>
        <w:pageBreakBefore w:val="0"/>
        <w:widowControl/>
        <w:kinsoku w:val="0"/>
        <w:wordWrap/>
        <w:overflowPunct/>
        <w:topLinePunct w:val="0"/>
        <w:autoSpaceDE w:val="0"/>
        <w:autoSpaceDN w:val="0"/>
        <w:bidi w:val="0"/>
        <w:adjustRightInd w:val="0"/>
        <w:snapToGrid w:val="0"/>
        <w:spacing w:before="118" w:line="326" w:lineRule="exact"/>
        <w:ind w:left="7"/>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经办银行：</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(以下简称“丙方”)</w:t>
      </w:r>
    </w:p>
    <w:p>
      <w:pPr>
        <w:keepNext w:val="0"/>
        <w:keepLines w:val="0"/>
        <w:pageBreakBefore w:val="0"/>
        <w:widowControl/>
        <w:kinsoku w:val="0"/>
        <w:wordWrap/>
        <w:overflowPunct/>
        <w:topLinePunct w:val="0"/>
        <w:autoSpaceDE w:val="0"/>
        <w:autoSpaceDN w:val="0"/>
        <w:bidi w:val="0"/>
        <w:adjustRightInd w:val="0"/>
        <w:snapToGrid w:val="0"/>
        <w:spacing w:before="120" w:line="326"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为了促进</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(项目名称)的顺利实施，管好用好建设资金， 确保工程资金专款专用，同时为承包人提供便捷有效的银行业务服务，根据</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(项目名称)合同条款有关规定，经甲、乙、丙三方协商，达成协议如下：</w:t>
      </w:r>
    </w:p>
    <w:p>
      <w:pPr>
        <w:keepNext w:val="0"/>
        <w:keepLines w:val="0"/>
        <w:pageBreakBefore w:val="0"/>
        <w:widowControl/>
        <w:kinsoku w:val="0"/>
        <w:wordWrap/>
        <w:overflowPunct/>
        <w:topLinePunct w:val="0"/>
        <w:autoSpaceDE w:val="0"/>
        <w:autoSpaceDN w:val="0"/>
        <w:bidi w:val="0"/>
        <w:adjustRightInd w:val="0"/>
        <w:snapToGrid w:val="0"/>
        <w:spacing w:before="24" w:line="326"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1.资金管理的内容</w:t>
      </w:r>
    </w:p>
    <w:p>
      <w:pPr>
        <w:keepNext w:val="0"/>
        <w:keepLines w:val="0"/>
        <w:pageBreakBefore w:val="0"/>
        <w:widowControl/>
        <w:kinsoku w:val="0"/>
        <w:wordWrap/>
        <w:overflowPunct/>
        <w:topLinePunct w:val="0"/>
        <w:autoSpaceDE w:val="0"/>
        <w:autoSpaceDN w:val="0"/>
        <w:bidi w:val="0"/>
        <w:adjustRightInd w:val="0"/>
        <w:snapToGrid w:val="0"/>
        <w:spacing w:before="131" w:line="326" w:lineRule="exact"/>
        <w:ind w:right="56"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(1)乙方为完成</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(项目名称)工程成立的项目经理部在丙方开设基本结算户和农民工工资 (劳务费)专用帐户；</w:t>
      </w:r>
    </w:p>
    <w:p>
      <w:pPr>
        <w:keepNext w:val="0"/>
        <w:keepLines w:val="0"/>
        <w:pageBreakBefore w:val="0"/>
        <w:widowControl/>
        <w:kinsoku w:val="0"/>
        <w:wordWrap/>
        <w:overflowPunct/>
        <w:topLinePunct w:val="0"/>
        <w:autoSpaceDE w:val="0"/>
        <w:autoSpaceDN w:val="0"/>
        <w:bidi w:val="0"/>
        <w:adjustRightInd w:val="0"/>
        <w:snapToGrid w:val="0"/>
        <w:spacing w:line="326"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(2)甲方应按合同规定将工程款(质量保证金除外)汇入乙方在丙方开设的账户；</w:t>
      </w:r>
    </w:p>
    <w:p>
      <w:pPr>
        <w:keepNext w:val="0"/>
        <w:keepLines w:val="0"/>
        <w:pageBreakBefore w:val="0"/>
        <w:widowControl/>
        <w:kinsoku w:val="0"/>
        <w:wordWrap/>
        <w:overflowPunct/>
        <w:topLinePunct w:val="0"/>
        <w:autoSpaceDE w:val="0"/>
        <w:autoSpaceDN w:val="0"/>
        <w:bidi w:val="0"/>
        <w:adjustRightInd w:val="0"/>
        <w:snapToGrid w:val="0"/>
        <w:spacing w:before="134" w:line="326" w:lineRule="exact"/>
        <w:ind w:left="42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(3)乙方应将流动资金及甲方所拨付资金专项用于</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(项目名称)；</w:t>
      </w:r>
    </w:p>
    <w:p>
      <w:pPr>
        <w:keepNext w:val="0"/>
        <w:keepLines w:val="0"/>
        <w:pageBreakBefore w:val="0"/>
        <w:widowControl/>
        <w:kinsoku w:val="0"/>
        <w:wordWrap/>
        <w:overflowPunct/>
        <w:topLinePunct w:val="0"/>
        <w:autoSpaceDE w:val="0"/>
        <w:autoSpaceDN w:val="0"/>
        <w:bidi w:val="0"/>
        <w:adjustRightInd w:val="0"/>
        <w:snapToGrid w:val="0"/>
        <w:spacing w:before="122" w:line="326" w:lineRule="exact"/>
        <w:ind w:left="14" w:right="56" w:firstLine="41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(4)丙方应为乙方提供便捷有效的银行业务服务，并接受甲方委托对乙方在丙方开设的基本结算户 资金使用情况进行监督。</w:t>
      </w:r>
    </w:p>
    <w:p>
      <w:pPr>
        <w:keepNext w:val="0"/>
        <w:keepLines w:val="0"/>
        <w:pageBreakBefore w:val="0"/>
        <w:widowControl/>
        <w:kinsoku w:val="0"/>
        <w:wordWrap/>
        <w:overflowPunct/>
        <w:topLinePunct w:val="0"/>
        <w:autoSpaceDE w:val="0"/>
        <w:autoSpaceDN w:val="0"/>
        <w:bidi w:val="0"/>
        <w:adjustRightInd w:val="0"/>
        <w:snapToGrid w:val="0"/>
        <w:spacing w:before="13" w:line="326" w:lineRule="exact"/>
        <w:ind w:left="42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2.甲方的权责</w:t>
      </w:r>
    </w:p>
    <w:p>
      <w:pPr>
        <w:keepNext w:val="0"/>
        <w:keepLines w:val="0"/>
        <w:pageBreakBefore w:val="0"/>
        <w:widowControl/>
        <w:kinsoku w:val="0"/>
        <w:wordWrap/>
        <w:overflowPunct/>
        <w:topLinePunct w:val="0"/>
        <w:autoSpaceDE w:val="0"/>
        <w:autoSpaceDN w:val="0"/>
        <w:bidi w:val="0"/>
        <w:adjustRightInd w:val="0"/>
        <w:snapToGrid w:val="0"/>
        <w:spacing w:before="133" w:line="326" w:lineRule="exact"/>
        <w:ind w:left="42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(1)按照</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(项目名称)合同有关条款规定的时间和方式，向乙方支付工程款；</w:t>
      </w:r>
    </w:p>
    <w:p>
      <w:pPr>
        <w:keepNext w:val="0"/>
        <w:keepLines w:val="0"/>
        <w:pageBreakBefore w:val="0"/>
        <w:widowControl/>
        <w:kinsoku w:val="0"/>
        <w:wordWrap/>
        <w:overflowPunct/>
        <w:topLinePunct w:val="0"/>
        <w:autoSpaceDE w:val="0"/>
        <w:autoSpaceDN w:val="0"/>
        <w:bidi w:val="0"/>
        <w:adjustRightInd w:val="0"/>
        <w:snapToGrid w:val="0"/>
        <w:spacing w:before="121" w:line="326" w:lineRule="exact"/>
        <w:ind w:left="42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(2)在发现乙方将本项目资金挪用、转移时， 甲方有权中止工程支付，直至乙方改正为止；</w:t>
      </w:r>
    </w:p>
    <w:p>
      <w:pPr>
        <w:keepNext w:val="0"/>
        <w:keepLines w:val="0"/>
        <w:pageBreakBefore w:val="0"/>
        <w:widowControl/>
        <w:kinsoku w:val="0"/>
        <w:wordWrap/>
        <w:overflowPunct/>
        <w:topLinePunct w:val="0"/>
        <w:autoSpaceDE w:val="0"/>
        <w:autoSpaceDN w:val="0"/>
        <w:bidi w:val="0"/>
        <w:adjustRightInd w:val="0"/>
        <w:snapToGrid w:val="0"/>
        <w:spacing w:before="133" w:line="326" w:lineRule="exact"/>
        <w:ind w:left="7" w:right="54" w:firstLine="418"/>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(3)不定期审查丙方对乙方的资金使用监督情况，如丙方不能履行其责任， 甲方有权随时终止本协议；</w:t>
      </w:r>
    </w:p>
    <w:p>
      <w:pPr>
        <w:keepNext w:val="0"/>
        <w:keepLines w:val="0"/>
        <w:pageBreakBefore w:val="0"/>
        <w:widowControl/>
        <w:kinsoku w:val="0"/>
        <w:wordWrap/>
        <w:overflowPunct/>
        <w:topLinePunct w:val="0"/>
        <w:autoSpaceDE w:val="0"/>
        <w:autoSpaceDN w:val="0"/>
        <w:bidi w:val="0"/>
        <w:adjustRightInd w:val="0"/>
        <w:snapToGrid w:val="0"/>
        <w:spacing w:before="133" w:line="326" w:lineRule="exact"/>
        <w:ind w:left="7" w:right="54" w:firstLine="418"/>
        <w:textAlignment w:val="baseline"/>
        <w:rPr>
          <w:rFonts w:hint="eastAsia" w:ascii="宋体" w:hAnsi="宋体" w:eastAsia="宋体" w:cs="宋体"/>
          <w:color w:val="auto"/>
          <w:spacing w:val="0"/>
          <w:position w:val="0"/>
          <w:sz w:val="21"/>
          <w:szCs w:val="21"/>
          <w:highlight w:val="none"/>
          <w:lang w:eastAsia="zh-CN"/>
        </w:rPr>
      </w:pPr>
      <w:r>
        <w:rPr>
          <w:rFonts w:hint="eastAsia" w:ascii="宋体" w:hAnsi="宋体" w:eastAsia="宋体" w:cs="宋体"/>
          <w:color w:val="auto"/>
          <w:spacing w:val="0"/>
          <w:position w:val="0"/>
          <w:sz w:val="21"/>
          <w:szCs w:val="21"/>
          <w:highlight w:val="none"/>
        </w:rPr>
        <w:t>(4)在乙、丙双方发生争议时， 甲方应负责协调、解决</w:t>
      </w:r>
      <w:r>
        <w:rPr>
          <w:rFonts w:hint="eastAsia" w:ascii="宋体" w:hAnsi="宋体" w:eastAsia="宋体" w:cs="宋体"/>
          <w:color w:val="auto"/>
          <w:spacing w:val="0"/>
          <w:position w:val="0"/>
          <w:sz w:val="21"/>
          <w:szCs w:val="21"/>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before="1" w:line="326" w:lineRule="exact"/>
        <w:ind w:right="3781"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 3.乙方的权责</w:t>
      </w:r>
    </w:p>
    <w:p>
      <w:pPr>
        <w:keepNext w:val="0"/>
        <w:keepLines w:val="0"/>
        <w:pageBreakBefore w:val="0"/>
        <w:widowControl/>
        <w:kinsoku w:val="0"/>
        <w:wordWrap/>
        <w:overflowPunct/>
        <w:topLinePunct w:val="0"/>
        <w:autoSpaceDE w:val="0"/>
        <w:autoSpaceDN w:val="0"/>
        <w:bidi w:val="0"/>
        <w:adjustRightInd w:val="0"/>
        <w:snapToGrid w:val="0"/>
        <w:spacing w:before="133" w:line="326" w:lineRule="exact"/>
        <w:ind w:left="42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(1)项目经理部成立以后，乙方应尽快在丙方开设基本结算户；</w:t>
      </w:r>
    </w:p>
    <w:p>
      <w:pPr>
        <w:keepNext w:val="0"/>
        <w:keepLines w:val="0"/>
        <w:pageBreakBefore w:val="0"/>
        <w:widowControl/>
        <w:kinsoku w:val="0"/>
        <w:wordWrap/>
        <w:overflowPunct/>
        <w:topLinePunct w:val="0"/>
        <w:autoSpaceDE w:val="0"/>
        <w:autoSpaceDN w:val="0"/>
        <w:bidi w:val="0"/>
        <w:adjustRightInd w:val="0"/>
        <w:snapToGrid w:val="0"/>
        <w:spacing w:before="133" w:line="326" w:lineRule="exact"/>
        <w:ind w:left="5" w:right="51" w:firstLine="42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(2)确保本项目资金专款专用，不发生挪用、转移资金的现象；保证不通过权益转让、抵押、担保 承担债务等任何其他方式使用基本结算户的资金；</w:t>
      </w:r>
    </w:p>
    <w:p>
      <w:pPr>
        <w:keepNext w:val="0"/>
        <w:keepLines w:val="0"/>
        <w:pageBreakBefore w:val="0"/>
        <w:widowControl/>
        <w:kinsoku w:val="0"/>
        <w:wordWrap/>
        <w:overflowPunct/>
        <w:topLinePunct w:val="0"/>
        <w:autoSpaceDE w:val="0"/>
        <w:autoSpaceDN w:val="0"/>
        <w:bidi w:val="0"/>
        <w:adjustRightInd w:val="0"/>
        <w:snapToGrid w:val="0"/>
        <w:spacing w:before="1" w:line="326" w:lineRule="exact"/>
        <w:ind w:left="5" w:right="58" w:firstLine="42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(3)办理材料、设备等采购业务金额在</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万元以上的，应出示购货合同、协议和发票；在办 理总额超过</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万元以上的采购业务时，应将合同、协议和发票复印件送丙方备案；购买应急材 料、设备时可先办理支付手续，但事后必须补备有关资料；</w:t>
      </w:r>
    </w:p>
    <w:p>
      <w:pPr>
        <w:keepNext w:val="0"/>
        <w:keepLines w:val="0"/>
        <w:pageBreakBefore w:val="0"/>
        <w:widowControl/>
        <w:kinsoku w:val="0"/>
        <w:wordWrap/>
        <w:overflowPunct/>
        <w:topLinePunct w:val="0"/>
        <w:autoSpaceDE w:val="0"/>
        <w:autoSpaceDN w:val="0"/>
        <w:bidi w:val="0"/>
        <w:adjustRightInd w:val="0"/>
        <w:snapToGrid w:val="0"/>
        <w:spacing w:line="326"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(4)用银行转账支票办理支付款项时，必须将转账支票送交丙方，由丙方负责办理支票转付手续；</w:t>
      </w:r>
    </w:p>
    <w:p>
      <w:pPr>
        <w:keepNext w:val="0"/>
        <w:keepLines w:val="0"/>
        <w:pageBreakBefore w:val="0"/>
        <w:widowControl/>
        <w:kinsoku w:val="0"/>
        <w:wordWrap/>
        <w:overflowPunct/>
        <w:topLinePunct w:val="0"/>
        <w:autoSpaceDE w:val="0"/>
        <w:autoSpaceDN w:val="0"/>
        <w:bidi w:val="0"/>
        <w:adjustRightInd w:val="0"/>
        <w:snapToGrid w:val="0"/>
        <w:spacing w:line="326"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(5)向分包单位支付工程进度款时，应附甲方批准分包的文件；</w:t>
      </w:r>
    </w:p>
    <w:p>
      <w:pPr>
        <w:keepNext w:val="0"/>
        <w:keepLines w:val="0"/>
        <w:pageBreakBefore w:val="0"/>
        <w:widowControl/>
        <w:kinsoku w:val="0"/>
        <w:wordWrap/>
        <w:overflowPunct/>
        <w:topLinePunct w:val="0"/>
        <w:autoSpaceDE w:val="0"/>
        <w:autoSpaceDN w:val="0"/>
        <w:bidi w:val="0"/>
        <w:adjustRightInd w:val="0"/>
        <w:snapToGrid w:val="0"/>
        <w:spacing w:before="132" w:line="326" w:lineRule="exact"/>
        <w:ind w:left="5" w:right="56" w:firstLine="42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(6)向上级单位缴纳管理费、机械设备及周转材料租赁摊销费等款项时，应附上级单位出具的转账通知等有关资料，以确保资金专款专用。</w:t>
      </w:r>
    </w:p>
    <w:p>
      <w:pPr>
        <w:keepNext w:val="0"/>
        <w:keepLines w:val="0"/>
        <w:pageBreakBefore w:val="0"/>
        <w:widowControl/>
        <w:kinsoku w:val="0"/>
        <w:wordWrap/>
        <w:overflowPunct/>
        <w:topLinePunct w:val="0"/>
        <w:autoSpaceDE w:val="0"/>
        <w:autoSpaceDN w:val="0"/>
        <w:bidi w:val="0"/>
        <w:adjustRightInd w:val="0"/>
        <w:snapToGrid w:val="0"/>
        <w:spacing w:line="326" w:lineRule="exact"/>
        <w:ind w:left="42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(7)开设农民工工资(劳务费)专用帐户，并委托丙方负责日常监管， 确保专款专用。</w:t>
      </w:r>
    </w:p>
    <w:p>
      <w:pPr>
        <w:keepNext w:val="0"/>
        <w:keepLines w:val="0"/>
        <w:pageBreakBefore w:val="0"/>
        <w:widowControl/>
        <w:kinsoku w:val="0"/>
        <w:wordWrap/>
        <w:overflowPunct/>
        <w:topLinePunct w:val="0"/>
        <w:autoSpaceDE w:val="0"/>
        <w:autoSpaceDN w:val="0"/>
        <w:bidi w:val="0"/>
        <w:adjustRightInd w:val="0"/>
        <w:snapToGrid w:val="0"/>
        <w:spacing w:before="166" w:line="326" w:lineRule="exact"/>
        <w:ind w:left="42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4.丙方的权责</w:t>
      </w:r>
    </w:p>
    <w:p>
      <w:pPr>
        <w:keepNext w:val="0"/>
        <w:keepLines w:val="0"/>
        <w:pageBreakBefore w:val="0"/>
        <w:widowControl/>
        <w:kinsoku w:val="0"/>
        <w:wordWrap/>
        <w:overflowPunct/>
        <w:topLinePunct w:val="0"/>
        <w:autoSpaceDE w:val="0"/>
        <w:autoSpaceDN w:val="0"/>
        <w:bidi w:val="0"/>
        <w:adjustRightInd w:val="0"/>
        <w:snapToGrid w:val="0"/>
        <w:spacing w:before="132" w:line="326" w:lineRule="exact"/>
        <w:ind w:left="7" w:right="62" w:firstLine="418"/>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(1)成立</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(项目名称)工程资金管理服务小组，明确业务流程，提高工作效率，杜绝“压票”现象；</w:t>
      </w:r>
    </w:p>
    <w:p>
      <w:pPr>
        <w:keepNext w:val="0"/>
        <w:keepLines w:val="0"/>
        <w:pageBreakBefore w:val="0"/>
        <w:widowControl/>
        <w:kinsoku w:val="0"/>
        <w:wordWrap/>
        <w:overflowPunct/>
        <w:topLinePunct w:val="0"/>
        <w:autoSpaceDE w:val="0"/>
        <w:autoSpaceDN w:val="0"/>
        <w:bidi w:val="0"/>
        <w:adjustRightInd w:val="0"/>
        <w:snapToGrid w:val="0"/>
        <w:spacing w:before="1" w:line="326" w:lineRule="exact"/>
        <w:ind w:left="4" w:firstLine="42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(2)根据乙方提供的购货合同、协议和发票，检查其所购材料、设备是否用于(项目名称)工程建设，对本标段以外的购货款项，有权拒绝办理， 并及时报告甲方；</w:t>
      </w:r>
    </w:p>
    <w:p>
      <w:pPr>
        <w:keepNext w:val="0"/>
        <w:keepLines w:val="0"/>
        <w:pageBreakBefore w:val="0"/>
        <w:widowControl/>
        <w:kinsoku w:val="0"/>
        <w:wordWrap/>
        <w:overflowPunct/>
        <w:topLinePunct w:val="0"/>
        <w:autoSpaceDE w:val="0"/>
        <w:autoSpaceDN w:val="0"/>
        <w:bidi w:val="0"/>
        <w:adjustRightInd w:val="0"/>
        <w:snapToGrid w:val="0"/>
        <w:spacing w:before="1" w:line="326" w:lineRule="exact"/>
        <w:ind w:left="29" w:right="56" w:firstLine="39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(3)根据乙方与分包单位签订的合同及支付文件， 检查其支付款项是否符合有关条件，向分包单位以外单位的支付有权拒绝办理， 并及时报告甲方；</w:t>
      </w:r>
    </w:p>
    <w:p>
      <w:pPr>
        <w:keepNext w:val="0"/>
        <w:keepLines w:val="0"/>
        <w:pageBreakBefore w:val="0"/>
        <w:widowControl/>
        <w:kinsoku w:val="0"/>
        <w:wordWrap/>
        <w:overflowPunct/>
        <w:topLinePunct w:val="0"/>
        <w:autoSpaceDE w:val="0"/>
        <w:autoSpaceDN w:val="0"/>
        <w:bidi w:val="0"/>
        <w:adjustRightInd w:val="0"/>
        <w:snapToGrid w:val="0"/>
        <w:spacing w:before="2" w:line="326" w:lineRule="exact"/>
        <w:ind w:left="4" w:right="56" w:firstLine="42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(4)根据乙方提供的上级单位出具的转账通知等有关资料，办理管理费、机械设备及周转材料租赁摊销费等款项的支付；对超出转账通知等有关资料以外的支付，有权拒绝办理，并及时报告甲方；</w:t>
      </w:r>
    </w:p>
    <w:p>
      <w:pPr>
        <w:keepNext w:val="0"/>
        <w:keepLines w:val="0"/>
        <w:pageBreakBefore w:val="0"/>
        <w:widowControl/>
        <w:kinsoku w:val="0"/>
        <w:wordWrap/>
        <w:overflowPunct/>
        <w:topLinePunct w:val="0"/>
        <w:autoSpaceDE w:val="0"/>
        <w:autoSpaceDN w:val="0"/>
        <w:bidi w:val="0"/>
        <w:adjustRightInd w:val="0"/>
        <w:snapToGrid w:val="0"/>
        <w:spacing w:line="326"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(5)定期将乙方前一个周期的支付情况，整理后书面报送甲方；乙方复印备案的材料一并送甲方；</w:t>
      </w:r>
    </w:p>
    <w:p>
      <w:pPr>
        <w:keepNext w:val="0"/>
        <w:keepLines w:val="0"/>
        <w:pageBreakBefore w:val="0"/>
        <w:widowControl/>
        <w:kinsoku w:val="0"/>
        <w:wordWrap/>
        <w:overflowPunct/>
        <w:topLinePunct w:val="0"/>
        <w:autoSpaceDE w:val="0"/>
        <w:autoSpaceDN w:val="0"/>
        <w:bidi w:val="0"/>
        <w:adjustRightInd w:val="0"/>
        <w:snapToGrid w:val="0"/>
        <w:spacing w:before="136" w:line="326" w:lineRule="exact"/>
        <w:ind w:left="42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(6)监管乙方开设的农民工工资(劳务费)专用帐户，确保专款专用。</w:t>
      </w:r>
    </w:p>
    <w:p>
      <w:pPr>
        <w:keepNext w:val="0"/>
        <w:keepLines w:val="0"/>
        <w:pageBreakBefore w:val="0"/>
        <w:widowControl/>
        <w:kinsoku w:val="0"/>
        <w:wordWrap/>
        <w:overflowPunct/>
        <w:topLinePunct w:val="0"/>
        <w:autoSpaceDE w:val="0"/>
        <w:autoSpaceDN w:val="0"/>
        <w:bidi w:val="0"/>
        <w:adjustRightInd w:val="0"/>
        <w:snapToGrid w:val="0"/>
        <w:spacing w:before="163" w:line="326" w:lineRule="exact"/>
        <w:ind w:right="53"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5.甲、乙、丙三方都应履行保密责任，不得将其他两方的业务情况透露给三方以外的其他单位或个人。</w:t>
      </w:r>
    </w:p>
    <w:p>
      <w:pPr>
        <w:keepNext w:val="0"/>
        <w:keepLines w:val="0"/>
        <w:pageBreakBefore w:val="0"/>
        <w:widowControl/>
        <w:kinsoku w:val="0"/>
        <w:wordWrap/>
        <w:overflowPunct/>
        <w:topLinePunct w:val="0"/>
        <w:autoSpaceDE w:val="0"/>
        <w:autoSpaceDN w:val="0"/>
        <w:bidi w:val="0"/>
        <w:adjustRightInd w:val="0"/>
        <w:snapToGrid w:val="0"/>
        <w:spacing w:before="1" w:line="326"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6.本协议有效期自乙方在丙方开户起，至工程交工验收甲方向乙方颁发交工验收证书后结束。</w:t>
      </w:r>
    </w:p>
    <w:p>
      <w:pPr>
        <w:keepNext w:val="0"/>
        <w:keepLines w:val="0"/>
        <w:pageBreakBefore w:val="0"/>
        <w:widowControl/>
        <w:kinsoku w:val="0"/>
        <w:wordWrap/>
        <w:overflowPunct/>
        <w:topLinePunct w:val="0"/>
        <w:autoSpaceDE w:val="0"/>
        <w:autoSpaceDN w:val="0"/>
        <w:bidi w:val="0"/>
        <w:adjustRightInd w:val="0"/>
        <w:snapToGrid w:val="0"/>
        <w:spacing w:before="161" w:line="326" w:lineRule="exact"/>
        <w:ind w:left="425"/>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7.本协议未尽事宜，由甲方牵头，三方协商解决。</w:t>
      </w:r>
    </w:p>
    <w:p>
      <w:pPr>
        <w:keepNext w:val="0"/>
        <w:keepLines w:val="0"/>
        <w:pageBreakBefore w:val="0"/>
        <w:widowControl/>
        <w:kinsoku w:val="0"/>
        <w:wordWrap/>
        <w:overflowPunct/>
        <w:topLinePunct w:val="0"/>
        <w:autoSpaceDE w:val="0"/>
        <w:autoSpaceDN w:val="0"/>
        <w:bidi w:val="0"/>
        <w:adjustRightInd w:val="0"/>
        <w:snapToGrid w:val="0"/>
        <w:spacing w:before="163" w:line="326" w:lineRule="exact"/>
        <w:ind w:left="9" w:right="58" w:firstLine="42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8.本协议正本三份、副本</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 xml:space="preserve"> 份。合同三方各执正本一份、副本</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 xml:space="preserve"> 份，当正本与副本内容不一致时，以正本为准。</w:t>
      </w:r>
    </w:p>
    <w:p>
      <w:pPr>
        <w:pStyle w:val="2"/>
        <w:rPr>
          <w:rFonts w:hint="eastAsia" w:ascii="宋体" w:hAnsi="宋体" w:eastAsia="宋体" w:cs="宋体"/>
          <w:color w:val="auto"/>
          <w:spacing w:val="-3"/>
          <w:sz w:val="21"/>
          <w:szCs w:val="21"/>
          <w:highlight w:val="none"/>
        </w:rPr>
      </w:pPr>
    </w:p>
    <w:p>
      <w:pPr>
        <w:keepNext w:val="0"/>
        <w:keepLines w:val="0"/>
        <w:pageBreakBefore w:val="0"/>
        <w:widowControl/>
        <w:tabs>
          <w:tab w:val="left" w:pos="4502"/>
        </w:tabs>
        <w:kinsoku w:val="0"/>
        <w:wordWrap/>
        <w:overflowPunct/>
        <w:topLinePunct w:val="0"/>
        <w:autoSpaceDE w:val="0"/>
        <w:autoSpaceDN w:val="0"/>
        <w:bidi w:val="0"/>
        <w:adjustRightInd w:val="0"/>
        <w:snapToGrid w:val="0"/>
        <w:spacing w:before="65" w:line="400" w:lineRule="exact"/>
        <w:ind w:left="412" w:right="1465" w:hanging="412" w:hangingChars="200"/>
        <w:jc w:val="righ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2"/>
          <w:sz w:val="21"/>
          <w:szCs w:val="21"/>
          <w:highlight w:val="none"/>
        </w:rPr>
        <w:t>发</w:t>
      </w:r>
      <w:r>
        <w:rPr>
          <w:rFonts w:hint="eastAsia" w:ascii="宋体" w:hAnsi="宋体" w:eastAsia="宋体" w:cs="宋体"/>
          <w:color w:val="auto"/>
          <w:spacing w:val="-1"/>
          <w:sz w:val="21"/>
          <w:szCs w:val="21"/>
          <w:highlight w:val="none"/>
        </w:rPr>
        <w:t>包人：</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(盖单位章)</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p>
    <w:p>
      <w:pPr>
        <w:keepNext w:val="0"/>
        <w:keepLines w:val="0"/>
        <w:pageBreakBefore w:val="0"/>
        <w:widowControl/>
        <w:tabs>
          <w:tab w:val="left" w:pos="4502"/>
        </w:tabs>
        <w:kinsoku w:val="0"/>
        <w:wordWrap/>
        <w:overflowPunct/>
        <w:topLinePunct w:val="0"/>
        <w:autoSpaceDE w:val="0"/>
        <w:autoSpaceDN w:val="0"/>
        <w:bidi w:val="0"/>
        <w:adjustRightInd w:val="0"/>
        <w:snapToGrid w:val="0"/>
        <w:spacing w:before="65" w:line="400" w:lineRule="exact"/>
        <w:ind w:left="412" w:right="1465" w:hanging="440" w:hangingChars="200"/>
        <w:jc w:val="right"/>
        <w:textAlignment w:val="baseline"/>
        <w:rPr>
          <w:rFonts w:hint="default" w:ascii="宋体" w:hAnsi="宋体" w:eastAsia="宋体" w:cs="宋体"/>
          <w:color w:val="auto"/>
          <w:spacing w:val="3"/>
          <w:sz w:val="21"/>
          <w:szCs w:val="21"/>
          <w:highlight w:val="none"/>
          <w:lang w:val="en-US" w:eastAsia="zh-CN"/>
        </w:rPr>
      </w:pPr>
      <w:r>
        <w:rPr>
          <w:rFonts w:hint="eastAsia" w:ascii="宋体" w:hAnsi="宋体" w:eastAsia="宋体" w:cs="宋体"/>
          <w:color w:val="auto"/>
          <w:spacing w:val="5"/>
          <w:sz w:val="21"/>
          <w:szCs w:val="21"/>
          <w:highlight w:val="none"/>
        </w:rPr>
        <w:t>法</w:t>
      </w:r>
      <w:r>
        <w:rPr>
          <w:rFonts w:hint="eastAsia" w:ascii="宋体" w:hAnsi="宋体" w:eastAsia="宋体" w:cs="宋体"/>
          <w:color w:val="auto"/>
          <w:spacing w:val="3"/>
          <w:sz w:val="21"/>
          <w:szCs w:val="21"/>
          <w:highlight w:val="none"/>
        </w:rPr>
        <w:t>定代表人或其委托代理人：</w:t>
      </w:r>
      <w:r>
        <w:rPr>
          <w:rFonts w:hint="eastAsia" w:ascii="宋体" w:hAnsi="宋体" w:eastAsia="宋体" w:cs="宋体"/>
          <w:color w:val="auto"/>
          <w:spacing w:val="3"/>
          <w:sz w:val="21"/>
          <w:szCs w:val="21"/>
          <w:highlight w:val="none"/>
          <w:u w:val="single" w:color="auto"/>
        </w:rPr>
        <w:t xml:space="preserve">    </w:t>
      </w:r>
      <w:r>
        <w:rPr>
          <w:rFonts w:hint="eastAsia" w:ascii="宋体" w:hAnsi="宋体" w:eastAsia="宋体" w:cs="宋体"/>
          <w:color w:val="auto"/>
          <w:spacing w:val="3"/>
          <w:sz w:val="21"/>
          <w:szCs w:val="21"/>
          <w:highlight w:val="none"/>
        </w:rPr>
        <w:t>(签字)</w:t>
      </w:r>
      <w:r>
        <w:rPr>
          <w:rFonts w:hint="eastAsia" w:ascii="宋体" w:hAnsi="宋体" w:eastAsia="宋体" w:cs="宋体"/>
          <w:color w:val="auto"/>
          <w:spacing w:val="3"/>
          <w:sz w:val="21"/>
          <w:szCs w:val="21"/>
          <w:highlight w:val="none"/>
          <w:lang w:val="en-US" w:eastAsia="zh-CN"/>
        </w:rPr>
        <w:t xml:space="preserve">  </w:t>
      </w:r>
    </w:p>
    <w:p>
      <w:pPr>
        <w:keepNext w:val="0"/>
        <w:keepLines w:val="0"/>
        <w:pageBreakBefore w:val="0"/>
        <w:widowControl/>
        <w:tabs>
          <w:tab w:val="left" w:pos="4502"/>
        </w:tabs>
        <w:kinsoku w:val="0"/>
        <w:wordWrap/>
        <w:overflowPunct/>
        <w:topLinePunct w:val="0"/>
        <w:autoSpaceDE w:val="0"/>
        <w:autoSpaceDN w:val="0"/>
        <w:bidi w:val="0"/>
        <w:adjustRightInd w:val="0"/>
        <w:snapToGrid w:val="0"/>
        <w:spacing w:before="65" w:line="400" w:lineRule="exact"/>
        <w:ind w:left="412" w:right="1465" w:hanging="456" w:hangingChars="200"/>
        <w:jc w:val="right"/>
        <w:textAlignment w:val="baseline"/>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9"/>
          <w:sz w:val="21"/>
          <w:szCs w:val="21"/>
          <w:highlight w:val="none"/>
        </w:rPr>
        <w:t>年</w:t>
      </w:r>
      <w:r>
        <w:rPr>
          <w:rFonts w:hint="eastAsia" w:ascii="宋体" w:hAnsi="宋体" w:eastAsia="宋体" w:cs="宋体"/>
          <w:color w:val="auto"/>
          <w:spacing w:val="9"/>
          <w:sz w:val="21"/>
          <w:szCs w:val="21"/>
          <w:highlight w:val="none"/>
          <w:u w:val="single" w:color="auto"/>
        </w:rPr>
        <w:t xml:space="preserve">   </w:t>
      </w:r>
      <w:r>
        <w:rPr>
          <w:rFonts w:hint="eastAsia" w:ascii="宋体" w:hAnsi="宋体" w:eastAsia="宋体" w:cs="宋体"/>
          <w:color w:val="auto"/>
          <w:spacing w:val="9"/>
          <w:sz w:val="21"/>
          <w:szCs w:val="21"/>
          <w:highlight w:val="none"/>
        </w:rPr>
        <w:t>月</w:t>
      </w:r>
      <w:r>
        <w:rPr>
          <w:rFonts w:hint="eastAsia" w:ascii="宋体" w:hAnsi="宋体" w:eastAsia="宋体" w:cs="宋体"/>
          <w:color w:val="auto"/>
          <w:spacing w:val="9"/>
          <w:sz w:val="21"/>
          <w:szCs w:val="21"/>
          <w:highlight w:val="none"/>
          <w:u w:val="single" w:color="auto"/>
        </w:rPr>
        <w:t xml:space="preserve">    </w:t>
      </w:r>
      <w:r>
        <w:rPr>
          <w:rFonts w:hint="eastAsia" w:ascii="宋体" w:hAnsi="宋体" w:eastAsia="宋体" w:cs="宋体"/>
          <w:color w:val="auto"/>
          <w:spacing w:val="9"/>
          <w:sz w:val="21"/>
          <w:szCs w:val="21"/>
          <w:highlight w:val="none"/>
        </w:rPr>
        <w:t>日</w:t>
      </w:r>
      <w:r>
        <w:rPr>
          <w:rFonts w:hint="eastAsia" w:ascii="宋体" w:hAnsi="宋体" w:eastAsia="宋体" w:cs="宋体"/>
          <w:color w:val="auto"/>
          <w:spacing w:val="9"/>
          <w:sz w:val="21"/>
          <w:szCs w:val="21"/>
          <w:highlight w:val="none"/>
          <w:lang w:val="en-US" w:eastAsia="zh-CN"/>
        </w:rPr>
        <w:t xml:space="preserve">       </w:t>
      </w:r>
    </w:p>
    <w:p>
      <w:pPr>
        <w:keepNext w:val="0"/>
        <w:keepLines w:val="0"/>
        <w:pageBreakBefore w:val="0"/>
        <w:widowControl/>
        <w:tabs>
          <w:tab w:val="left" w:pos="4502"/>
        </w:tabs>
        <w:kinsoku w:val="0"/>
        <w:wordWrap/>
        <w:overflowPunct/>
        <w:topLinePunct w:val="0"/>
        <w:autoSpaceDE w:val="0"/>
        <w:autoSpaceDN w:val="0"/>
        <w:bidi w:val="0"/>
        <w:adjustRightInd w:val="0"/>
        <w:snapToGrid w:val="0"/>
        <w:spacing w:before="65" w:line="400" w:lineRule="exact"/>
        <w:ind w:left="412" w:right="1465" w:hanging="416" w:hangingChars="200"/>
        <w:jc w:val="right"/>
        <w:textAlignment w:val="baseline"/>
        <w:rPr>
          <w:rFonts w:hint="eastAsia" w:ascii="宋体" w:hAnsi="宋体" w:eastAsia="宋体" w:cs="宋体"/>
          <w:color w:val="auto"/>
          <w:spacing w:val="-1"/>
          <w:sz w:val="21"/>
          <w:szCs w:val="21"/>
          <w:highlight w:val="none"/>
        </w:rPr>
      </w:pPr>
    </w:p>
    <w:p>
      <w:pPr>
        <w:keepNext w:val="0"/>
        <w:keepLines w:val="0"/>
        <w:pageBreakBefore w:val="0"/>
        <w:widowControl/>
        <w:tabs>
          <w:tab w:val="left" w:pos="4502"/>
        </w:tabs>
        <w:kinsoku w:val="0"/>
        <w:wordWrap/>
        <w:overflowPunct/>
        <w:topLinePunct w:val="0"/>
        <w:autoSpaceDE w:val="0"/>
        <w:autoSpaceDN w:val="0"/>
        <w:bidi w:val="0"/>
        <w:adjustRightInd w:val="0"/>
        <w:snapToGrid w:val="0"/>
        <w:spacing w:before="65" w:line="400" w:lineRule="exact"/>
        <w:ind w:left="412" w:right="1465" w:hanging="416" w:hangingChars="200"/>
        <w:jc w:val="center"/>
        <w:textAlignment w:val="baseline"/>
        <w:rPr>
          <w:rFonts w:hint="eastAsia" w:ascii="宋体" w:hAnsi="宋体" w:eastAsia="宋体" w:cs="宋体"/>
          <w:color w:val="auto"/>
          <w:spacing w:val="-1"/>
          <w:sz w:val="21"/>
          <w:szCs w:val="21"/>
          <w:highlight w:val="none"/>
          <w:lang w:val="en-US" w:eastAsia="zh-CN"/>
        </w:rPr>
      </w:pPr>
      <w:r>
        <w:rPr>
          <w:rFonts w:hint="eastAsia" w:ascii="宋体" w:hAnsi="宋体" w:eastAsia="宋体" w:cs="宋体"/>
          <w:color w:val="auto"/>
          <w:spacing w:val="-1"/>
          <w:sz w:val="21"/>
          <w:szCs w:val="21"/>
          <w:highlight w:val="none"/>
          <w:lang w:val="en-US" w:eastAsia="zh-CN"/>
        </w:rPr>
        <w:t xml:space="preserve">                                    </w:t>
      </w:r>
    </w:p>
    <w:p>
      <w:pPr>
        <w:keepNext w:val="0"/>
        <w:keepLines w:val="0"/>
        <w:pageBreakBefore w:val="0"/>
        <w:widowControl/>
        <w:tabs>
          <w:tab w:val="left" w:pos="4502"/>
        </w:tabs>
        <w:kinsoku w:val="0"/>
        <w:wordWrap/>
        <w:overflowPunct/>
        <w:topLinePunct w:val="0"/>
        <w:autoSpaceDE w:val="0"/>
        <w:autoSpaceDN w:val="0"/>
        <w:bidi w:val="0"/>
        <w:adjustRightInd w:val="0"/>
        <w:snapToGrid w:val="0"/>
        <w:spacing w:before="65" w:line="400" w:lineRule="exact"/>
        <w:ind w:left="412" w:right="1465" w:hanging="416" w:hangingChars="20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
          <w:sz w:val="21"/>
          <w:szCs w:val="21"/>
          <w:highlight w:val="none"/>
          <w:lang w:val="en-US" w:eastAsia="zh-CN"/>
        </w:rPr>
        <w:t xml:space="preserve">                                     </w:t>
      </w:r>
      <w:r>
        <w:rPr>
          <w:rFonts w:hint="eastAsia" w:ascii="宋体" w:hAnsi="宋体" w:eastAsia="宋体" w:cs="宋体"/>
          <w:color w:val="auto"/>
          <w:spacing w:val="-1"/>
          <w:sz w:val="21"/>
          <w:szCs w:val="21"/>
          <w:highlight w:val="none"/>
        </w:rPr>
        <w:t>承包人：</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lang w:val="en-US" w:eastAsia="zh-CN"/>
        </w:rPr>
        <w:t xml:space="preserve">   </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(盖单</w:t>
      </w:r>
      <w:r>
        <w:rPr>
          <w:rFonts w:hint="eastAsia" w:ascii="宋体" w:hAnsi="宋体" w:eastAsia="宋体" w:cs="宋体"/>
          <w:color w:val="auto"/>
          <w:sz w:val="21"/>
          <w:szCs w:val="21"/>
          <w:highlight w:val="none"/>
        </w:rPr>
        <w:t>位章</w:t>
      </w:r>
      <w:r>
        <w:rPr>
          <w:rFonts w:hint="eastAsia" w:ascii="宋体" w:hAnsi="宋体" w:eastAsia="宋体" w:cs="宋体"/>
          <w:color w:val="auto"/>
          <w:sz w:val="21"/>
          <w:szCs w:val="21"/>
          <w:highlight w:val="none"/>
          <w:lang w:eastAsia="zh-CN"/>
        </w:rPr>
        <w:t>）</w:t>
      </w:r>
    </w:p>
    <w:p>
      <w:pPr>
        <w:keepNext w:val="0"/>
        <w:keepLines w:val="0"/>
        <w:pageBreakBefore w:val="0"/>
        <w:widowControl/>
        <w:tabs>
          <w:tab w:val="left" w:pos="4502"/>
        </w:tabs>
        <w:kinsoku w:val="0"/>
        <w:wordWrap/>
        <w:overflowPunct/>
        <w:topLinePunct w:val="0"/>
        <w:autoSpaceDE w:val="0"/>
        <w:autoSpaceDN w:val="0"/>
        <w:bidi w:val="0"/>
        <w:adjustRightInd w:val="0"/>
        <w:snapToGrid w:val="0"/>
        <w:spacing w:before="65" w:line="400" w:lineRule="exact"/>
        <w:ind w:left="412" w:right="1465" w:hanging="440" w:hangingChars="200"/>
        <w:jc w:val="right"/>
        <w:textAlignment w:val="baseline"/>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5"/>
          <w:sz w:val="21"/>
          <w:szCs w:val="21"/>
          <w:highlight w:val="none"/>
          <w:lang w:val="en-US" w:eastAsia="zh-CN"/>
        </w:rPr>
        <w:t xml:space="preserve"> </w:t>
      </w:r>
      <w:r>
        <w:rPr>
          <w:rFonts w:hint="eastAsia" w:ascii="宋体" w:hAnsi="宋体" w:eastAsia="宋体" w:cs="宋体"/>
          <w:color w:val="auto"/>
          <w:spacing w:val="5"/>
          <w:sz w:val="21"/>
          <w:szCs w:val="21"/>
          <w:highlight w:val="none"/>
        </w:rPr>
        <w:t>法</w:t>
      </w:r>
      <w:r>
        <w:rPr>
          <w:rFonts w:hint="eastAsia" w:ascii="宋体" w:hAnsi="宋体" w:eastAsia="宋体" w:cs="宋体"/>
          <w:color w:val="auto"/>
          <w:spacing w:val="3"/>
          <w:sz w:val="21"/>
          <w:szCs w:val="21"/>
          <w:highlight w:val="none"/>
        </w:rPr>
        <w:t>定代表人或其委托代理人：</w:t>
      </w:r>
      <w:r>
        <w:rPr>
          <w:rFonts w:hint="eastAsia" w:ascii="宋体" w:hAnsi="宋体" w:eastAsia="宋体" w:cs="宋体"/>
          <w:color w:val="auto"/>
          <w:spacing w:val="3"/>
          <w:sz w:val="21"/>
          <w:szCs w:val="21"/>
          <w:highlight w:val="none"/>
          <w:u w:val="single" w:color="auto"/>
        </w:rPr>
        <w:t xml:space="preserve">   </w:t>
      </w:r>
      <w:r>
        <w:rPr>
          <w:rFonts w:hint="eastAsia" w:ascii="宋体" w:hAnsi="宋体" w:eastAsia="宋体" w:cs="宋体"/>
          <w:color w:val="auto"/>
          <w:spacing w:val="3"/>
          <w:sz w:val="21"/>
          <w:szCs w:val="21"/>
          <w:highlight w:val="none"/>
        </w:rPr>
        <w:t>(签字)</w:t>
      </w:r>
      <w:r>
        <w:rPr>
          <w:rFonts w:hint="eastAsia" w:ascii="宋体" w:hAnsi="宋体" w:eastAsia="宋体" w:cs="宋体"/>
          <w:color w:val="auto"/>
          <w:spacing w:val="9"/>
          <w:sz w:val="21"/>
          <w:szCs w:val="21"/>
          <w:highlight w:val="none"/>
          <w:lang w:val="en-US" w:eastAsia="zh-CN"/>
        </w:rPr>
        <w:t xml:space="preserve">              </w:t>
      </w:r>
    </w:p>
    <w:p>
      <w:pPr>
        <w:keepNext w:val="0"/>
        <w:keepLines w:val="0"/>
        <w:pageBreakBefore w:val="0"/>
        <w:widowControl/>
        <w:tabs>
          <w:tab w:val="left" w:pos="4502"/>
        </w:tabs>
        <w:kinsoku w:val="0"/>
        <w:wordWrap/>
        <w:overflowPunct/>
        <w:topLinePunct w:val="0"/>
        <w:autoSpaceDE w:val="0"/>
        <w:autoSpaceDN w:val="0"/>
        <w:bidi w:val="0"/>
        <w:adjustRightInd w:val="0"/>
        <w:snapToGrid w:val="0"/>
        <w:spacing w:before="65" w:line="400" w:lineRule="exact"/>
        <w:ind w:left="412" w:right="1465" w:hanging="456" w:hangingChars="200"/>
        <w:jc w:val="right"/>
        <w:textAlignment w:val="baseline"/>
        <w:rPr>
          <w:rFonts w:hint="default" w:ascii="宋体" w:hAnsi="宋体" w:eastAsia="宋体" w:cs="宋体"/>
          <w:color w:val="auto"/>
          <w:sz w:val="21"/>
          <w:szCs w:val="21"/>
          <w:highlight w:val="none"/>
          <w:lang w:val="en-US" w:eastAsia="zh-CN"/>
        </w:rPr>
      </w:pPr>
      <w:r>
        <w:rPr>
          <w:rFonts w:hint="eastAsia" w:ascii="宋体" w:hAnsi="宋体" w:eastAsia="宋体" w:cs="宋体"/>
          <w:color w:val="auto"/>
          <w:spacing w:val="9"/>
          <w:sz w:val="21"/>
          <w:szCs w:val="21"/>
          <w:highlight w:val="none"/>
          <w:lang w:val="en-US" w:eastAsia="zh-CN"/>
        </w:rPr>
        <w:t xml:space="preserve">    </w:t>
      </w:r>
      <w:r>
        <w:rPr>
          <w:rFonts w:hint="eastAsia" w:ascii="宋体" w:hAnsi="宋体" w:eastAsia="宋体" w:cs="宋体"/>
          <w:color w:val="auto"/>
          <w:spacing w:val="9"/>
          <w:sz w:val="21"/>
          <w:szCs w:val="21"/>
          <w:highlight w:val="none"/>
        </w:rPr>
        <w:t>年</w:t>
      </w:r>
      <w:r>
        <w:rPr>
          <w:rFonts w:hint="eastAsia" w:ascii="宋体" w:hAnsi="宋体" w:eastAsia="宋体" w:cs="宋体"/>
          <w:color w:val="auto"/>
          <w:spacing w:val="9"/>
          <w:sz w:val="21"/>
          <w:szCs w:val="21"/>
          <w:highlight w:val="none"/>
          <w:u w:val="single" w:color="auto"/>
        </w:rPr>
        <w:t xml:space="preserve">   </w:t>
      </w:r>
      <w:r>
        <w:rPr>
          <w:rFonts w:hint="eastAsia" w:ascii="宋体" w:hAnsi="宋体" w:eastAsia="宋体" w:cs="宋体"/>
          <w:color w:val="auto"/>
          <w:spacing w:val="9"/>
          <w:sz w:val="21"/>
          <w:szCs w:val="21"/>
          <w:highlight w:val="none"/>
        </w:rPr>
        <w:t>月</w:t>
      </w:r>
      <w:r>
        <w:rPr>
          <w:rFonts w:hint="eastAsia" w:ascii="宋体" w:hAnsi="宋体" w:eastAsia="宋体" w:cs="宋体"/>
          <w:color w:val="auto"/>
          <w:spacing w:val="9"/>
          <w:sz w:val="21"/>
          <w:szCs w:val="21"/>
          <w:highlight w:val="none"/>
          <w:u w:val="single" w:color="auto"/>
        </w:rPr>
        <w:t xml:space="preserve">    </w:t>
      </w:r>
      <w:r>
        <w:rPr>
          <w:rFonts w:hint="eastAsia" w:ascii="宋体" w:hAnsi="宋体" w:eastAsia="宋体" w:cs="宋体"/>
          <w:color w:val="auto"/>
          <w:spacing w:val="9"/>
          <w:sz w:val="21"/>
          <w:szCs w:val="21"/>
          <w:highlight w:val="none"/>
        </w:rPr>
        <w:t>日</w:t>
      </w:r>
    </w:p>
    <w:p>
      <w:pPr>
        <w:keepNext w:val="0"/>
        <w:keepLines w:val="0"/>
        <w:pageBreakBefore w:val="0"/>
        <w:widowControl/>
        <w:tabs>
          <w:tab w:val="left" w:pos="4502"/>
        </w:tabs>
        <w:kinsoku w:val="0"/>
        <w:wordWrap/>
        <w:overflowPunct/>
        <w:topLinePunct w:val="0"/>
        <w:autoSpaceDE w:val="0"/>
        <w:autoSpaceDN w:val="0"/>
        <w:bidi w:val="0"/>
        <w:adjustRightInd w:val="0"/>
        <w:snapToGrid w:val="0"/>
        <w:spacing w:before="2" w:line="400" w:lineRule="exact"/>
        <w:ind w:left="416" w:right="1465" w:hanging="420" w:hangingChars="200"/>
        <w:jc w:val="righ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pPr>
        <w:keepNext w:val="0"/>
        <w:keepLines w:val="0"/>
        <w:pageBreakBefore w:val="0"/>
        <w:widowControl/>
        <w:tabs>
          <w:tab w:val="left" w:pos="4502"/>
        </w:tabs>
        <w:kinsoku w:val="0"/>
        <w:wordWrap/>
        <w:overflowPunct/>
        <w:topLinePunct w:val="0"/>
        <w:autoSpaceDE w:val="0"/>
        <w:autoSpaceDN w:val="0"/>
        <w:bidi w:val="0"/>
        <w:adjustRightInd w:val="0"/>
        <w:snapToGrid w:val="0"/>
        <w:spacing w:line="400" w:lineRule="exact"/>
        <w:ind w:left="416" w:right="1465" w:hanging="416" w:hangingChars="200"/>
        <w:jc w:val="right"/>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经办银行：</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(盖单位章)</w:t>
      </w:r>
      <w:r>
        <w:rPr>
          <w:rFonts w:hint="eastAsia" w:ascii="宋体" w:hAnsi="宋体" w:eastAsia="宋体" w:cs="宋体"/>
          <w:color w:val="auto"/>
          <w:sz w:val="21"/>
          <w:szCs w:val="21"/>
          <w:highlight w:val="none"/>
        </w:rPr>
        <w:t xml:space="preserve"> </w:t>
      </w:r>
    </w:p>
    <w:p>
      <w:pPr>
        <w:keepNext w:val="0"/>
        <w:keepLines w:val="0"/>
        <w:pageBreakBefore w:val="0"/>
        <w:widowControl/>
        <w:tabs>
          <w:tab w:val="left" w:pos="4502"/>
        </w:tabs>
        <w:kinsoku w:val="0"/>
        <w:wordWrap/>
        <w:overflowPunct/>
        <w:topLinePunct w:val="0"/>
        <w:autoSpaceDE w:val="0"/>
        <w:autoSpaceDN w:val="0"/>
        <w:bidi w:val="0"/>
        <w:adjustRightInd w:val="0"/>
        <w:snapToGrid w:val="0"/>
        <w:spacing w:line="400" w:lineRule="exact"/>
        <w:ind w:left="416" w:right="1465" w:hanging="440" w:hangingChars="200"/>
        <w:jc w:val="right"/>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lang w:val="en-US" w:eastAsia="zh-CN"/>
        </w:rPr>
        <w:t xml:space="preserve">   </w:t>
      </w:r>
      <w:r>
        <w:rPr>
          <w:rFonts w:hint="eastAsia" w:ascii="宋体" w:hAnsi="宋体" w:eastAsia="宋体" w:cs="宋体"/>
          <w:color w:val="auto"/>
          <w:spacing w:val="5"/>
          <w:sz w:val="21"/>
          <w:szCs w:val="21"/>
          <w:highlight w:val="none"/>
        </w:rPr>
        <w:t>法</w:t>
      </w:r>
      <w:r>
        <w:rPr>
          <w:rFonts w:hint="eastAsia" w:ascii="宋体" w:hAnsi="宋体" w:eastAsia="宋体" w:cs="宋体"/>
          <w:color w:val="auto"/>
          <w:spacing w:val="3"/>
          <w:sz w:val="21"/>
          <w:szCs w:val="21"/>
          <w:highlight w:val="none"/>
        </w:rPr>
        <w:t>定代表人或其委托代理人：</w:t>
      </w:r>
      <w:r>
        <w:rPr>
          <w:rFonts w:hint="eastAsia" w:ascii="宋体" w:hAnsi="宋体" w:eastAsia="宋体" w:cs="宋体"/>
          <w:color w:val="auto"/>
          <w:spacing w:val="3"/>
          <w:sz w:val="21"/>
          <w:szCs w:val="21"/>
          <w:highlight w:val="none"/>
          <w:u w:val="single" w:color="auto"/>
        </w:rPr>
        <w:t xml:space="preserve">     </w:t>
      </w:r>
      <w:r>
        <w:rPr>
          <w:rFonts w:hint="eastAsia" w:ascii="宋体" w:hAnsi="宋体" w:eastAsia="宋体" w:cs="宋体"/>
          <w:color w:val="auto"/>
          <w:spacing w:val="3"/>
          <w:sz w:val="21"/>
          <w:szCs w:val="21"/>
          <w:highlight w:val="none"/>
        </w:rPr>
        <w:t>(签字)</w:t>
      </w:r>
      <w:r>
        <w:rPr>
          <w:rFonts w:hint="eastAsia" w:ascii="宋体" w:hAnsi="宋体" w:eastAsia="宋体" w:cs="宋体"/>
          <w:color w:val="auto"/>
          <w:sz w:val="21"/>
          <w:szCs w:val="21"/>
          <w:highlight w:val="none"/>
        </w:rPr>
        <w:t xml:space="preserve"> </w:t>
      </w:r>
    </w:p>
    <w:p>
      <w:pPr>
        <w:keepNext w:val="0"/>
        <w:keepLines w:val="0"/>
        <w:pageBreakBefore w:val="0"/>
        <w:widowControl/>
        <w:tabs>
          <w:tab w:val="left" w:pos="4502"/>
        </w:tabs>
        <w:kinsoku w:val="0"/>
        <w:wordWrap/>
        <w:overflowPunct/>
        <w:topLinePunct w:val="0"/>
        <w:autoSpaceDE w:val="0"/>
        <w:autoSpaceDN w:val="0"/>
        <w:bidi w:val="0"/>
        <w:adjustRightInd w:val="0"/>
        <w:snapToGrid w:val="0"/>
        <w:spacing w:line="400" w:lineRule="exact"/>
        <w:ind w:left="416" w:right="1465" w:hanging="456" w:hangingChars="200"/>
        <w:jc w:val="right"/>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年</w:t>
      </w:r>
      <w:r>
        <w:rPr>
          <w:rFonts w:hint="eastAsia" w:ascii="宋体" w:hAnsi="宋体" w:eastAsia="宋体" w:cs="宋体"/>
          <w:color w:val="auto"/>
          <w:spacing w:val="9"/>
          <w:sz w:val="21"/>
          <w:szCs w:val="21"/>
          <w:highlight w:val="none"/>
          <w:u w:val="single" w:color="auto"/>
        </w:rPr>
        <w:t xml:space="preserve">   </w:t>
      </w:r>
      <w:r>
        <w:rPr>
          <w:rFonts w:hint="eastAsia" w:ascii="宋体" w:hAnsi="宋体" w:eastAsia="宋体" w:cs="宋体"/>
          <w:color w:val="auto"/>
          <w:spacing w:val="9"/>
          <w:sz w:val="21"/>
          <w:szCs w:val="21"/>
          <w:highlight w:val="none"/>
        </w:rPr>
        <w:t>月</w:t>
      </w:r>
      <w:r>
        <w:rPr>
          <w:rFonts w:hint="eastAsia" w:ascii="宋体" w:hAnsi="宋体" w:eastAsia="宋体" w:cs="宋体"/>
          <w:color w:val="auto"/>
          <w:spacing w:val="9"/>
          <w:sz w:val="21"/>
          <w:szCs w:val="21"/>
          <w:highlight w:val="none"/>
          <w:u w:val="single" w:color="auto"/>
        </w:rPr>
        <w:t xml:space="preserve">    </w:t>
      </w:r>
      <w:r>
        <w:rPr>
          <w:rFonts w:hint="eastAsia" w:ascii="宋体" w:hAnsi="宋体" w:eastAsia="宋体" w:cs="宋体"/>
          <w:color w:val="auto"/>
          <w:spacing w:val="9"/>
          <w:sz w:val="21"/>
          <w:szCs w:val="21"/>
          <w:highlight w:val="none"/>
        </w:rPr>
        <w:t>日</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szCs w:val="21"/>
          <w:highlight w:val="none"/>
        </w:rPr>
        <w:sectPr>
          <w:pgSz w:w="11900" w:h="16840"/>
          <w:pgMar w:top="1160" w:right="1298" w:bottom="1448" w:left="1363" w:header="883" w:footer="1234" w:gutter="0"/>
          <w:pgNumType w:fmt="decimal"/>
          <w:cols w:space="720" w:num="1"/>
        </w:sectPr>
      </w:pPr>
    </w:p>
    <w:p>
      <w:pPr>
        <w:spacing w:before="298" w:line="218" w:lineRule="auto"/>
        <w:outlineLvl w:val="2"/>
        <w:rPr>
          <w:rFonts w:ascii="宋体" w:hAnsi="宋体" w:eastAsia="宋体" w:cs="宋体"/>
          <w:color w:val="auto"/>
          <w:sz w:val="28"/>
          <w:szCs w:val="28"/>
          <w:highlight w:val="none"/>
        </w:rPr>
      </w:pPr>
      <w:bookmarkStart w:id="611" w:name="_bookmark147"/>
      <w:bookmarkEnd w:id="611"/>
      <w:bookmarkStart w:id="612" w:name="_Toc5201"/>
      <w:r>
        <w:rPr>
          <w:rFonts w:ascii="宋体" w:hAnsi="宋体" w:eastAsia="宋体" w:cs="宋体"/>
          <w:color w:val="auto"/>
          <w:spacing w:val="-4"/>
          <w:sz w:val="28"/>
          <w:szCs w:val="28"/>
          <w:highlight w:val="none"/>
        </w:rPr>
        <w:t>附件</w:t>
      </w:r>
      <w:r>
        <w:rPr>
          <w:rFonts w:ascii="宋体" w:hAnsi="宋体" w:eastAsia="宋体" w:cs="宋体"/>
          <w:color w:val="auto"/>
          <w:spacing w:val="-3"/>
          <w:sz w:val="28"/>
          <w:szCs w:val="28"/>
          <w:highlight w:val="none"/>
        </w:rPr>
        <w:t>十</w:t>
      </w:r>
      <w:r>
        <w:rPr>
          <w:rFonts w:ascii="宋体" w:hAnsi="宋体" w:eastAsia="宋体" w:cs="宋体"/>
          <w:color w:val="auto"/>
          <w:spacing w:val="-2"/>
          <w:sz w:val="28"/>
          <w:szCs w:val="28"/>
          <w:highlight w:val="none"/>
        </w:rPr>
        <w:t xml:space="preserve">  工程质量责任合同</w:t>
      </w:r>
      <w:bookmarkEnd w:id="612"/>
    </w:p>
    <w:p>
      <w:pPr>
        <w:spacing w:before="214" w:line="221" w:lineRule="auto"/>
        <w:ind w:left="3482"/>
        <w:rPr>
          <w:rFonts w:ascii="黑体" w:hAnsi="黑体" w:eastAsia="黑体" w:cs="黑体"/>
          <w:color w:val="auto"/>
          <w:sz w:val="28"/>
          <w:szCs w:val="28"/>
          <w:highlight w:val="none"/>
        </w:rPr>
      </w:pPr>
      <w:r>
        <w:rPr>
          <w:rFonts w:ascii="黑体" w:hAnsi="黑体" w:eastAsia="黑体" w:cs="黑体"/>
          <w:color w:val="auto"/>
          <w:spacing w:val="-2"/>
          <w:sz w:val="28"/>
          <w:szCs w:val="28"/>
          <w:highlight w:val="none"/>
        </w:rPr>
        <w:t>工程质</w:t>
      </w:r>
      <w:r>
        <w:rPr>
          <w:rFonts w:ascii="黑体" w:hAnsi="黑体" w:eastAsia="黑体" w:cs="黑体"/>
          <w:color w:val="auto"/>
          <w:spacing w:val="-1"/>
          <w:sz w:val="28"/>
          <w:szCs w:val="28"/>
          <w:highlight w:val="none"/>
        </w:rPr>
        <w:t>量责任合同</w:t>
      </w:r>
    </w:p>
    <w:p>
      <w:pPr>
        <w:spacing w:line="243" w:lineRule="auto"/>
        <w:rPr>
          <w:rFonts w:ascii="Arial"/>
          <w:color w:val="auto"/>
          <w:sz w:val="21"/>
          <w:highlight w:val="none"/>
        </w:rPr>
      </w:pPr>
    </w:p>
    <w:p>
      <w:pPr>
        <w:spacing w:line="243" w:lineRule="auto"/>
        <w:rPr>
          <w:rFonts w:ascii="Arial"/>
          <w:color w:val="auto"/>
          <w:sz w:val="21"/>
          <w:highlight w:val="none"/>
        </w:rPr>
      </w:pPr>
    </w:p>
    <w:p>
      <w:pPr>
        <w:spacing w:line="244" w:lineRule="auto"/>
        <w:rPr>
          <w:rFonts w:ascii="Arial"/>
          <w:color w:val="auto"/>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360" w:lineRule="exact"/>
        <w:ind w:left="4" w:right="4" w:firstLine="480"/>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 xml:space="preserve">根据国务院 《建设工程质量管理条例》 ，为保证在设计使用年限内建设工程质量，  </w:t>
      </w:r>
      <w:r>
        <w:rPr>
          <w:rFonts w:ascii="宋体" w:hAnsi="宋体" w:eastAsia="宋体" w:cs="宋体"/>
          <w:color w:val="auto"/>
          <w:spacing w:val="0"/>
          <w:sz w:val="21"/>
          <w:szCs w:val="21"/>
          <w:highlight w:val="none"/>
          <w:u w:val="single" w:color="auto"/>
        </w:rPr>
        <w:t xml:space="preserve">  (项目名称)   </w:t>
      </w:r>
      <w:r>
        <w:rPr>
          <w:rFonts w:ascii="宋体" w:hAnsi="宋体" w:eastAsia="宋体" w:cs="宋体"/>
          <w:color w:val="auto"/>
          <w:spacing w:val="0"/>
          <w:sz w:val="21"/>
          <w:szCs w:val="21"/>
          <w:highlight w:val="none"/>
        </w:rPr>
        <w:t>的发包人</w:t>
      </w:r>
      <w:r>
        <w:rPr>
          <w:rFonts w:ascii="宋体" w:hAnsi="宋体" w:eastAsia="宋体" w:cs="宋体"/>
          <w:color w:val="auto"/>
          <w:spacing w:val="0"/>
          <w:sz w:val="21"/>
          <w:szCs w:val="21"/>
          <w:highlight w:val="none"/>
          <w:u w:val="single" w:color="auto"/>
        </w:rPr>
        <w:t xml:space="preserve">                  </w:t>
      </w:r>
      <w:r>
        <w:rPr>
          <w:rFonts w:ascii="宋体" w:hAnsi="宋体" w:eastAsia="宋体" w:cs="宋体"/>
          <w:color w:val="auto"/>
          <w:spacing w:val="0"/>
          <w:sz w:val="21"/>
          <w:szCs w:val="21"/>
          <w:highlight w:val="none"/>
        </w:rPr>
        <w:t>(以下称甲方) 与承包人</w:t>
      </w:r>
      <w:r>
        <w:rPr>
          <w:rFonts w:ascii="宋体" w:hAnsi="宋体" w:eastAsia="宋体" w:cs="宋体"/>
          <w:color w:val="auto"/>
          <w:spacing w:val="0"/>
          <w:sz w:val="21"/>
          <w:szCs w:val="21"/>
          <w:highlight w:val="none"/>
          <w:u w:val="single" w:color="auto"/>
        </w:rPr>
        <w:t xml:space="preserve">                     </w:t>
      </w:r>
      <w:r>
        <w:rPr>
          <w:rFonts w:ascii="宋体" w:hAnsi="宋体" w:eastAsia="宋体" w:cs="宋体"/>
          <w:color w:val="auto"/>
          <w:spacing w:val="0"/>
          <w:sz w:val="21"/>
          <w:szCs w:val="21"/>
          <w:highlight w:val="none"/>
        </w:rPr>
        <w:t>(以下称乙方) ，特订立如下质量责任合同。</w:t>
      </w:r>
    </w:p>
    <w:p>
      <w:pPr>
        <w:keepNext w:val="0"/>
        <w:keepLines w:val="0"/>
        <w:pageBreakBefore w:val="0"/>
        <w:widowControl/>
        <w:kinsoku w:val="0"/>
        <w:wordWrap/>
        <w:overflowPunct/>
        <w:topLinePunct w:val="0"/>
        <w:autoSpaceDE w:val="0"/>
        <w:autoSpaceDN w:val="0"/>
        <w:bidi w:val="0"/>
        <w:adjustRightInd w:val="0"/>
        <w:snapToGrid w:val="0"/>
        <w:spacing w:before="2" w:line="360" w:lineRule="exact"/>
        <w:ind w:right="4" w:firstLine="420" w:firstLineChars="200"/>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第一条  本建设工程项目的质量目标为标段工程交工验收的质量评定：</w:t>
      </w:r>
      <w:r>
        <w:rPr>
          <w:rFonts w:ascii="宋体" w:hAnsi="宋体" w:eastAsia="宋体" w:cs="宋体"/>
          <w:color w:val="auto"/>
          <w:spacing w:val="0"/>
          <w:sz w:val="21"/>
          <w:szCs w:val="21"/>
          <w:highlight w:val="none"/>
          <w:u w:val="single" w:color="auto"/>
        </w:rPr>
        <w:t xml:space="preserve">               </w:t>
      </w:r>
      <w:r>
        <w:rPr>
          <w:rFonts w:ascii="宋体" w:hAnsi="宋体" w:eastAsia="宋体" w:cs="宋体"/>
          <w:color w:val="auto"/>
          <w:spacing w:val="0"/>
          <w:sz w:val="21"/>
          <w:szCs w:val="21"/>
          <w:highlight w:val="none"/>
        </w:rPr>
        <w:t>；标段工程竣工验收的质量评定：</w:t>
      </w:r>
      <w:r>
        <w:rPr>
          <w:rFonts w:ascii="宋体" w:hAnsi="宋体" w:eastAsia="宋体" w:cs="宋体"/>
          <w:color w:val="auto"/>
          <w:spacing w:val="0"/>
          <w:sz w:val="21"/>
          <w:szCs w:val="21"/>
          <w:highlight w:val="none"/>
          <w:u w:val="single" w:color="auto"/>
        </w:rPr>
        <w:t xml:space="preserve">                 </w:t>
      </w:r>
      <w:r>
        <w:rPr>
          <w:rFonts w:ascii="宋体" w:hAnsi="宋体" w:eastAsia="宋体" w:cs="宋体"/>
          <w:color w:val="auto"/>
          <w:spacing w:val="0"/>
          <w:sz w:val="21"/>
          <w:szCs w:val="21"/>
          <w:highlight w:val="none"/>
        </w:rPr>
        <w:t>，承包人对本建设工程的施工质量在设计使用年限内依法终身负责。施工质量责任人</w:t>
      </w:r>
      <w:r>
        <w:rPr>
          <w:rFonts w:ascii="宋体" w:hAnsi="宋体" w:eastAsia="宋体" w:cs="宋体"/>
          <w:color w:val="auto"/>
          <w:spacing w:val="0"/>
          <w:sz w:val="21"/>
          <w:szCs w:val="21"/>
          <w:highlight w:val="none"/>
          <w:u w:val="single" w:color="auto"/>
        </w:rPr>
        <w:t xml:space="preserve">           </w:t>
      </w:r>
      <w:r>
        <w:rPr>
          <w:rFonts w:ascii="宋体" w:hAnsi="宋体" w:eastAsia="宋体" w:cs="宋体"/>
          <w:color w:val="auto"/>
          <w:spacing w:val="0"/>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85"/>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第二条  甲乙双方的权利与义务</w:t>
      </w:r>
    </w:p>
    <w:p>
      <w:pPr>
        <w:keepNext w:val="0"/>
        <w:keepLines w:val="0"/>
        <w:pageBreakBefore w:val="0"/>
        <w:widowControl/>
        <w:kinsoku w:val="0"/>
        <w:wordWrap/>
        <w:overflowPunct/>
        <w:topLinePunct w:val="0"/>
        <w:autoSpaceDE w:val="0"/>
        <w:autoSpaceDN w:val="0"/>
        <w:bidi w:val="0"/>
        <w:adjustRightInd w:val="0"/>
        <w:snapToGrid w:val="0"/>
        <w:spacing w:before="164" w:line="360" w:lineRule="exact"/>
        <w:ind w:left="495"/>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(一) 严格遵守国家有关法律法规及交通运输部、浙江省交通运输厅的有关规定。</w:t>
      </w:r>
    </w:p>
    <w:p>
      <w:pPr>
        <w:keepNext w:val="0"/>
        <w:keepLines w:val="0"/>
        <w:pageBreakBefore w:val="0"/>
        <w:widowControl/>
        <w:kinsoku w:val="0"/>
        <w:wordWrap/>
        <w:overflowPunct/>
        <w:topLinePunct w:val="0"/>
        <w:autoSpaceDE w:val="0"/>
        <w:autoSpaceDN w:val="0"/>
        <w:bidi w:val="0"/>
        <w:adjustRightInd w:val="0"/>
        <w:snapToGrid w:val="0"/>
        <w:spacing w:before="161" w:line="360" w:lineRule="exact"/>
        <w:ind w:left="495"/>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 xml:space="preserve">(二) 严格执行 </w:t>
      </w:r>
      <w:r>
        <w:rPr>
          <w:rFonts w:ascii="宋体" w:hAnsi="宋体" w:eastAsia="宋体" w:cs="宋体"/>
          <w:color w:val="auto"/>
          <w:spacing w:val="0"/>
          <w:sz w:val="21"/>
          <w:szCs w:val="21"/>
          <w:highlight w:val="none"/>
          <w:u w:val="single" w:color="auto"/>
        </w:rPr>
        <w:t xml:space="preserve">   (项目名称)   </w:t>
      </w:r>
      <w:r>
        <w:rPr>
          <w:rFonts w:ascii="宋体" w:hAnsi="宋体" w:eastAsia="宋体" w:cs="宋体"/>
          <w:color w:val="auto"/>
          <w:spacing w:val="0"/>
          <w:sz w:val="21"/>
          <w:szCs w:val="21"/>
          <w:highlight w:val="none"/>
        </w:rPr>
        <w:t xml:space="preserve"> 第</w:t>
      </w:r>
      <w:r>
        <w:rPr>
          <w:rFonts w:ascii="宋体" w:hAnsi="宋体" w:eastAsia="宋体" w:cs="宋体"/>
          <w:color w:val="auto"/>
          <w:spacing w:val="0"/>
          <w:sz w:val="21"/>
          <w:szCs w:val="21"/>
          <w:highlight w:val="none"/>
          <w:u w:val="single" w:color="auto"/>
        </w:rPr>
        <w:t xml:space="preserve">    </w:t>
      </w:r>
      <w:r>
        <w:rPr>
          <w:rFonts w:ascii="宋体" w:hAnsi="宋体" w:eastAsia="宋体" w:cs="宋体"/>
          <w:color w:val="auto"/>
          <w:spacing w:val="0"/>
          <w:sz w:val="21"/>
          <w:szCs w:val="21"/>
          <w:highlight w:val="none"/>
        </w:rPr>
        <w:t>标段施工合同文件，自觉按合同办事。</w:t>
      </w:r>
    </w:p>
    <w:p>
      <w:pPr>
        <w:keepNext w:val="0"/>
        <w:keepLines w:val="0"/>
        <w:pageBreakBefore w:val="0"/>
        <w:widowControl/>
        <w:kinsoku w:val="0"/>
        <w:wordWrap/>
        <w:overflowPunct/>
        <w:topLinePunct w:val="0"/>
        <w:autoSpaceDE w:val="0"/>
        <w:autoSpaceDN w:val="0"/>
        <w:bidi w:val="0"/>
        <w:adjustRightInd w:val="0"/>
        <w:snapToGrid w:val="0"/>
        <w:spacing w:before="160" w:line="360" w:lineRule="exact"/>
        <w:ind w:right="2" w:firstLine="420" w:firstLineChars="200"/>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(三) 双方的施工业务活动必须坚持科学、公正、诚信、平等的原则，不得损害国家、集体的 利益，不得违反工程建设管理规章制度。</w:t>
      </w:r>
    </w:p>
    <w:p>
      <w:pPr>
        <w:keepNext w:val="0"/>
        <w:keepLines w:val="0"/>
        <w:pageBreakBefore w:val="0"/>
        <w:widowControl/>
        <w:kinsoku w:val="0"/>
        <w:wordWrap/>
        <w:overflowPunct/>
        <w:topLinePunct w:val="0"/>
        <w:autoSpaceDE w:val="0"/>
        <w:autoSpaceDN w:val="0"/>
        <w:bidi w:val="0"/>
        <w:adjustRightInd w:val="0"/>
        <w:snapToGrid w:val="0"/>
        <w:spacing w:before="1" w:line="360" w:lineRule="exact"/>
        <w:ind w:right="2" w:firstLine="420" w:firstLineChars="200"/>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(四)发现对方在施工业务活动中，有违反有关规定的行为，有及时提醒对方纠正的权利和义 务。</w:t>
      </w:r>
    </w:p>
    <w:p>
      <w:pPr>
        <w:keepNext w:val="0"/>
        <w:keepLines w:val="0"/>
        <w:pageBreakBefore w:val="0"/>
        <w:widowControl/>
        <w:kinsoku w:val="0"/>
        <w:wordWrap/>
        <w:overflowPunct/>
        <w:topLinePunct w:val="0"/>
        <w:autoSpaceDE w:val="0"/>
        <w:autoSpaceDN w:val="0"/>
        <w:bidi w:val="0"/>
        <w:adjustRightInd w:val="0"/>
        <w:snapToGrid w:val="0"/>
        <w:spacing w:before="1" w:line="360" w:lineRule="exact"/>
        <w:ind w:right="2" w:firstLine="420" w:firstLineChars="200"/>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(五)发现对方严重违反施工合同文件的行为， 有向其上级有关部门举报，建议给予处理并要求告知处理结果的权利。</w:t>
      </w:r>
    </w:p>
    <w:p>
      <w:pPr>
        <w:keepNext w:val="0"/>
        <w:keepLines w:val="0"/>
        <w:pageBreakBefore w:val="0"/>
        <w:widowControl/>
        <w:kinsoku w:val="0"/>
        <w:wordWrap/>
        <w:overflowPunct/>
        <w:topLinePunct w:val="0"/>
        <w:autoSpaceDE w:val="0"/>
        <w:autoSpaceDN w:val="0"/>
        <w:bidi w:val="0"/>
        <w:adjustRightInd w:val="0"/>
        <w:snapToGrid w:val="0"/>
        <w:spacing w:before="1" w:line="360" w:lineRule="exact"/>
        <w:ind w:left="485"/>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第三条  甲方的义务</w:t>
      </w:r>
    </w:p>
    <w:p>
      <w:pPr>
        <w:keepNext w:val="0"/>
        <w:keepLines w:val="0"/>
        <w:pageBreakBefore w:val="0"/>
        <w:widowControl/>
        <w:kinsoku w:val="0"/>
        <w:wordWrap/>
        <w:overflowPunct/>
        <w:topLinePunct w:val="0"/>
        <w:autoSpaceDE w:val="0"/>
        <w:autoSpaceDN w:val="0"/>
        <w:bidi w:val="0"/>
        <w:adjustRightInd w:val="0"/>
        <w:snapToGrid w:val="0"/>
        <w:spacing w:before="160" w:line="360" w:lineRule="exact"/>
        <w:ind w:left="495"/>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(一) 甲方向乙方及时提供有关资料(包括技术规范、工程量清单、施工图等。)</w:t>
      </w:r>
    </w:p>
    <w:p>
      <w:pPr>
        <w:keepNext w:val="0"/>
        <w:keepLines w:val="0"/>
        <w:pageBreakBefore w:val="0"/>
        <w:widowControl/>
        <w:kinsoku w:val="0"/>
        <w:wordWrap/>
        <w:overflowPunct/>
        <w:topLinePunct w:val="0"/>
        <w:autoSpaceDE w:val="0"/>
        <w:autoSpaceDN w:val="0"/>
        <w:bidi w:val="0"/>
        <w:adjustRightInd w:val="0"/>
        <w:snapToGrid w:val="0"/>
        <w:spacing w:before="164" w:line="360" w:lineRule="exact"/>
        <w:ind w:firstLine="420" w:firstLineChars="200"/>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(二) 甲方向乙方及时提供建设用地，及时解决对工程占地范围以内尚未拆迁的建筑物及其他 障碍物。</w:t>
      </w:r>
    </w:p>
    <w:p>
      <w:pPr>
        <w:keepNext w:val="0"/>
        <w:keepLines w:val="0"/>
        <w:pageBreakBefore w:val="0"/>
        <w:widowControl/>
        <w:kinsoku w:val="0"/>
        <w:wordWrap/>
        <w:overflowPunct/>
        <w:topLinePunct w:val="0"/>
        <w:autoSpaceDE w:val="0"/>
        <w:autoSpaceDN w:val="0"/>
        <w:bidi w:val="0"/>
        <w:adjustRightInd w:val="0"/>
        <w:snapToGrid w:val="0"/>
        <w:spacing w:before="2" w:line="360" w:lineRule="exact"/>
        <w:ind w:right="2" w:firstLine="420" w:firstLineChars="200"/>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(三) 甲方应向乙方提供主要原材料和产品质量的检验标准和检测频率，重点明确主要受力构件产品平行抽检和见证检验的要求。</w:t>
      </w:r>
    </w:p>
    <w:p>
      <w:pPr>
        <w:keepNext w:val="0"/>
        <w:keepLines w:val="0"/>
        <w:pageBreakBefore w:val="0"/>
        <w:widowControl/>
        <w:kinsoku w:val="0"/>
        <w:wordWrap/>
        <w:overflowPunct/>
        <w:topLinePunct w:val="0"/>
        <w:autoSpaceDE w:val="0"/>
        <w:autoSpaceDN w:val="0"/>
        <w:bidi w:val="0"/>
        <w:adjustRightInd w:val="0"/>
        <w:snapToGrid w:val="0"/>
        <w:spacing w:before="1" w:line="360" w:lineRule="exact"/>
        <w:ind w:firstLine="420" w:firstLineChars="200"/>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(四) 甲方不得指使乙方不按法律、法规、工程建设强制性标准和施工规范进行工程的施工活动。</w:t>
      </w:r>
    </w:p>
    <w:p>
      <w:pPr>
        <w:keepNext w:val="0"/>
        <w:keepLines w:val="0"/>
        <w:pageBreakBefore w:val="0"/>
        <w:widowControl/>
        <w:kinsoku w:val="0"/>
        <w:wordWrap/>
        <w:overflowPunct/>
        <w:topLinePunct w:val="0"/>
        <w:autoSpaceDE w:val="0"/>
        <w:autoSpaceDN w:val="0"/>
        <w:bidi w:val="0"/>
        <w:adjustRightInd w:val="0"/>
        <w:snapToGrid w:val="0"/>
        <w:spacing w:before="1" w:line="360" w:lineRule="exact"/>
        <w:ind w:right="2" w:firstLine="420" w:firstLineChars="200"/>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(五) 甲方须按施工合同的约定支付工程款，除施工合同的约定外， 甲方不得以任何借口克扣工程款或拖延工程款的支付。</w:t>
      </w:r>
    </w:p>
    <w:p>
      <w:pPr>
        <w:keepNext w:val="0"/>
        <w:keepLines w:val="0"/>
        <w:pageBreakBefore w:val="0"/>
        <w:widowControl/>
        <w:kinsoku w:val="0"/>
        <w:wordWrap/>
        <w:overflowPunct/>
        <w:topLinePunct w:val="0"/>
        <w:autoSpaceDE w:val="0"/>
        <w:autoSpaceDN w:val="0"/>
        <w:bidi w:val="0"/>
        <w:adjustRightInd w:val="0"/>
        <w:snapToGrid w:val="0"/>
        <w:spacing w:before="1" w:line="360" w:lineRule="exact"/>
        <w:ind w:left="495"/>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(六) 甲方不得明示或暗示向乙方推荐单位或个人承包或分包本工程项目的施工任务。</w:t>
      </w:r>
    </w:p>
    <w:p>
      <w:pPr>
        <w:keepNext w:val="0"/>
        <w:keepLines w:val="0"/>
        <w:pageBreakBefore w:val="0"/>
        <w:widowControl/>
        <w:kinsoku w:val="0"/>
        <w:wordWrap/>
        <w:overflowPunct/>
        <w:topLinePunct w:val="0"/>
        <w:autoSpaceDE w:val="0"/>
        <w:autoSpaceDN w:val="0"/>
        <w:bidi w:val="0"/>
        <w:adjustRightInd w:val="0"/>
        <w:snapToGrid w:val="0"/>
        <w:spacing w:before="162" w:line="360" w:lineRule="exact"/>
        <w:ind w:left="495"/>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(七) 甲方不得以任何理由索取回扣或其它好处。</w:t>
      </w:r>
    </w:p>
    <w:p>
      <w:pPr>
        <w:keepNext w:val="0"/>
        <w:keepLines w:val="0"/>
        <w:pageBreakBefore w:val="0"/>
        <w:widowControl/>
        <w:kinsoku w:val="0"/>
        <w:wordWrap/>
        <w:overflowPunct/>
        <w:topLinePunct w:val="0"/>
        <w:autoSpaceDE w:val="0"/>
        <w:autoSpaceDN w:val="0"/>
        <w:bidi w:val="0"/>
        <w:adjustRightInd w:val="0"/>
        <w:snapToGrid w:val="0"/>
        <w:spacing w:before="163" w:line="360" w:lineRule="exact"/>
        <w:ind w:left="485"/>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第四条  乙方的义务</w:t>
      </w:r>
    </w:p>
    <w:p>
      <w:pPr>
        <w:keepNext w:val="0"/>
        <w:keepLines w:val="0"/>
        <w:pageBreakBefore w:val="0"/>
        <w:widowControl/>
        <w:kinsoku w:val="0"/>
        <w:wordWrap/>
        <w:overflowPunct/>
        <w:topLinePunct w:val="0"/>
        <w:autoSpaceDE w:val="0"/>
        <w:autoSpaceDN w:val="0"/>
        <w:bidi w:val="0"/>
        <w:adjustRightInd w:val="0"/>
        <w:snapToGrid w:val="0"/>
        <w:spacing w:before="161" w:line="360" w:lineRule="exact"/>
        <w:ind w:left="495"/>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 一) 乙方应具备与本工程项目相应等级的施工资质证书。</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color w:val="auto"/>
          <w:spacing w:val="0"/>
          <w:sz w:val="21"/>
          <w:szCs w:val="21"/>
          <w:highlight w:val="none"/>
        </w:rPr>
        <w:sectPr>
          <w:pgSz w:w="11900" w:h="16840"/>
          <w:pgMar w:top="1160" w:right="1352" w:bottom="1448" w:left="1363" w:header="883" w:footer="1234"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before="302" w:line="360" w:lineRule="exact"/>
        <w:ind w:left="8" w:right="5" w:firstLine="489"/>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(二) 乙方不得允许其它单位或个人以乙方的名义承揽本工程项目的施工任务，不得转包或违 法分包所承揽的本工程的项目施工任务。</w:t>
      </w:r>
    </w:p>
    <w:p>
      <w:pPr>
        <w:keepNext w:val="0"/>
        <w:keepLines w:val="0"/>
        <w:pageBreakBefore w:val="0"/>
        <w:widowControl/>
        <w:kinsoku w:val="0"/>
        <w:wordWrap/>
        <w:overflowPunct/>
        <w:topLinePunct w:val="0"/>
        <w:autoSpaceDE w:val="0"/>
        <w:autoSpaceDN w:val="0"/>
        <w:bidi w:val="0"/>
        <w:adjustRightInd w:val="0"/>
        <w:snapToGrid w:val="0"/>
        <w:spacing w:before="1" w:line="360" w:lineRule="exact"/>
        <w:ind w:left="9" w:right="5" w:firstLine="488"/>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(三) 乙方必须严格履行施工合同，按投标承诺的施工技术人员及时到位。施工技术人员原则 上不得擅自调换，如有特殊原因确需调换的，须经发包人书面同意方能换人。</w:t>
      </w:r>
    </w:p>
    <w:p>
      <w:pPr>
        <w:keepNext w:val="0"/>
        <w:keepLines w:val="0"/>
        <w:pageBreakBefore w:val="0"/>
        <w:widowControl/>
        <w:kinsoku w:val="0"/>
        <w:wordWrap/>
        <w:overflowPunct/>
        <w:topLinePunct w:val="0"/>
        <w:autoSpaceDE w:val="0"/>
        <w:autoSpaceDN w:val="0"/>
        <w:bidi w:val="0"/>
        <w:adjustRightInd w:val="0"/>
        <w:snapToGrid w:val="0"/>
        <w:spacing w:before="1" w:line="360" w:lineRule="exact"/>
        <w:ind w:left="498"/>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(四) 乙方应配备专职的质量管理人员。</w:t>
      </w:r>
    </w:p>
    <w:p>
      <w:pPr>
        <w:keepNext w:val="0"/>
        <w:keepLines w:val="0"/>
        <w:pageBreakBefore w:val="0"/>
        <w:widowControl/>
        <w:kinsoku w:val="0"/>
        <w:wordWrap/>
        <w:overflowPunct/>
        <w:topLinePunct w:val="0"/>
        <w:autoSpaceDE w:val="0"/>
        <w:autoSpaceDN w:val="0"/>
        <w:bidi w:val="0"/>
        <w:adjustRightInd w:val="0"/>
        <w:snapToGrid w:val="0"/>
        <w:spacing w:before="161" w:line="360" w:lineRule="exact"/>
        <w:ind w:left="17" w:right="5" w:firstLine="480"/>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(五) 乙方必须建立工地临时试验室，按要求配合相应的试验检测人员和设备，并取得工地临 时试验室资质证书。按有关规定做好各类试验，试验资料应真实、 完整，统一归档。</w:t>
      </w:r>
    </w:p>
    <w:p>
      <w:pPr>
        <w:keepNext w:val="0"/>
        <w:keepLines w:val="0"/>
        <w:pageBreakBefore w:val="0"/>
        <w:widowControl/>
        <w:kinsoku w:val="0"/>
        <w:wordWrap/>
        <w:overflowPunct/>
        <w:topLinePunct w:val="0"/>
        <w:autoSpaceDE w:val="0"/>
        <w:autoSpaceDN w:val="0"/>
        <w:bidi w:val="0"/>
        <w:adjustRightInd w:val="0"/>
        <w:snapToGrid w:val="0"/>
        <w:spacing w:before="1" w:line="360" w:lineRule="exact"/>
        <w:ind w:left="8" w:right="5" w:firstLine="490"/>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(六) 乙方必须按照工程设计图纸和施工技术规范施工，不得擅自修改工程设计，不得偷工减 料。</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98"/>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(七) 乙方在施工过程中发现设计文件和图纸有差错的，应当及时提出意见和建议。</w:t>
      </w:r>
    </w:p>
    <w:p>
      <w:pPr>
        <w:keepNext w:val="0"/>
        <w:keepLines w:val="0"/>
        <w:pageBreakBefore w:val="0"/>
        <w:widowControl/>
        <w:kinsoku w:val="0"/>
        <w:wordWrap/>
        <w:overflowPunct/>
        <w:topLinePunct w:val="0"/>
        <w:autoSpaceDE w:val="0"/>
        <w:autoSpaceDN w:val="0"/>
        <w:bidi w:val="0"/>
        <w:adjustRightInd w:val="0"/>
        <w:snapToGrid w:val="0"/>
        <w:spacing w:before="162" w:line="360" w:lineRule="exact"/>
        <w:ind w:left="7" w:right="5" w:firstLine="490"/>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(八) 乙方与甲方、承包人或指定分包人之间有关工程质量、进度和费用的一切往来函件、报 表均应分类编号归档保存；施工技术资料应真实、完整。</w:t>
      </w:r>
    </w:p>
    <w:p>
      <w:pPr>
        <w:keepNext w:val="0"/>
        <w:keepLines w:val="0"/>
        <w:pageBreakBefore w:val="0"/>
        <w:widowControl/>
        <w:kinsoku w:val="0"/>
        <w:wordWrap/>
        <w:overflowPunct/>
        <w:topLinePunct w:val="0"/>
        <w:autoSpaceDE w:val="0"/>
        <w:autoSpaceDN w:val="0"/>
        <w:bidi w:val="0"/>
        <w:adjustRightInd w:val="0"/>
        <w:snapToGrid w:val="0"/>
        <w:spacing w:before="1" w:line="360" w:lineRule="exact"/>
        <w:ind w:left="9" w:right="3" w:firstLine="488"/>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(九) 乙方应加强对甲方按合同规定采购的材料和设备的检验，对涉及结构安全的锚夹具、支 座、吊杆(索)等受力构件产品检测，应当在甲方或者监理单位见证下现场取样，对检验不合格的产 品，乙方应拒绝使用。</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88" w:right="975" w:firstLine="10"/>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(十) 乙方不得暗示材料、设备供应单位提供使用不合格或质量低劣的材料、设备。 第五条  违约责任</w:t>
      </w:r>
    </w:p>
    <w:p>
      <w:pPr>
        <w:keepNext w:val="0"/>
        <w:keepLines w:val="0"/>
        <w:pageBreakBefore w:val="0"/>
        <w:widowControl/>
        <w:kinsoku w:val="0"/>
        <w:wordWrap/>
        <w:overflowPunct/>
        <w:topLinePunct w:val="0"/>
        <w:autoSpaceDE w:val="0"/>
        <w:autoSpaceDN w:val="0"/>
        <w:bidi w:val="0"/>
        <w:adjustRightInd w:val="0"/>
        <w:snapToGrid w:val="0"/>
        <w:spacing w:before="165" w:line="360" w:lineRule="exact"/>
        <w:ind w:left="8" w:firstLine="490"/>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 一) 甲方及其工作人员违反本合同第二、三条，按管理权限，依据国务院 《建设工程质量管理条例》有关规定给予相应的处罚；涉嫌犯罪的，依法追究刑事责任；给乙方单位造成经济损失的，应予以赔偿。</w:t>
      </w:r>
    </w:p>
    <w:p>
      <w:pPr>
        <w:keepNext w:val="0"/>
        <w:keepLines w:val="0"/>
        <w:pageBreakBefore w:val="0"/>
        <w:widowControl/>
        <w:kinsoku w:val="0"/>
        <w:wordWrap/>
        <w:overflowPunct/>
        <w:topLinePunct w:val="0"/>
        <w:autoSpaceDE w:val="0"/>
        <w:autoSpaceDN w:val="0"/>
        <w:bidi w:val="0"/>
        <w:adjustRightInd w:val="0"/>
        <w:snapToGrid w:val="0"/>
        <w:spacing w:before="2" w:line="360" w:lineRule="exact"/>
        <w:ind w:left="8" w:firstLine="490"/>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(二) 乙方及其工作人员违反本合同第二、四条，按管理权限，依据国务院 《建设工程质量管 理条例》有关规定给予相应的处罚；涉嫌犯罪的，依法追究刑事责任；给甲方单位造成经济损失的，应予以赔偿。</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88"/>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第六条  本合同有效期为甲乙双方自签署之日起至该工程项目设计使用年限之日止。</w:t>
      </w:r>
    </w:p>
    <w:p>
      <w:pPr>
        <w:keepNext w:val="0"/>
        <w:keepLines w:val="0"/>
        <w:pageBreakBefore w:val="0"/>
        <w:widowControl/>
        <w:kinsoku w:val="0"/>
        <w:wordWrap/>
        <w:overflowPunct/>
        <w:topLinePunct w:val="0"/>
        <w:autoSpaceDE w:val="0"/>
        <w:autoSpaceDN w:val="0"/>
        <w:bidi w:val="0"/>
        <w:adjustRightInd w:val="0"/>
        <w:snapToGrid w:val="0"/>
        <w:spacing w:before="163" w:line="360" w:lineRule="exact"/>
        <w:ind w:left="8" w:right="8" w:firstLine="479"/>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 xml:space="preserve">第七条  本合同作为 </w:t>
      </w:r>
      <w:r>
        <w:rPr>
          <w:rFonts w:ascii="宋体" w:hAnsi="宋体" w:eastAsia="宋体" w:cs="宋体"/>
          <w:color w:val="auto"/>
          <w:spacing w:val="0"/>
          <w:sz w:val="21"/>
          <w:szCs w:val="21"/>
          <w:highlight w:val="none"/>
          <w:u w:val="single" w:color="auto"/>
        </w:rPr>
        <w:t xml:space="preserve">   (项目名称)   </w:t>
      </w:r>
      <w:r>
        <w:rPr>
          <w:rFonts w:ascii="宋体" w:hAnsi="宋体" w:eastAsia="宋体" w:cs="宋体"/>
          <w:color w:val="auto"/>
          <w:spacing w:val="0"/>
          <w:sz w:val="21"/>
          <w:szCs w:val="21"/>
          <w:highlight w:val="none"/>
        </w:rPr>
        <w:t xml:space="preserve"> 第</w:t>
      </w:r>
      <w:r>
        <w:rPr>
          <w:rFonts w:ascii="宋体" w:hAnsi="宋体" w:eastAsia="宋体" w:cs="宋体"/>
          <w:color w:val="auto"/>
          <w:spacing w:val="0"/>
          <w:sz w:val="21"/>
          <w:szCs w:val="21"/>
          <w:highlight w:val="none"/>
          <w:u w:val="single" w:color="auto"/>
        </w:rPr>
        <w:t xml:space="preserve">    </w:t>
      </w:r>
      <w:r>
        <w:rPr>
          <w:rFonts w:ascii="宋体" w:hAnsi="宋体" w:eastAsia="宋体" w:cs="宋体"/>
          <w:color w:val="auto"/>
          <w:spacing w:val="0"/>
          <w:sz w:val="21"/>
          <w:szCs w:val="21"/>
          <w:highlight w:val="none"/>
        </w:rPr>
        <w:t>标段施工合同附件，与工程施工合同具有同等的法律效力，经合同双方签署后立即生效。</w:t>
      </w:r>
    </w:p>
    <w:p>
      <w:pPr>
        <w:keepNext w:val="0"/>
        <w:keepLines w:val="0"/>
        <w:pageBreakBefore w:val="0"/>
        <w:widowControl/>
        <w:kinsoku w:val="0"/>
        <w:wordWrap/>
        <w:overflowPunct/>
        <w:topLinePunct w:val="0"/>
        <w:autoSpaceDE w:val="0"/>
        <w:autoSpaceDN w:val="0"/>
        <w:bidi w:val="0"/>
        <w:adjustRightInd w:val="0"/>
        <w:snapToGrid w:val="0"/>
        <w:spacing w:before="1" w:line="360" w:lineRule="exact"/>
        <w:ind w:left="8" w:right="10" w:firstLine="479"/>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第八条  本合同正本二份、副本</w:t>
      </w:r>
      <w:r>
        <w:rPr>
          <w:rFonts w:ascii="宋体" w:hAnsi="宋体" w:eastAsia="宋体" w:cs="宋体"/>
          <w:color w:val="auto"/>
          <w:spacing w:val="0"/>
          <w:sz w:val="21"/>
          <w:szCs w:val="21"/>
          <w:highlight w:val="none"/>
          <w:u w:val="single" w:color="auto"/>
        </w:rPr>
        <w:t xml:space="preserve">     </w:t>
      </w:r>
      <w:r>
        <w:rPr>
          <w:rFonts w:ascii="宋体" w:hAnsi="宋体" w:eastAsia="宋体" w:cs="宋体"/>
          <w:color w:val="auto"/>
          <w:spacing w:val="0"/>
          <w:sz w:val="21"/>
          <w:szCs w:val="21"/>
          <w:highlight w:val="none"/>
        </w:rPr>
        <w:t>份，合同双方各执正本一份，副本</w:t>
      </w:r>
      <w:r>
        <w:rPr>
          <w:rFonts w:ascii="宋体" w:hAnsi="宋体" w:eastAsia="宋体" w:cs="宋体"/>
          <w:color w:val="auto"/>
          <w:spacing w:val="0"/>
          <w:sz w:val="21"/>
          <w:szCs w:val="21"/>
          <w:highlight w:val="none"/>
          <w:u w:val="single" w:color="auto"/>
        </w:rPr>
        <w:t xml:space="preserve">     </w:t>
      </w:r>
      <w:r>
        <w:rPr>
          <w:rFonts w:ascii="宋体" w:hAnsi="宋体" w:eastAsia="宋体" w:cs="宋体"/>
          <w:color w:val="auto"/>
          <w:spacing w:val="0"/>
          <w:sz w:val="21"/>
          <w:szCs w:val="21"/>
          <w:highlight w:val="none"/>
        </w:rPr>
        <w:t>份，当正本与副 本的内容不一致时，以正本为准。</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color w:val="auto"/>
          <w:spacing w:val="0"/>
          <w:sz w:val="21"/>
          <w:highlight w:val="none"/>
        </w:rPr>
      </w:pPr>
    </w:p>
    <w:p>
      <w:pPr>
        <w:pStyle w:val="2"/>
        <w:rPr>
          <w:rFonts w:hint="eastAsia" w:ascii="宋体" w:hAnsi="宋体" w:eastAsia="宋体" w:cs="宋体"/>
          <w:color w:val="auto"/>
          <w:spacing w:val="6"/>
          <w:sz w:val="21"/>
          <w:szCs w:val="21"/>
          <w:highlight w:val="none"/>
        </w:rPr>
      </w:pPr>
    </w:p>
    <w:p>
      <w:pPr>
        <w:spacing w:before="159" w:line="378" w:lineRule="auto"/>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发包人：</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 xml:space="preserve">(盖单位章) </w:t>
      </w:r>
      <w:r>
        <w:rPr>
          <w:rFonts w:hint="eastAsia" w:ascii="宋体" w:hAnsi="宋体" w:eastAsia="宋体" w:cs="宋体"/>
          <w:color w:val="auto"/>
          <w:spacing w:val="9"/>
          <w:sz w:val="21"/>
          <w:szCs w:val="21"/>
          <w:highlight w:val="none"/>
          <w:lang w:val="en-US" w:eastAsia="zh-CN"/>
        </w:rPr>
        <w:t xml:space="preserve">        </w:t>
      </w:r>
      <w:r>
        <w:rPr>
          <w:rFonts w:hint="eastAsia" w:ascii="宋体" w:hAnsi="宋体" w:eastAsia="宋体" w:cs="宋体"/>
          <w:color w:val="auto"/>
          <w:spacing w:val="9"/>
          <w:sz w:val="21"/>
          <w:szCs w:val="21"/>
          <w:highlight w:val="none"/>
        </w:rPr>
        <w:t>承包人：</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(盖单位章)</w:t>
      </w:r>
    </w:p>
    <w:p>
      <w:pPr>
        <w:spacing w:before="159" w:line="378" w:lineRule="auto"/>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法定代表人或其委托代理人：</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(签字)</w:t>
      </w:r>
      <w:r>
        <w:rPr>
          <w:rFonts w:hint="eastAsia" w:ascii="宋体" w:hAnsi="宋体" w:eastAsia="宋体" w:cs="宋体"/>
          <w:color w:val="auto"/>
          <w:spacing w:val="9"/>
          <w:sz w:val="21"/>
          <w:szCs w:val="21"/>
          <w:highlight w:val="none"/>
          <w:lang w:val="en-US" w:eastAsia="zh-CN"/>
        </w:rPr>
        <w:t xml:space="preserve">       </w:t>
      </w:r>
      <w:r>
        <w:rPr>
          <w:rFonts w:hint="eastAsia" w:ascii="宋体" w:hAnsi="宋体" w:eastAsia="宋体" w:cs="宋体"/>
          <w:color w:val="auto"/>
          <w:spacing w:val="9"/>
          <w:sz w:val="21"/>
          <w:szCs w:val="21"/>
          <w:highlight w:val="none"/>
        </w:rPr>
        <w:t>法定代表人或其委托代理人</w:t>
      </w:r>
      <w:r>
        <w:rPr>
          <w:rFonts w:hint="eastAsia" w:ascii="宋体" w:hAnsi="宋体" w:eastAsia="宋体" w:cs="宋体"/>
          <w:color w:val="auto"/>
          <w:spacing w:val="9"/>
          <w:sz w:val="21"/>
          <w:szCs w:val="21"/>
          <w:highlight w:val="none"/>
          <w:u w:val="none"/>
        </w:rPr>
        <w:t>：</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(签字)</w:t>
      </w:r>
    </w:p>
    <w:p>
      <w:pPr>
        <w:spacing w:before="159" w:line="378" w:lineRule="auto"/>
        <w:ind w:left="7" w:firstLine="2273" w:firstLineChars="997"/>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u w:val="single"/>
        </w:rPr>
        <w:tab/>
      </w:r>
      <w:r>
        <w:rPr>
          <w:rFonts w:hint="eastAsia" w:ascii="宋体" w:hAnsi="宋体" w:eastAsia="宋体" w:cs="宋体"/>
          <w:color w:val="auto"/>
          <w:spacing w:val="9"/>
          <w:sz w:val="21"/>
          <w:szCs w:val="21"/>
          <w:highlight w:val="none"/>
          <w:u w:val="single"/>
          <w:lang w:val="en-US" w:eastAsia="zh-CN"/>
        </w:rPr>
        <w:t xml:space="preserve">  </w:t>
      </w:r>
      <w:r>
        <w:rPr>
          <w:rFonts w:hint="eastAsia" w:ascii="宋体" w:hAnsi="宋体" w:eastAsia="宋体" w:cs="宋体"/>
          <w:color w:val="auto"/>
          <w:spacing w:val="9"/>
          <w:sz w:val="21"/>
          <w:szCs w:val="21"/>
          <w:highlight w:val="none"/>
        </w:rPr>
        <w:t xml:space="preserve">年 </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 xml:space="preserve">月 </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日</w:t>
      </w:r>
      <w:r>
        <w:rPr>
          <w:rFonts w:hint="eastAsia" w:ascii="宋体" w:hAnsi="宋体" w:eastAsia="宋体" w:cs="宋体"/>
          <w:color w:val="auto"/>
          <w:spacing w:val="9"/>
          <w:sz w:val="21"/>
          <w:szCs w:val="21"/>
          <w:highlight w:val="none"/>
          <w:lang w:val="en-US" w:eastAsia="zh-CN"/>
        </w:rPr>
        <w:t xml:space="preserve">                  </w:t>
      </w:r>
      <w:r>
        <w:rPr>
          <w:rFonts w:hint="eastAsia" w:ascii="宋体" w:hAnsi="宋体" w:eastAsia="宋体" w:cs="宋体"/>
          <w:color w:val="auto"/>
          <w:spacing w:val="9"/>
          <w:sz w:val="21"/>
          <w:szCs w:val="21"/>
          <w:highlight w:val="none"/>
          <w:u w:val="single"/>
          <w:lang w:val="en-US" w:eastAsia="zh-CN"/>
        </w:rPr>
        <w:t xml:space="preserve"> </w:t>
      </w:r>
      <w:r>
        <w:rPr>
          <w:rFonts w:hint="eastAsia" w:ascii="宋体" w:hAnsi="宋体" w:eastAsia="宋体" w:cs="宋体"/>
          <w:color w:val="auto"/>
          <w:spacing w:val="9"/>
          <w:sz w:val="21"/>
          <w:szCs w:val="21"/>
          <w:highlight w:val="none"/>
          <w:u w:val="single"/>
        </w:rPr>
        <w:tab/>
      </w:r>
      <w:r>
        <w:rPr>
          <w:rFonts w:hint="eastAsia" w:ascii="宋体" w:hAnsi="宋体" w:eastAsia="宋体" w:cs="宋体"/>
          <w:color w:val="auto"/>
          <w:spacing w:val="9"/>
          <w:sz w:val="21"/>
          <w:szCs w:val="21"/>
          <w:highlight w:val="none"/>
        </w:rPr>
        <w:t>年</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月</w:t>
      </w:r>
      <w:r>
        <w:rPr>
          <w:rFonts w:hint="eastAsia" w:ascii="宋体" w:hAnsi="宋体" w:eastAsia="宋体" w:cs="宋体"/>
          <w:color w:val="auto"/>
          <w:spacing w:val="9"/>
          <w:sz w:val="21"/>
          <w:szCs w:val="21"/>
          <w:highlight w:val="none"/>
          <w:u w:val="single"/>
        </w:rPr>
        <w:t xml:space="preserve">    </w:t>
      </w:r>
      <w:r>
        <w:rPr>
          <w:rFonts w:hint="eastAsia" w:ascii="宋体" w:hAnsi="宋体" w:eastAsia="宋体" w:cs="宋体"/>
          <w:color w:val="auto"/>
          <w:spacing w:val="9"/>
          <w:sz w:val="21"/>
          <w:szCs w:val="21"/>
          <w:highlight w:val="none"/>
        </w:rPr>
        <w:t>日</w:t>
      </w:r>
    </w:p>
    <w:p>
      <w:pPr>
        <w:pStyle w:val="2"/>
        <w:rPr>
          <w:rFonts w:hint="eastAsia" w:ascii="宋体" w:hAnsi="宋体" w:eastAsia="宋体" w:cs="宋体"/>
          <w:color w:val="auto"/>
          <w:highlight w:val="none"/>
        </w:rPr>
        <w:sectPr>
          <w:pgSz w:w="11900" w:h="16840"/>
          <w:pgMar w:top="1160" w:right="1348" w:bottom="1448" w:left="1360" w:header="883" w:footer="1234" w:gutter="0"/>
          <w:pgNumType w:fmt="decimal"/>
          <w:cols w:equalWidth="0" w:num="1">
            <w:col w:w="9191"/>
          </w:cols>
        </w:sectPr>
      </w:pPr>
    </w:p>
    <w:p>
      <w:pPr>
        <w:rPr>
          <w:color w:val="auto"/>
          <w:highlight w:val="none"/>
        </w:rPr>
        <w:sectPr>
          <w:type w:val="continuous"/>
          <w:pgSz w:w="11900" w:h="16840"/>
          <w:pgMar w:top="1160" w:right="1348" w:bottom="1448" w:left="1360" w:header="883" w:footer="1234" w:gutter="0"/>
          <w:pgNumType w:fmt="decimal"/>
          <w:cols w:equalWidth="0" w:num="2">
            <w:col w:w="4206" w:space="100"/>
            <w:col w:w="4886"/>
          </w:cols>
        </w:sectPr>
      </w:pPr>
    </w:p>
    <w:p>
      <w:pPr>
        <w:spacing w:before="299" w:line="219" w:lineRule="auto"/>
        <w:ind w:left="30"/>
        <w:outlineLvl w:val="0"/>
        <w:rPr>
          <w:rFonts w:ascii="宋体" w:hAnsi="宋体" w:eastAsia="宋体" w:cs="宋体"/>
          <w:color w:val="auto"/>
          <w:sz w:val="28"/>
          <w:szCs w:val="28"/>
          <w:highlight w:val="none"/>
        </w:rPr>
      </w:pPr>
      <w:bookmarkStart w:id="613" w:name="_Toc29305"/>
      <w:bookmarkStart w:id="614" w:name="_Toc30918"/>
      <w:bookmarkStart w:id="615" w:name="_Toc31609"/>
      <w:r>
        <w:rPr>
          <w:rFonts w:ascii="宋体" w:hAnsi="宋体" w:eastAsia="宋体" w:cs="宋体"/>
          <w:color w:val="auto"/>
          <w:spacing w:val="-2"/>
          <w:sz w:val="28"/>
          <w:szCs w:val="28"/>
          <w:highlight w:val="none"/>
        </w:rPr>
        <w:t>附件十一  项目图纸资料保密</w:t>
      </w:r>
      <w:r>
        <w:rPr>
          <w:rFonts w:ascii="宋体" w:hAnsi="宋体" w:eastAsia="宋体" w:cs="宋体"/>
          <w:color w:val="auto"/>
          <w:spacing w:val="-1"/>
          <w:sz w:val="28"/>
          <w:szCs w:val="28"/>
          <w:highlight w:val="none"/>
        </w:rPr>
        <w:t>承诺书格式</w:t>
      </w:r>
      <w:bookmarkEnd w:id="613"/>
      <w:bookmarkEnd w:id="614"/>
      <w:bookmarkEnd w:id="615"/>
    </w:p>
    <w:p>
      <w:pPr>
        <w:rPr>
          <w:rFonts w:ascii="Arial"/>
          <w:color w:val="auto"/>
          <w:sz w:val="21"/>
          <w:highlight w:val="none"/>
        </w:rPr>
      </w:pPr>
    </w:p>
    <w:p>
      <w:pPr>
        <w:spacing w:line="241" w:lineRule="auto"/>
        <w:rPr>
          <w:rFonts w:ascii="Arial"/>
          <w:color w:val="auto"/>
          <w:sz w:val="21"/>
          <w:highlight w:val="none"/>
        </w:rPr>
      </w:pPr>
    </w:p>
    <w:p>
      <w:pPr>
        <w:spacing w:before="91" w:line="221" w:lineRule="auto"/>
        <w:ind w:left="3061"/>
        <w:rPr>
          <w:rFonts w:ascii="黑体" w:hAnsi="黑体" w:eastAsia="黑体" w:cs="黑体"/>
          <w:color w:val="auto"/>
          <w:sz w:val="28"/>
          <w:szCs w:val="28"/>
          <w:highlight w:val="none"/>
        </w:rPr>
      </w:pPr>
      <w:r>
        <w:rPr>
          <w:rFonts w:ascii="黑体" w:hAnsi="黑体" w:eastAsia="黑体" w:cs="黑体"/>
          <w:color w:val="auto"/>
          <w:spacing w:val="-1"/>
          <w:sz w:val="28"/>
          <w:szCs w:val="28"/>
          <w:highlight w:val="none"/>
        </w:rPr>
        <w:t>项目图纸资料保密承诺</w:t>
      </w:r>
      <w:r>
        <w:rPr>
          <w:rFonts w:ascii="黑体" w:hAnsi="黑体" w:eastAsia="黑体" w:cs="黑体"/>
          <w:color w:val="auto"/>
          <w:sz w:val="28"/>
          <w:szCs w:val="28"/>
          <w:highlight w:val="none"/>
        </w:rPr>
        <w:t>书</w:t>
      </w:r>
    </w:p>
    <w:p>
      <w:pPr>
        <w:spacing w:line="242" w:lineRule="auto"/>
        <w:rPr>
          <w:rFonts w:ascii="Arial"/>
          <w:color w:val="auto"/>
          <w:sz w:val="21"/>
          <w:highlight w:val="none"/>
        </w:rPr>
      </w:pPr>
    </w:p>
    <w:p>
      <w:pPr>
        <w:spacing w:line="243" w:lineRule="auto"/>
        <w:rPr>
          <w:rFonts w:ascii="Arial"/>
          <w:color w:val="auto"/>
          <w:sz w:val="21"/>
          <w:highlight w:val="none"/>
        </w:rPr>
      </w:pPr>
    </w:p>
    <w:p>
      <w:pPr>
        <w:spacing w:line="243" w:lineRule="auto"/>
        <w:rPr>
          <w:rFonts w:ascii="Arial"/>
          <w:color w:val="auto"/>
          <w:sz w:val="21"/>
          <w:highlight w:val="none"/>
        </w:rPr>
      </w:pPr>
    </w:p>
    <w:p>
      <w:pPr>
        <w:spacing w:line="243" w:lineRule="auto"/>
        <w:rPr>
          <w:rFonts w:ascii="Arial"/>
          <w:color w:val="auto"/>
          <w:sz w:val="21"/>
          <w:highlight w:val="none"/>
        </w:rPr>
      </w:pPr>
    </w:p>
    <w:p>
      <w:pPr>
        <w:spacing w:line="243" w:lineRule="auto"/>
        <w:rPr>
          <w:rFonts w:ascii="Arial"/>
          <w:color w:val="auto"/>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40" w:lineRule="exact"/>
        <w:ind w:right="2"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______________________  (承包人名称) 将完善________________________  (项目名称) 工程图纸资料制作、移交、归档等管理制度，严格落实图纸资料管理要求。在本工程实施期间及验收完成后，所有图纸资料均按照内部资料管理，不通过互联网与任何单位和个人进行与本项目有关图纸资料交换传递，不通过任何途径向本项目无关方泄露和传播本项目有关图纸资料。</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485"/>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特此承诺。</w:t>
      </w:r>
    </w:p>
    <w:p>
      <w:pPr>
        <w:spacing w:line="423" w:lineRule="auto"/>
        <w:rPr>
          <w:rFonts w:ascii="Arial"/>
          <w:color w:val="auto"/>
          <w:sz w:val="21"/>
          <w:highlight w:val="none"/>
        </w:rPr>
      </w:pPr>
    </w:p>
    <w:p>
      <w:pPr>
        <w:spacing w:before="65" w:line="377" w:lineRule="auto"/>
        <w:ind w:left="7" w:right="2" w:firstLine="468"/>
        <w:rPr>
          <w:rFonts w:hint="eastAsia" w:ascii="宋体" w:hAnsi="宋体" w:eastAsia="宋体" w:cs="宋体"/>
          <w:color w:val="auto"/>
          <w:spacing w:val="6"/>
          <w:sz w:val="21"/>
          <w:szCs w:val="21"/>
          <w:highlight w:val="none"/>
        </w:rPr>
      </w:pPr>
    </w:p>
    <w:p>
      <w:pPr>
        <w:spacing w:before="65" w:line="377" w:lineRule="auto"/>
        <w:ind w:left="7" w:right="2" w:firstLine="468"/>
        <w:rPr>
          <w:rFonts w:hint="eastAsia" w:ascii="宋体" w:hAnsi="宋体" w:eastAsia="宋体" w:cs="宋体"/>
          <w:color w:val="auto"/>
          <w:spacing w:val="6"/>
          <w:sz w:val="21"/>
          <w:szCs w:val="21"/>
          <w:highlight w:val="none"/>
        </w:rPr>
      </w:pPr>
    </w:p>
    <w:p>
      <w:pPr>
        <w:spacing w:before="65" w:line="377" w:lineRule="auto"/>
        <w:ind w:left="7" w:right="2" w:firstLine="4262" w:firstLineChars="192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承包人：</w:t>
      </w:r>
      <w:r>
        <w:rPr>
          <w:rFonts w:hint="eastAsia" w:ascii="宋体" w:hAnsi="宋体" w:eastAsia="宋体" w:cs="宋体"/>
          <w:color w:val="auto"/>
          <w:spacing w:val="6"/>
          <w:sz w:val="21"/>
          <w:szCs w:val="21"/>
          <w:highlight w:val="none"/>
          <w:u w:val="single"/>
        </w:rPr>
        <w:t xml:space="preserve">                     </w:t>
      </w:r>
      <w:r>
        <w:rPr>
          <w:rFonts w:hint="eastAsia" w:ascii="宋体" w:hAnsi="宋体" w:eastAsia="宋体" w:cs="宋体"/>
          <w:color w:val="auto"/>
          <w:spacing w:val="6"/>
          <w:sz w:val="21"/>
          <w:szCs w:val="21"/>
          <w:highlight w:val="none"/>
        </w:rPr>
        <w:t xml:space="preserve">(盖单位章) </w:t>
      </w:r>
    </w:p>
    <w:p>
      <w:pPr>
        <w:spacing w:before="65" w:line="377" w:lineRule="auto"/>
        <w:ind w:left="7" w:right="2" w:firstLine="4262" w:firstLineChars="192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法定代表人或其委托代理人：</w:t>
      </w:r>
      <w:r>
        <w:rPr>
          <w:rFonts w:hint="eastAsia" w:ascii="宋体" w:hAnsi="宋体" w:eastAsia="宋体" w:cs="宋体"/>
          <w:color w:val="auto"/>
          <w:spacing w:val="6"/>
          <w:sz w:val="21"/>
          <w:szCs w:val="21"/>
          <w:highlight w:val="none"/>
          <w:u w:val="single"/>
        </w:rPr>
        <w:t xml:space="preserve">      </w:t>
      </w:r>
      <w:r>
        <w:rPr>
          <w:rFonts w:hint="eastAsia" w:ascii="宋体" w:hAnsi="宋体" w:eastAsia="宋体" w:cs="宋体"/>
          <w:color w:val="auto"/>
          <w:spacing w:val="6"/>
          <w:sz w:val="21"/>
          <w:szCs w:val="21"/>
          <w:highlight w:val="none"/>
        </w:rPr>
        <w:t>(签字)</w:t>
      </w:r>
    </w:p>
    <w:p>
      <w:pPr>
        <w:spacing w:before="65" w:line="377" w:lineRule="auto"/>
        <w:ind w:left="7" w:right="2" w:firstLine="6038" w:firstLineChars="272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u w:val="single"/>
        </w:rPr>
        <w:tab/>
      </w:r>
      <w:r>
        <w:rPr>
          <w:rFonts w:hint="eastAsia" w:ascii="宋体" w:hAnsi="宋体" w:eastAsia="宋体" w:cs="宋体"/>
          <w:color w:val="auto"/>
          <w:spacing w:val="6"/>
          <w:sz w:val="21"/>
          <w:szCs w:val="21"/>
          <w:highlight w:val="none"/>
        </w:rPr>
        <w:t>年</w:t>
      </w:r>
      <w:r>
        <w:rPr>
          <w:rFonts w:hint="eastAsia" w:ascii="宋体" w:hAnsi="宋体" w:eastAsia="宋体" w:cs="宋体"/>
          <w:color w:val="auto"/>
          <w:spacing w:val="6"/>
          <w:sz w:val="21"/>
          <w:szCs w:val="21"/>
          <w:highlight w:val="none"/>
          <w:u w:val="single"/>
        </w:rPr>
        <w:t xml:space="preserve">   </w:t>
      </w:r>
      <w:r>
        <w:rPr>
          <w:rFonts w:hint="eastAsia" w:ascii="宋体" w:hAnsi="宋体" w:eastAsia="宋体" w:cs="宋体"/>
          <w:color w:val="auto"/>
          <w:spacing w:val="6"/>
          <w:sz w:val="21"/>
          <w:szCs w:val="21"/>
          <w:highlight w:val="none"/>
        </w:rPr>
        <w:t>月</w:t>
      </w:r>
      <w:r>
        <w:rPr>
          <w:rFonts w:hint="eastAsia" w:ascii="宋体" w:hAnsi="宋体" w:eastAsia="宋体" w:cs="宋体"/>
          <w:color w:val="auto"/>
          <w:spacing w:val="6"/>
          <w:sz w:val="21"/>
          <w:szCs w:val="21"/>
          <w:highlight w:val="none"/>
          <w:u w:val="single"/>
        </w:rPr>
        <w:t xml:space="preserve">   </w:t>
      </w:r>
      <w:r>
        <w:rPr>
          <w:rFonts w:hint="eastAsia" w:ascii="宋体" w:hAnsi="宋体" w:eastAsia="宋体" w:cs="宋体"/>
          <w:color w:val="auto"/>
          <w:spacing w:val="6"/>
          <w:sz w:val="21"/>
          <w:szCs w:val="21"/>
          <w:highlight w:val="none"/>
        </w:rPr>
        <w:t xml:space="preserve"> 日</w:t>
      </w:r>
    </w:p>
    <w:p>
      <w:pPr>
        <w:rPr>
          <w:color w:val="auto"/>
          <w:highlight w:val="none"/>
        </w:rPr>
        <w:sectPr>
          <w:pgSz w:w="11900" w:h="16840"/>
          <w:pgMar w:top="1160" w:right="1354" w:bottom="1448" w:left="1363" w:header="883" w:footer="1234" w:gutter="0"/>
          <w:pgNumType w:fmt="decimal"/>
          <w:cols w:space="720" w:num="1"/>
        </w:sectPr>
      </w:pPr>
    </w:p>
    <w:p>
      <w:pPr>
        <w:spacing w:before="313" w:line="220" w:lineRule="auto"/>
        <w:ind w:left="30"/>
        <w:outlineLvl w:val="2"/>
        <w:rPr>
          <w:rFonts w:ascii="宋体" w:hAnsi="宋体" w:eastAsia="宋体" w:cs="宋体"/>
          <w:color w:val="auto"/>
          <w:sz w:val="28"/>
          <w:szCs w:val="28"/>
          <w:highlight w:val="none"/>
        </w:rPr>
      </w:pPr>
      <w:bookmarkStart w:id="616" w:name="_Toc2747"/>
      <w:r>
        <w:rPr>
          <w:rFonts w:ascii="宋体" w:hAnsi="宋体" w:eastAsia="宋体" w:cs="宋体"/>
          <w:color w:val="auto"/>
          <w:spacing w:val="-2"/>
          <w:sz w:val="28"/>
          <w:szCs w:val="28"/>
          <w:highlight w:val="none"/>
        </w:rPr>
        <w:t>附件十二  相关人员在职承诺书格</w:t>
      </w:r>
      <w:r>
        <w:rPr>
          <w:rFonts w:ascii="宋体" w:hAnsi="宋体" w:eastAsia="宋体" w:cs="宋体"/>
          <w:color w:val="auto"/>
          <w:spacing w:val="-1"/>
          <w:sz w:val="28"/>
          <w:szCs w:val="28"/>
          <w:highlight w:val="none"/>
        </w:rPr>
        <w:t>式</w:t>
      </w:r>
      <w:bookmarkEnd w:id="616"/>
    </w:p>
    <w:p>
      <w:pPr>
        <w:spacing w:line="476" w:lineRule="auto"/>
        <w:rPr>
          <w:rFonts w:ascii="Arial"/>
          <w:color w:val="auto"/>
          <w:sz w:val="21"/>
          <w:highlight w:val="none"/>
        </w:rPr>
      </w:pPr>
    </w:p>
    <w:p>
      <w:pPr>
        <w:spacing w:before="91" w:line="224" w:lineRule="auto"/>
        <w:ind w:left="4178"/>
        <w:rPr>
          <w:rFonts w:ascii="黑体" w:hAnsi="黑体" w:eastAsia="黑体" w:cs="黑体"/>
          <w:color w:val="auto"/>
          <w:sz w:val="28"/>
          <w:szCs w:val="28"/>
          <w:highlight w:val="none"/>
        </w:rPr>
      </w:pPr>
      <w:r>
        <w:rPr>
          <w:rFonts w:ascii="黑体" w:hAnsi="黑体" w:eastAsia="黑体" w:cs="黑体"/>
          <w:color w:val="auto"/>
          <w:spacing w:val="-4"/>
          <w:sz w:val="28"/>
          <w:szCs w:val="28"/>
          <w:highlight w:val="none"/>
        </w:rPr>
        <w:t>承</w:t>
      </w:r>
      <w:r>
        <w:rPr>
          <w:rFonts w:ascii="黑体" w:hAnsi="黑体" w:eastAsia="黑体" w:cs="黑体"/>
          <w:color w:val="auto"/>
          <w:spacing w:val="-3"/>
          <w:sz w:val="28"/>
          <w:szCs w:val="28"/>
          <w:highlight w:val="none"/>
        </w:rPr>
        <w:t>诺</w:t>
      </w:r>
      <w:r>
        <w:rPr>
          <w:rFonts w:ascii="黑体" w:hAnsi="黑体" w:eastAsia="黑体" w:cs="黑体"/>
          <w:color w:val="auto"/>
          <w:spacing w:val="-2"/>
          <w:sz w:val="28"/>
          <w:szCs w:val="28"/>
          <w:highlight w:val="none"/>
        </w:rPr>
        <w:t>书</w:t>
      </w:r>
    </w:p>
    <w:p>
      <w:pPr>
        <w:spacing w:line="283" w:lineRule="auto"/>
        <w:rPr>
          <w:rFonts w:ascii="Arial"/>
          <w:color w:val="auto"/>
          <w:sz w:val="21"/>
          <w:highlight w:val="none"/>
        </w:rPr>
      </w:pPr>
    </w:p>
    <w:p>
      <w:pPr>
        <w:spacing w:line="283" w:lineRule="auto"/>
        <w:rPr>
          <w:rFonts w:ascii="Arial"/>
          <w:color w:val="auto"/>
          <w:sz w:val="21"/>
          <w:highlight w:val="none"/>
        </w:rPr>
      </w:pPr>
    </w:p>
    <w:p>
      <w:pPr>
        <w:spacing w:line="284" w:lineRule="auto"/>
        <w:rPr>
          <w:rFonts w:ascii="Arial"/>
          <w:color w:val="auto"/>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40" w:lineRule="exact"/>
        <w:ind w:left="5"/>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致：  (发</w:t>
      </w:r>
      <w:r>
        <w:rPr>
          <w:rFonts w:hint="eastAsia" w:ascii="宋体" w:hAnsi="宋体" w:eastAsia="宋体" w:cs="宋体"/>
          <w:color w:val="auto"/>
          <w:spacing w:val="-1"/>
          <w:sz w:val="21"/>
          <w:szCs w:val="21"/>
          <w:highlight w:val="none"/>
        </w:rPr>
        <w:t>包人名称) ：</w:t>
      </w:r>
    </w:p>
    <w:p>
      <w:pPr>
        <w:keepNext w:val="0"/>
        <w:keepLines w:val="0"/>
        <w:pageBreakBefore w:val="0"/>
        <w:widowControl/>
        <w:kinsoku w:val="0"/>
        <w:wordWrap/>
        <w:overflowPunct/>
        <w:topLinePunct w:val="0"/>
        <w:autoSpaceDE w:val="0"/>
        <w:autoSpaceDN w:val="0"/>
        <w:bidi w:val="0"/>
        <w:adjustRightInd w:val="0"/>
        <w:snapToGrid w:val="0"/>
        <w:spacing w:before="129" w:line="440" w:lineRule="exact"/>
        <w:ind w:firstLine="468"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本人作</w:t>
      </w:r>
      <w:r>
        <w:rPr>
          <w:rFonts w:hint="eastAsia" w:ascii="宋体" w:hAnsi="宋体" w:eastAsia="宋体" w:cs="宋体"/>
          <w:color w:val="auto"/>
          <w:spacing w:val="8"/>
          <w:sz w:val="21"/>
          <w:szCs w:val="21"/>
          <w:highlight w:val="none"/>
        </w:rPr>
        <w:t>为</w:t>
      </w:r>
      <w:r>
        <w:rPr>
          <w:rFonts w:hint="eastAsia" w:ascii="宋体" w:hAnsi="宋体" w:eastAsia="宋体" w:cs="宋体"/>
          <w:color w:val="auto"/>
          <w:spacing w:val="6"/>
          <w:sz w:val="21"/>
          <w:szCs w:val="21"/>
          <w:highlight w:val="none"/>
        </w:rPr>
        <w:t>项目经理/项目技术负责人/安全负责人，同意按招标文件规定到位，若有更换，同意按</w:t>
      </w:r>
      <w:r>
        <w:rPr>
          <w:rFonts w:hint="eastAsia" w:ascii="宋体" w:hAnsi="宋体" w:eastAsia="宋体" w:cs="宋体"/>
          <w:color w:val="auto"/>
          <w:spacing w:val="12"/>
          <w:sz w:val="21"/>
          <w:szCs w:val="21"/>
          <w:highlight w:val="none"/>
        </w:rPr>
        <w:t>浙</w:t>
      </w:r>
      <w:r>
        <w:rPr>
          <w:rFonts w:hint="eastAsia" w:ascii="宋体" w:hAnsi="宋体" w:eastAsia="宋体" w:cs="宋体"/>
          <w:color w:val="auto"/>
          <w:spacing w:val="9"/>
          <w:sz w:val="21"/>
          <w:szCs w:val="21"/>
          <w:highlight w:val="none"/>
        </w:rPr>
        <w:t>江省信用评价管理实施细则扣分或纳入负面清单管理。</w:t>
      </w:r>
    </w:p>
    <w:p>
      <w:pPr>
        <w:keepNext w:val="0"/>
        <w:keepLines w:val="0"/>
        <w:pageBreakBefore w:val="0"/>
        <w:widowControl/>
        <w:kinsoku w:val="0"/>
        <w:wordWrap/>
        <w:overflowPunct/>
        <w:topLinePunct w:val="0"/>
        <w:autoSpaceDE w:val="0"/>
        <w:autoSpaceDN w:val="0"/>
        <w:bidi w:val="0"/>
        <w:adjustRightInd w:val="0"/>
        <w:snapToGrid w:val="0"/>
        <w:spacing w:before="14" w:line="440" w:lineRule="exact"/>
        <w:ind w:left="485"/>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特此承诺</w:t>
      </w:r>
      <w:r>
        <w:rPr>
          <w:rFonts w:hint="eastAsia" w:ascii="宋体" w:hAnsi="宋体" w:eastAsia="宋体" w:cs="宋体"/>
          <w:color w:val="auto"/>
          <w:spacing w:val="5"/>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6" w:line="440" w:lineRule="exact"/>
        <w:ind w:left="4397"/>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承诺人</w:t>
      </w:r>
      <w:r>
        <w:rPr>
          <w:rFonts w:hint="eastAsia" w:ascii="宋体" w:hAnsi="宋体" w:eastAsia="宋体" w:cs="宋体"/>
          <w:color w:val="auto"/>
          <w:spacing w:val="-1"/>
          <w:sz w:val="21"/>
          <w:szCs w:val="21"/>
          <w:highlight w:val="none"/>
        </w:rPr>
        <w:t>：</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(签字)</w:t>
      </w:r>
    </w:p>
    <w:p>
      <w:pPr>
        <w:keepNext w:val="0"/>
        <w:keepLines w:val="0"/>
        <w:pageBreakBefore w:val="0"/>
        <w:widowControl/>
        <w:tabs>
          <w:tab w:val="left" w:pos="5028"/>
        </w:tabs>
        <w:kinsoku w:val="0"/>
        <w:wordWrap/>
        <w:overflowPunct/>
        <w:topLinePunct w:val="0"/>
        <w:autoSpaceDE w:val="0"/>
        <w:autoSpaceDN w:val="0"/>
        <w:bidi w:val="0"/>
        <w:adjustRightInd w:val="0"/>
        <w:snapToGrid w:val="0"/>
        <w:spacing w:line="440" w:lineRule="exact"/>
        <w:ind w:left="4495"/>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color="auto"/>
        </w:rPr>
        <w:tab/>
      </w:r>
      <w:r>
        <w:rPr>
          <w:rFonts w:hint="eastAsia" w:ascii="宋体" w:hAnsi="宋体" w:eastAsia="宋体" w:cs="宋体"/>
          <w:color w:val="auto"/>
          <w:spacing w:val="9"/>
          <w:sz w:val="21"/>
          <w:szCs w:val="21"/>
          <w:highlight w:val="none"/>
        </w:rPr>
        <w:t>年</w:t>
      </w:r>
      <w:r>
        <w:rPr>
          <w:rFonts w:hint="eastAsia" w:ascii="宋体" w:hAnsi="宋体" w:eastAsia="宋体" w:cs="宋体"/>
          <w:color w:val="auto"/>
          <w:spacing w:val="9"/>
          <w:sz w:val="21"/>
          <w:szCs w:val="21"/>
          <w:highlight w:val="none"/>
          <w:u w:val="single" w:color="auto"/>
        </w:rPr>
        <w:t xml:space="preserve">   </w:t>
      </w:r>
      <w:r>
        <w:rPr>
          <w:rFonts w:hint="eastAsia" w:ascii="宋体" w:hAnsi="宋体" w:eastAsia="宋体" w:cs="宋体"/>
          <w:color w:val="auto"/>
          <w:spacing w:val="9"/>
          <w:sz w:val="21"/>
          <w:szCs w:val="21"/>
          <w:highlight w:val="none"/>
        </w:rPr>
        <w:t>月</w:t>
      </w:r>
      <w:r>
        <w:rPr>
          <w:rFonts w:hint="eastAsia" w:ascii="宋体" w:hAnsi="宋体" w:eastAsia="宋体" w:cs="宋体"/>
          <w:color w:val="auto"/>
          <w:spacing w:val="9"/>
          <w:sz w:val="21"/>
          <w:szCs w:val="21"/>
          <w:highlight w:val="none"/>
          <w:u w:val="single" w:color="auto"/>
        </w:rPr>
        <w:t xml:space="preserve">    </w:t>
      </w:r>
      <w:r>
        <w:rPr>
          <w:rFonts w:hint="eastAsia" w:ascii="宋体" w:hAnsi="宋体" w:eastAsia="宋体" w:cs="宋体"/>
          <w:color w:val="auto"/>
          <w:spacing w:val="9"/>
          <w:sz w:val="21"/>
          <w:szCs w:val="21"/>
          <w:highlight w:val="none"/>
        </w:rPr>
        <w:t>日</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6" w:line="440" w:lineRule="exact"/>
        <w:ind w:left="5"/>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注</w:t>
      </w:r>
      <w:r>
        <w:rPr>
          <w:rFonts w:hint="eastAsia" w:ascii="宋体" w:hAnsi="宋体" w:eastAsia="宋体" w:cs="宋体"/>
          <w:color w:val="auto"/>
          <w:spacing w:val="9"/>
          <w:sz w:val="21"/>
          <w:szCs w:val="21"/>
          <w:highlight w:val="none"/>
        </w:rPr>
        <w:t>：项目经理、项目技术负责人、安全负责人应分别作出承诺。</w:t>
      </w:r>
    </w:p>
    <w:p>
      <w:pPr>
        <w:rPr>
          <w:color w:val="auto"/>
          <w:highlight w:val="none"/>
        </w:rPr>
        <w:sectPr>
          <w:pgSz w:w="11900" w:h="16840"/>
          <w:pgMar w:top="1160" w:right="1354" w:bottom="1448" w:left="1363" w:header="883" w:footer="1234" w:gutter="0"/>
          <w:pgNumType w:fmt="decimal"/>
          <w:cols w:space="720" w:num="1"/>
        </w:sectPr>
      </w:pPr>
    </w:p>
    <w:p>
      <w:pPr>
        <w:spacing w:line="251" w:lineRule="auto"/>
        <w:rPr>
          <w:rFonts w:ascii="Arial"/>
          <w:color w:val="auto"/>
          <w:sz w:val="21"/>
          <w:highlight w:val="none"/>
        </w:rPr>
      </w:pPr>
    </w:p>
    <w:p>
      <w:pPr>
        <w:spacing w:before="139" w:line="226" w:lineRule="auto"/>
        <w:jc w:val="center"/>
        <w:outlineLvl w:val="9"/>
        <w:rPr>
          <w:rFonts w:hint="eastAsia" w:ascii="宋体" w:hAnsi="宋体" w:eastAsia="宋体" w:cs="宋体"/>
          <w:b/>
          <w:bCs/>
          <w:color w:val="auto"/>
          <w:spacing w:val="9"/>
          <w:sz w:val="36"/>
          <w:szCs w:val="36"/>
          <w:highlight w:val="none"/>
        </w:rPr>
      </w:pPr>
      <w:bookmarkStart w:id="617" w:name="_bookmark149"/>
      <w:bookmarkEnd w:id="617"/>
      <w:r>
        <w:rPr>
          <w:rFonts w:hint="eastAsia" w:ascii="宋体" w:hAnsi="宋体" w:eastAsia="宋体" w:cs="宋体"/>
          <w:b/>
          <w:bCs/>
          <w:color w:val="auto"/>
          <w:spacing w:val="9"/>
          <w:sz w:val="36"/>
          <w:szCs w:val="36"/>
          <w:highlight w:val="none"/>
        </w:rPr>
        <w:t>第五章  工程量清单</w:t>
      </w:r>
    </w:p>
    <w:p>
      <w:pPr>
        <w:spacing w:line="244" w:lineRule="auto"/>
        <w:rPr>
          <w:rFonts w:ascii="Arial"/>
          <w:color w:val="auto"/>
          <w:sz w:val="21"/>
          <w:highlight w:val="none"/>
        </w:rPr>
      </w:pPr>
    </w:p>
    <w:p>
      <w:pPr>
        <w:spacing w:line="244" w:lineRule="auto"/>
        <w:rPr>
          <w:rFonts w:ascii="Arial"/>
          <w:color w:val="auto"/>
          <w:sz w:val="21"/>
          <w:highlight w:val="none"/>
        </w:rPr>
      </w:pPr>
    </w:p>
    <w:p>
      <w:pPr>
        <w:keepNext w:val="0"/>
        <w:keepLines w:val="0"/>
        <w:pageBreakBefore w:val="0"/>
        <w:kinsoku w:val="0"/>
        <w:wordWrap/>
        <w:overflowPunct/>
        <w:topLinePunct w:val="0"/>
        <w:autoSpaceDE w:val="0"/>
        <w:autoSpaceDN w:val="0"/>
        <w:bidi w:val="0"/>
        <w:adjustRightInd w:val="0"/>
        <w:snapToGrid w:val="0"/>
        <w:spacing w:line="360" w:lineRule="auto"/>
        <w:ind w:firstLine="481"/>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16"/>
          <w:sz w:val="21"/>
          <w:szCs w:val="21"/>
          <w:highlight w:val="none"/>
        </w:rPr>
        <w:t>按</w:t>
      </w:r>
      <w:r>
        <w:rPr>
          <w:rFonts w:hint="eastAsia" w:ascii="宋体" w:hAnsi="宋体" w:eastAsia="宋体" w:cs="宋体"/>
          <w:color w:val="auto"/>
          <w:spacing w:val="-11"/>
          <w:sz w:val="21"/>
          <w:szCs w:val="21"/>
          <w:highlight w:val="none"/>
        </w:rPr>
        <w:t>照</w:t>
      </w:r>
      <w:r>
        <w:rPr>
          <w:rFonts w:hint="eastAsia" w:ascii="宋体" w:hAnsi="宋体" w:eastAsia="宋体" w:cs="宋体"/>
          <w:color w:val="auto"/>
          <w:spacing w:val="-8"/>
          <w:sz w:val="21"/>
          <w:szCs w:val="21"/>
          <w:highlight w:val="none"/>
        </w:rPr>
        <w:t>浙江省地方标准《交通建设工程工程量清单计价规范 第 1 部分：公路工程》(DB</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6"/>
          <w:sz w:val="21"/>
          <w:szCs w:val="21"/>
          <w:highlight w:val="none"/>
        </w:rPr>
        <w:t>33/</w:t>
      </w:r>
      <w:r>
        <w:rPr>
          <w:rFonts w:hint="eastAsia" w:ascii="宋体" w:hAnsi="宋体" w:eastAsia="宋体" w:cs="宋体"/>
          <w:color w:val="auto"/>
          <w:spacing w:val="-3"/>
          <w:sz w:val="21"/>
          <w:szCs w:val="21"/>
          <w:highlight w:val="none"/>
        </w:rPr>
        <w:t>T</w:t>
      </w:r>
      <w:r>
        <w:rPr>
          <w:rFonts w:hint="eastAsia" w:ascii="宋体" w:hAnsi="宋体" w:eastAsia="宋体" w:cs="宋体"/>
          <w:color w:val="auto"/>
          <w:spacing w:val="-4"/>
          <w:sz w:val="21"/>
          <w:szCs w:val="21"/>
          <w:highlight w:val="none"/>
        </w:rPr>
        <w:t>6</w:t>
      </w:r>
      <w:r>
        <w:rPr>
          <w:rFonts w:hint="eastAsia" w:ascii="宋体" w:hAnsi="宋体" w:eastAsia="宋体" w:cs="宋体"/>
          <w:color w:val="auto"/>
          <w:spacing w:val="-3"/>
          <w:sz w:val="21"/>
          <w:szCs w:val="21"/>
          <w:highlight w:val="none"/>
        </w:rPr>
        <w:t>28. 1—2021) 编制。</w:t>
      </w:r>
    </w:p>
    <w:p>
      <w:pPr>
        <w:pStyle w:val="2"/>
        <w:keepNext w:val="0"/>
        <w:keepLines w:val="0"/>
        <w:pageBreakBefore w:val="0"/>
        <w:kinsoku w:val="0"/>
        <w:wordWrap/>
        <w:overflowPunct/>
        <w:topLinePunct w:val="0"/>
        <w:autoSpaceDE w:val="0"/>
        <w:autoSpaceDN w:val="0"/>
        <w:bidi w:val="0"/>
        <w:adjustRightInd w:val="0"/>
        <w:snapToGrid w:val="0"/>
        <w:spacing w:before="0" w:after="0" w:afterLines="0" w:line="360" w:lineRule="auto"/>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 w:val="21"/>
          <w:szCs w:val="21"/>
          <w:highlight w:val="none"/>
        </w:rPr>
        <w:t>审核说明</w:t>
      </w:r>
    </w:p>
    <w:p>
      <w:pPr>
        <w:pStyle w:val="2"/>
        <w:keepNext w:val="0"/>
        <w:keepLines w:val="0"/>
        <w:pageBreakBefore w:val="0"/>
        <w:kinsoku w:val="0"/>
        <w:wordWrap/>
        <w:overflowPunct/>
        <w:topLinePunct w:val="0"/>
        <w:autoSpaceDE w:val="0"/>
        <w:autoSpaceDN w:val="0"/>
        <w:bidi w:val="0"/>
        <w:adjustRightInd w:val="0"/>
        <w:snapToGrid w:val="0"/>
        <w:spacing w:before="0" w:after="0" w:afterLines="0" w:line="360" w:lineRule="auto"/>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根据现行有关工程量计算规则。根据业主提供的设计施工图和其他设计补充资料计算工程量，施工时按实调整。</w:t>
      </w:r>
    </w:p>
    <w:p>
      <w:pPr>
        <w:pStyle w:val="2"/>
        <w:keepNext w:val="0"/>
        <w:keepLines w:val="0"/>
        <w:pageBreakBefore w:val="0"/>
        <w:kinsoku w:val="0"/>
        <w:wordWrap/>
        <w:overflowPunct/>
        <w:topLinePunct w:val="0"/>
        <w:autoSpaceDE w:val="0"/>
        <w:autoSpaceDN w:val="0"/>
        <w:bidi w:val="0"/>
        <w:adjustRightInd w:val="0"/>
        <w:snapToGrid w:val="0"/>
        <w:spacing w:before="0" w:after="0" w:afterLines="0" w:line="360" w:lineRule="auto"/>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（二）定额及取费: </w:t>
      </w:r>
    </w:p>
    <w:p>
      <w:pPr>
        <w:pStyle w:val="2"/>
        <w:keepNext w:val="0"/>
        <w:keepLines w:val="0"/>
        <w:pageBreakBefore w:val="0"/>
        <w:widowControl w:val="0"/>
        <w:kinsoku w:val="0"/>
        <w:wordWrap/>
        <w:overflowPunct/>
        <w:topLinePunct w:val="0"/>
        <w:autoSpaceDE w:val="0"/>
        <w:autoSpaceDN w:val="0"/>
        <w:bidi w:val="0"/>
        <w:adjustRightInd w:val="0"/>
        <w:snapToGrid w:val="0"/>
        <w:spacing w:before="0" w:after="0" w:afterLines="0" w:line="360" w:lineRule="auto"/>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1、根据浙江省交通厅[2005]224号文公布的《浙江省公路养护工程预算定额》及《浙江省公路养护工程预算编制办法》。</w:t>
      </w:r>
    </w:p>
    <w:p>
      <w:pPr>
        <w:pStyle w:val="2"/>
        <w:keepNext w:val="0"/>
        <w:keepLines w:val="0"/>
        <w:pageBreakBefore w:val="0"/>
        <w:widowControl w:val="0"/>
        <w:kinsoku w:val="0"/>
        <w:wordWrap/>
        <w:overflowPunct/>
        <w:topLinePunct w:val="0"/>
        <w:autoSpaceDE w:val="0"/>
        <w:autoSpaceDN w:val="0"/>
        <w:bidi w:val="0"/>
        <w:adjustRightInd w:val="0"/>
        <w:snapToGrid w:val="0"/>
        <w:spacing w:before="0" w:after="0" w:afterLines="0" w:line="360" w:lineRule="auto"/>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2、《公路工程预算定额》（JTG-T3832-2018）、《公路工程机械台班费用定额》（JTG-T3833-2018）以及补充定额。</w:t>
      </w:r>
    </w:p>
    <w:p>
      <w:pPr>
        <w:pStyle w:val="2"/>
        <w:keepNext w:val="0"/>
        <w:keepLines w:val="0"/>
        <w:pageBreakBefore w:val="0"/>
        <w:widowControl w:val="0"/>
        <w:kinsoku w:val="0"/>
        <w:wordWrap/>
        <w:overflowPunct/>
        <w:topLinePunct w:val="0"/>
        <w:autoSpaceDE w:val="0"/>
        <w:autoSpaceDN w:val="0"/>
        <w:bidi w:val="0"/>
        <w:adjustRightInd w:val="0"/>
        <w:snapToGrid w:val="0"/>
        <w:spacing w:before="0" w:after="0" w:afterLines="0" w:line="360" w:lineRule="auto"/>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3、浙江省交通厅浙交［2008］85号《浙江省公路工程概预算编制补充规定》。</w:t>
      </w:r>
    </w:p>
    <w:p>
      <w:pPr>
        <w:pStyle w:val="2"/>
        <w:keepNext w:val="0"/>
        <w:keepLines w:val="0"/>
        <w:pageBreakBefore w:val="0"/>
        <w:widowControl w:val="0"/>
        <w:kinsoku w:val="0"/>
        <w:wordWrap/>
        <w:overflowPunct/>
        <w:topLinePunct w:val="0"/>
        <w:autoSpaceDE w:val="0"/>
        <w:autoSpaceDN w:val="0"/>
        <w:bidi w:val="0"/>
        <w:adjustRightInd w:val="0"/>
        <w:snapToGrid w:val="0"/>
        <w:spacing w:before="0" w:after="0" w:afterLines="0" w:line="360" w:lineRule="auto"/>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4、浙交[2020]104号关于印发《关于进一步加强全省交通建设工程安全生产管理工作的若干规定》的通知；</w:t>
      </w:r>
    </w:p>
    <w:p>
      <w:pPr>
        <w:pStyle w:val="2"/>
        <w:keepNext w:val="0"/>
        <w:keepLines w:val="0"/>
        <w:pageBreakBefore w:val="0"/>
        <w:widowControl w:val="0"/>
        <w:kinsoku w:val="0"/>
        <w:wordWrap/>
        <w:overflowPunct/>
        <w:topLinePunct w:val="0"/>
        <w:autoSpaceDE w:val="0"/>
        <w:autoSpaceDN w:val="0"/>
        <w:bidi w:val="0"/>
        <w:adjustRightInd w:val="0"/>
        <w:snapToGrid w:val="0"/>
        <w:spacing w:before="0" w:after="0" w:afterLines="0" w:line="360" w:lineRule="auto"/>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5、《关于进一步规范公路水运工程初步设计概算和施工招投标控制价管理工作的通知》（浙交[2012]259号）。</w:t>
      </w:r>
    </w:p>
    <w:p>
      <w:pPr>
        <w:pStyle w:val="2"/>
        <w:keepNext w:val="0"/>
        <w:keepLines w:val="0"/>
        <w:pageBreakBefore w:val="0"/>
        <w:widowControl w:val="0"/>
        <w:kinsoku w:val="0"/>
        <w:wordWrap/>
        <w:overflowPunct/>
        <w:topLinePunct w:val="0"/>
        <w:autoSpaceDE w:val="0"/>
        <w:autoSpaceDN w:val="0"/>
        <w:bidi w:val="0"/>
        <w:adjustRightInd w:val="0"/>
        <w:snapToGrid w:val="0"/>
        <w:spacing w:before="0" w:after="0" w:afterLines="0" w:line="360" w:lineRule="auto"/>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6、浙江省交通运输厅浙交[2012]88号文件发布的《关于调整我省公路工程概预算编制人工费单价的通知》。</w:t>
      </w:r>
    </w:p>
    <w:p>
      <w:pPr>
        <w:pStyle w:val="2"/>
        <w:keepNext w:val="0"/>
        <w:keepLines w:val="0"/>
        <w:pageBreakBefore w:val="0"/>
        <w:widowControl w:val="0"/>
        <w:kinsoku w:val="0"/>
        <w:wordWrap/>
        <w:overflowPunct/>
        <w:topLinePunct w:val="0"/>
        <w:autoSpaceDE w:val="0"/>
        <w:autoSpaceDN w:val="0"/>
        <w:bidi w:val="0"/>
        <w:adjustRightInd w:val="0"/>
        <w:snapToGrid w:val="0"/>
        <w:spacing w:before="0" w:after="0" w:afterLines="0" w:line="360" w:lineRule="auto"/>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7、浙江交造价[2014]2号关于进一步规范交通建设工程量清单预算第100章总则部分费用计列内容和标准的指导意见。</w:t>
      </w:r>
    </w:p>
    <w:p>
      <w:pPr>
        <w:pStyle w:val="2"/>
        <w:keepNext w:val="0"/>
        <w:keepLines w:val="0"/>
        <w:pageBreakBefore w:val="0"/>
        <w:widowControl w:val="0"/>
        <w:kinsoku w:val="0"/>
        <w:wordWrap/>
        <w:overflowPunct/>
        <w:topLinePunct w:val="0"/>
        <w:autoSpaceDE w:val="0"/>
        <w:autoSpaceDN w:val="0"/>
        <w:bidi w:val="0"/>
        <w:adjustRightInd w:val="0"/>
        <w:snapToGrid w:val="0"/>
        <w:spacing w:before="0" w:after="0" w:afterLines="0" w:line="360" w:lineRule="auto"/>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8、《关于调整《公路工程建设项目投资估算编制办法》(JTG 3820-2018)和《公路工程建设项目概算预算编制办法》(JTG 3830-2018)中“税金”有关规定的公告》（交通运输部公告2019年第26号）。</w:t>
      </w:r>
    </w:p>
    <w:p>
      <w:pPr>
        <w:pStyle w:val="2"/>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二、主要预算单价：</w:t>
      </w:r>
    </w:p>
    <w:p>
      <w:pPr>
        <w:pStyle w:val="2"/>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1、公路工程人工费采用127.66元/工日（含机械人工）计取。</w:t>
      </w:r>
    </w:p>
    <w:p>
      <w:pPr>
        <w:pStyle w:val="2"/>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2、材料价格参照浙江省交通厅工程定额站发布的2023年第4期及同期《绍兴市建设工程造价管理信息》（除税价）。</w:t>
      </w:r>
    </w:p>
    <w:p>
      <w:pPr>
        <w:pStyle w:val="2"/>
        <w:keepNext w:val="0"/>
        <w:keepLines w:val="0"/>
        <w:pageBreakBefore w:val="0"/>
        <w:widowControl w:val="0"/>
        <w:kinsoku w:val="0"/>
        <w:wordWrap/>
        <w:overflowPunct/>
        <w:topLinePunct w:val="0"/>
        <w:autoSpaceDE w:val="0"/>
        <w:autoSpaceDN w:val="0"/>
        <w:bidi w:val="0"/>
        <w:adjustRightInd w:val="0"/>
        <w:snapToGrid w:val="0"/>
        <w:spacing w:after="0" w:line="360" w:lineRule="auto"/>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机械台班费按《浙江省公路养护工程机械台班费用定额》计列。机械台班费用中的养路费和车船使用税按《浙江省公路养路费征收管理办法》执行</w:t>
      </w:r>
      <w:r>
        <w:rPr>
          <w:rFonts w:hint="eastAsia" w:ascii="宋体" w:hAnsi="宋体" w:cs="宋体"/>
          <w:color w:val="auto"/>
          <w:sz w:val="21"/>
          <w:szCs w:val="21"/>
          <w:highlight w:val="none"/>
          <w:lang w:val="en-US" w:eastAsia="zh-CN"/>
        </w:rPr>
        <w:t>。</w:t>
      </w:r>
    </w:p>
    <w:p>
      <w:pPr>
        <w:pStyle w:val="2"/>
        <w:keepNext w:val="0"/>
        <w:keepLines w:val="0"/>
        <w:pageBreakBefore w:val="0"/>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三、编制中需要说明的问题：</w:t>
      </w:r>
    </w:p>
    <w:p>
      <w:pPr>
        <w:pStyle w:val="2"/>
        <w:keepNext w:val="0"/>
        <w:keepLines w:val="0"/>
        <w:pageBreakBefore w:val="0"/>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1、工程一切险的投保金额为工程量清单第100章（不含工程一切险及安全生产责任保险费、安全生产费用）至第700章的合计金额, 保险费率为3‰计；安全生产责任保险（已包含第三者责任险）为工程量清单第100章（不含工程一切险及安全生产责任保险费、安全生产费用）至第700章的合计金额，保险费率为2.5‰计；安全生产费用为工程量清单第100章（不含工程一切险及安全生产责任保险费、安全生产费）至第700章的合计金额为2%计取。</w:t>
      </w:r>
    </w:p>
    <w:p>
      <w:pPr>
        <w:pStyle w:val="2"/>
        <w:keepNext w:val="0"/>
        <w:keepLines w:val="0"/>
        <w:pageBreakBefore w:val="0"/>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2、本工程预备费按总造价的5%计取。</w:t>
      </w:r>
    </w:p>
    <w:p>
      <w:pPr>
        <w:pStyle w:val="2"/>
        <w:keepNext w:val="0"/>
        <w:keepLines w:val="0"/>
        <w:pageBreakBefore w:val="0"/>
        <w:widowControl w:val="0"/>
        <w:kinsoku/>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本工程范围内的土石方余方根据嵊州市人民政府办公室印发《嵊州市关于进一步加强普通建筑用砂石土类矿产资源管理的工作意见》的通知（嵊政办【2020】83号）执行，涉及土石方余方运输、处置相关费用已包含在投标报价中，发包人不另行支付。超出预算运距的费用，由承包人与属地乡镇自行协商解决。</w:t>
      </w:r>
    </w:p>
    <w:p>
      <w:pPr>
        <w:pStyle w:val="2"/>
        <w:rPr>
          <w:rFonts w:hint="eastAsia"/>
          <w:color w:val="auto"/>
          <w:highlight w:val="none"/>
        </w:rPr>
      </w:pPr>
    </w:p>
    <w:p>
      <w:pPr>
        <w:spacing w:line="307" w:lineRule="auto"/>
        <w:rPr>
          <w:rFonts w:ascii="Arial"/>
          <w:color w:val="auto"/>
          <w:sz w:val="21"/>
          <w:highlight w:val="none"/>
        </w:rPr>
      </w:pPr>
    </w:p>
    <w:p>
      <w:pPr>
        <w:jc w:val="center"/>
        <w:rPr>
          <w:rFonts w:hint="eastAsia" w:eastAsia="宋体"/>
          <w:b/>
          <w:bCs/>
          <w:color w:val="auto"/>
          <w:sz w:val="36"/>
          <w:szCs w:val="36"/>
          <w:highlight w:val="none"/>
          <w:lang w:val="en-US" w:eastAsia="zh-CN"/>
        </w:rPr>
      </w:pPr>
    </w:p>
    <w:p>
      <w:pPr>
        <w:jc w:val="center"/>
        <w:rPr>
          <w:rFonts w:hint="eastAsia" w:eastAsia="宋体"/>
          <w:b/>
          <w:bCs/>
          <w:color w:val="auto"/>
          <w:sz w:val="36"/>
          <w:szCs w:val="36"/>
          <w:highlight w:val="none"/>
          <w:lang w:val="en-US" w:eastAsia="zh-CN"/>
        </w:rPr>
      </w:pPr>
    </w:p>
    <w:p>
      <w:pPr>
        <w:jc w:val="center"/>
        <w:rPr>
          <w:rFonts w:hint="eastAsia" w:eastAsia="宋体"/>
          <w:b/>
          <w:bCs/>
          <w:color w:val="auto"/>
          <w:sz w:val="36"/>
          <w:szCs w:val="36"/>
          <w:highlight w:val="none"/>
          <w:lang w:val="en-US" w:eastAsia="zh-CN"/>
        </w:rPr>
      </w:pPr>
    </w:p>
    <w:p>
      <w:pPr>
        <w:jc w:val="center"/>
        <w:rPr>
          <w:rFonts w:hint="eastAsia" w:eastAsia="宋体"/>
          <w:b/>
          <w:bCs/>
          <w:color w:val="auto"/>
          <w:sz w:val="36"/>
          <w:szCs w:val="36"/>
          <w:highlight w:val="none"/>
          <w:lang w:val="en-US" w:eastAsia="zh-CN"/>
        </w:rPr>
      </w:pPr>
    </w:p>
    <w:p>
      <w:pPr>
        <w:jc w:val="center"/>
        <w:rPr>
          <w:rFonts w:hint="eastAsia" w:eastAsia="宋体"/>
          <w:b/>
          <w:bCs/>
          <w:color w:val="auto"/>
          <w:sz w:val="36"/>
          <w:szCs w:val="36"/>
          <w:highlight w:val="none"/>
          <w:lang w:val="en-US" w:eastAsia="zh-CN"/>
        </w:rPr>
      </w:pPr>
    </w:p>
    <w:p>
      <w:pPr>
        <w:jc w:val="center"/>
        <w:rPr>
          <w:rFonts w:hint="eastAsia" w:eastAsia="宋体"/>
          <w:b/>
          <w:bCs/>
          <w:color w:val="auto"/>
          <w:sz w:val="36"/>
          <w:szCs w:val="36"/>
          <w:highlight w:val="none"/>
          <w:lang w:val="en-US" w:eastAsia="zh-CN"/>
        </w:rPr>
      </w:pPr>
    </w:p>
    <w:p>
      <w:pPr>
        <w:jc w:val="center"/>
        <w:rPr>
          <w:rFonts w:hint="eastAsia" w:eastAsia="宋体"/>
          <w:b/>
          <w:bCs/>
          <w:color w:val="auto"/>
          <w:sz w:val="36"/>
          <w:szCs w:val="36"/>
          <w:highlight w:val="none"/>
          <w:lang w:val="en-US" w:eastAsia="zh-CN"/>
        </w:rPr>
      </w:pPr>
    </w:p>
    <w:p>
      <w:pPr>
        <w:jc w:val="center"/>
        <w:rPr>
          <w:rFonts w:hint="eastAsia" w:eastAsia="宋体"/>
          <w:b/>
          <w:bCs/>
          <w:color w:val="auto"/>
          <w:sz w:val="36"/>
          <w:szCs w:val="36"/>
          <w:highlight w:val="none"/>
          <w:lang w:val="en-US" w:eastAsia="zh-CN"/>
        </w:rPr>
      </w:pPr>
    </w:p>
    <w:p>
      <w:pPr>
        <w:jc w:val="center"/>
        <w:rPr>
          <w:rFonts w:hint="eastAsia" w:eastAsia="宋体"/>
          <w:b/>
          <w:bCs/>
          <w:color w:val="auto"/>
          <w:sz w:val="36"/>
          <w:szCs w:val="36"/>
          <w:highlight w:val="none"/>
          <w:lang w:val="en-US" w:eastAsia="zh-CN"/>
        </w:rPr>
      </w:pPr>
    </w:p>
    <w:p>
      <w:pPr>
        <w:jc w:val="center"/>
        <w:rPr>
          <w:rFonts w:hint="eastAsia" w:eastAsia="宋体"/>
          <w:b/>
          <w:bCs/>
          <w:color w:val="auto"/>
          <w:sz w:val="36"/>
          <w:szCs w:val="36"/>
          <w:highlight w:val="none"/>
          <w:lang w:val="en-US" w:eastAsia="zh-CN"/>
        </w:rPr>
      </w:pPr>
    </w:p>
    <w:p>
      <w:pPr>
        <w:jc w:val="center"/>
        <w:rPr>
          <w:rFonts w:hint="eastAsia" w:eastAsia="宋体"/>
          <w:b/>
          <w:bCs/>
          <w:color w:val="auto"/>
          <w:sz w:val="36"/>
          <w:szCs w:val="36"/>
          <w:highlight w:val="none"/>
          <w:lang w:val="en-US" w:eastAsia="zh-CN"/>
        </w:rPr>
      </w:pPr>
    </w:p>
    <w:p>
      <w:pPr>
        <w:jc w:val="center"/>
        <w:rPr>
          <w:rFonts w:hint="eastAsia" w:eastAsia="宋体"/>
          <w:b/>
          <w:bCs/>
          <w:color w:val="auto"/>
          <w:sz w:val="36"/>
          <w:szCs w:val="36"/>
          <w:highlight w:val="none"/>
          <w:lang w:val="en-US" w:eastAsia="zh-CN"/>
        </w:rPr>
      </w:pPr>
    </w:p>
    <w:p>
      <w:pPr>
        <w:jc w:val="center"/>
        <w:rPr>
          <w:rFonts w:hint="eastAsia" w:eastAsia="宋体"/>
          <w:b/>
          <w:bCs/>
          <w:color w:val="auto"/>
          <w:sz w:val="36"/>
          <w:szCs w:val="36"/>
          <w:highlight w:val="none"/>
          <w:lang w:val="en-US" w:eastAsia="zh-CN"/>
        </w:rPr>
      </w:pPr>
    </w:p>
    <w:p>
      <w:pPr>
        <w:jc w:val="center"/>
        <w:rPr>
          <w:rFonts w:hint="eastAsia" w:eastAsia="宋体"/>
          <w:b/>
          <w:bCs/>
          <w:color w:val="auto"/>
          <w:sz w:val="36"/>
          <w:szCs w:val="36"/>
          <w:highlight w:val="none"/>
          <w:lang w:val="en-US" w:eastAsia="zh-CN"/>
        </w:rPr>
      </w:pPr>
    </w:p>
    <w:p>
      <w:pPr>
        <w:jc w:val="center"/>
        <w:rPr>
          <w:rFonts w:hint="eastAsia" w:eastAsia="宋体"/>
          <w:b/>
          <w:bCs/>
          <w:color w:val="auto"/>
          <w:sz w:val="36"/>
          <w:szCs w:val="36"/>
          <w:highlight w:val="none"/>
          <w:lang w:val="en-US" w:eastAsia="zh-CN"/>
        </w:rPr>
      </w:pPr>
    </w:p>
    <w:p>
      <w:pPr>
        <w:pStyle w:val="2"/>
        <w:rPr>
          <w:rFonts w:hint="eastAsia" w:eastAsia="宋体"/>
          <w:b/>
          <w:bCs/>
          <w:color w:val="auto"/>
          <w:sz w:val="36"/>
          <w:szCs w:val="36"/>
          <w:highlight w:val="none"/>
          <w:lang w:val="en-US" w:eastAsia="zh-CN"/>
        </w:rPr>
      </w:pPr>
    </w:p>
    <w:p>
      <w:pPr>
        <w:pStyle w:val="2"/>
        <w:rPr>
          <w:rFonts w:hint="eastAsia" w:eastAsia="宋体"/>
          <w:b/>
          <w:bCs/>
          <w:color w:val="auto"/>
          <w:sz w:val="36"/>
          <w:szCs w:val="36"/>
          <w:highlight w:val="none"/>
          <w:lang w:val="en-US" w:eastAsia="zh-CN"/>
        </w:rPr>
      </w:pPr>
    </w:p>
    <w:p>
      <w:pPr>
        <w:pStyle w:val="2"/>
        <w:rPr>
          <w:rFonts w:hint="eastAsia" w:eastAsia="宋体"/>
          <w:b/>
          <w:bCs/>
          <w:color w:val="auto"/>
          <w:sz w:val="36"/>
          <w:szCs w:val="36"/>
          <w:highlight w:val="none"/>
          <w:lang w:val="en-US" w:eastAsia="zh-CN"/>
        </w:rPr>
      </w:pPr>
    </w:p>
    <w:p>
      <w:pPr>
        <w:pStyle w:val="2"/>
        <w:rPr>
          <w:rFonts w:hint="eastAsia" w:eastAsia="宋体"/>
          <w:b/>
          <w:bCs/>
          <w:color w:val="auto"/>
          <w:sz w:val="36"/>
          <w:szCs w:val="36"/>
          <w:highlight w:val="none"/>
          <w:lang w:val="en-US" w:eastAsia="zh-CN"/>
        </w:rPr>
      </w:pPr>
    </w:p>
    <w:p>
      <w:pPr>
        <w:jc w:val="center"/>
        <w:rPr>
          <w:rFonts w:hint="eastAsia" w:eastAsia="宋体"/>
          <w:b/>
          <w:bCs/>
          <w:color w:val="auto"/>
          <w:sz w:val="36"/>
          <w:szCs w:val="36"/>
          <w:highlight w:val="none"/>
          <w:lang w:val="en-US" w:eastAsia="zh-CN"/>
        </w:rPr>
      </w:pPr>
    </w:p>
    <w:p>
      <w:pPr>
        <w:jc w:val="center"/>
        <w:rPr>
          <w:rFonts w:hint="eastAsia" w:eastAsia="宋体"/>
          <w:b/>
          <w:bCs/>
          <w:color w:val="auto"/>
          <w:sz w:val="36"/>
          <w:szCs w:val="36"/>
          <w:highlight w:val="none"/>
          <w:lang w:val="en-US" w:eastAsia="zh-CN"/>
        </w:rPr>
      </w:pPr>
    </w:p>
    <w:p>
      <w:pPr>
        <w:jc w:val="center"/>
        <w:rPr>
          <w:rFonts w:hint="eastAsia" w:eastAsia="宋体"/>
          <w:b/>
          <w:bCs/>
          <w:color w:val="auto"/>
          <w:sz w:val="36"/>
          <w:szCs w:val="36"/>
          <w:highlight w:val="none"/>
          <w:lang w:val="en-US" w:eastAsia="zh-CN"/>
        </w:rPr>
      </w:pPr>
    </w:p>
    <w:p>
      <w:pPr>
        <w:spacing w:line="241" w:lineRule="auto"/>
        <w:rPr>
          <w:rFonts w:ascii="Arial"/>
          <w:color w:val="auto"/>
          <w:sz w:val="21"/>
          <w:highlight w:val="none"/>
        </w:rPr>
      </w:pPr>
    </w:p>
    <w:p>
      <w:pPr>
        <w:spacing w:line="241" w:lineRule="auto"/>
        <w:rPr>
          <w:rFonts w:ascii="Arial"/>
          <w:color w:val="auto"/>
          <w:sz w:val="21"/>
          <w:highlight w:val="none"/>
        </w:rPr>
      </w:pPr>
    </w:p>
    <w:tbl>
      <w:tblPr>
        <w:tblStyle w:val="18"/>
        <w:tblW w:w="892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7"/>
        <w:gridCol w:w="924"/>
        <w:gridCol w:w="3194"/>
        <w:gridCol w:w="2771"/>
        <w:gridCol w:w="12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20" w:type="dxa"/>
            <w:gridSpan w:val="5"/>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snapToGrid w:val="0"/>
                <w:color w:val="auto"/>
                <w:kern w:val="0"/>
                <w:sz w:val="36"/>
                <w:szCs w:val="36"/>
                <w:highlight w:val="none"/>
                <w:u w:val="none"/>
                <w:lang w:val="en-US" w:eastAsia="zh-CN" w:bidi="ar"/>
              </w:rPr>
              <w:t>投标报价汇总表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55" w:type="dxa"/>
            <w:gridSpan w:val="3"/>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合同段：嵊州市三溪水库配套工程（上竹线楼家-三溪段道路改建工程）</w:t>
            </w:r>
          </w:p>
        </w:tc>
        <w:tc>
          <w:tcPr>
            <w:tcW w:w="2771" w:type="dxa"/>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294" w:type="dxa"/>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标表1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rPr>
        <w:tc>
          <w:tcPr>
            <w:tcW w:w="737"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92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19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277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29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37" w:type="dxa"/>
            <w:tcBorders>
              <w:top w:val="single" w:color="000000" w:sz="8" w:space="0"/>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序号</w:t>
            </w:r>
          </w:p>
        </w:tc>
        <w:tc>
          <w:tcPr>
            <w:tcW w:w="924" w:type="dxa"/>
            <w:tcBorders>
              <w:top w:val="single" w:color="000000" w:sz="8" w:space="0"/>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章次</w:t>
            </w:r>
          </w:p>
        </w:tc>
        <w:tc>
          <w:tcPr>
            <w:tcW w:w="5965" w:type="dxa"/>
            <w:gridSpan w:val="2"/>
            <w:tcBorders>
              <w:top w:val="single" w:color="000000" w:sz="8" w:space="0"/>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科目名称</w:t>
            </w:r>
          </w:p>
        </w:tc>
        <w:tc>
          <w:tcPr>
            <w:tcW w:w="1294" w:type="dxa"/>
            <w:tcBorders>
              <w:top w:val="single" w:color="000000" w:sz="8" w:space="0"/>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37"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w:t>
            </w:r>
          </w:p>
        </w:tc>
        <w:tc>
          <w:tcPr>
            <w:tcW w:w="92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100</w:t>
            </w:r>
          </w:p>
        </w:tc>
        <w:tc>
          <w:tcPr>
            <w:tcW w:w="5965" w:type="dxa"/>
            <w:gridSpan w:val="2"/>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 总则</w:t>
            </w:r>
          </w:p>
        </w:tc>
        <w:tc>
          <w:tcPr>
            <w:tcW w:w="1294" w:type="dxa"/>
            <w:tcBorders>
              <w:top w:val="nil"/>
              <w:left w:val="nil"/>
              <w:bottom w:val="single" w:color="000000" w:sz="4" w:space="0"/>
              <w:right w:val="single" w:color="000000" w:sz="8" w:space="0"/>
            </w:tcBorders>
            <w:shd w:val="clear" w:color="auto" w:fill="FFFFFF"/>
            <w:vAlign w:val="center"/>
          </w:tcPr>
          <w:p>
            <w:pPr>
              <w:jc w:val="right"/>
              <w:rPr>
                <w:rFonts w:hint="eastAsia"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37"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w:t>
            </w:r>
          </w:p>
        </w:tc>
        <w:tc>
          <w:tcPr>
            <w:tcW w:w="92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200</w:t>
            </w:r>
          </w:p>
        </w:tc>
        <w:tc>
          <w:tcPr>
            <w:tcW w:w="5965" w:type="dxa"/>
            <w:gridSpan w:val="2"/>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 路基工程</w:t>
            </w:r>
          </w:p>
        </w:tc>
        <w:tc>
          <w:tcPr>
            <w:tcW w:w="129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7"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w:t>
            </w:r>
          </w:p>
        </w:tc>
        <w:tc>
          <w:tcPr>
            <w:tcW w:w="92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300</w:t>
            </w:r>
          </w:p>
        </w:tc>
        <w:tc>
          <w:tcPr>
            <w:tcW w:w="5965" w:type="dxa"/>
            <w:gridSpan w:val="2"/>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 路面工程 </w:t>
            </w:r>
          </w:p>
        </w:tc>
        <w:tc>
          <w:tcPr>
            <w:tcW w:w="129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7"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w:t>
            </w:r>
          </w:p>
        </w:tc>
        <w:tc>
          <w:tcPr>
            <w:tcW w:w="92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400</w:t>
            </w:r>
          </w:p>
        </w:tc>
        <w:tc>
          <w:tcPr>
            <w:tcW w:w="5965" w:type="dxa"/>
            <w:gridSpan w:val="2"/>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 桥梁、涵洞工程</w:t>
            </w:r>
          </w:p>
        </w:tc>
        <w:tc>
          <w:tcPr>
            <w:tcW w:w="129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7"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5</w:t>
            </w:r>
          </w:p>
        </w:tc>
        <w:tc>
          <w:tcPr>
            <w:tcW w:w="92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600</w:t>
            </w:r>
          </w:p>
        </w:tc>
        <w:tc>
          <w:tcPr>
            <w:tcW w:w="5965" w:type="dxa"/>
            <w:gridSpan w:val="2"/>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 交通安全设施 </w:t>
            </w:r>
          </w:p>
        </w:tc>
        <w:tc>
          <w:tcPr>
            <w:tcW w:w="129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7"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w:t>
            </w:r>
          </w:p>
        </w:tc>
        <w:tc>
          <w:tcPr>
            <w:tcW w:w="92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700</w:t>
            </w:r>
          </w:p>
        </w:tc>
        <w:tc>
          <w:tcPr>
            <w:tcW w:w="5965" w:type="dxa"/>
            <w:gridSpan w:val="2"/>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 绿化及环境保护工程 </w:t>
            </w:r>
          </w:p>
        </w:tc>
        <w:tc>
          <w:tcPr>
            <w:tcW w:w="129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7"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7</w:t>
            </w:r>
          </w:p>
        </w:tc>
        <w:tc>
          <w:tcPr>
            <w:tcW w:w="6889"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第100章至第900章清单合计 </w:t>
            </w:r>
          </w:p>
        </w:tc>
        <w:tc>
          <w:tcPr>
            <w:tcW w:w="129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7"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8</w:t>
            </w:r>
          </w:p>
        </w:tc>
        <w:tc>
          <w:tcPr>
            <w:tcW w:w="6889"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已包含在清单合计中的材料、工程设备、专业工程暂估价合计</w:t>
            </w:r>
          </w:p>
        </w:tc>
        <w:tc>
          <w:tcPr>
            <w:tcW w:w="1294" w:type="dxa"/>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7"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9</w:t>
            </w:r>
          </w:p>
        </w:tc>
        <w:tc>
          <w:tcPr>
            <w:tcW w:w="6889"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清单合计减去材料、工程设备、专业工程暂估价合计</w:t>
            </w:r>
          </w:p>
        </w:tc>
        <w:tc>
          <w:tcPr>
            <w:tcW w:w="129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7"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10</w:t>
            </w:r>
          </w:p>
        </w:tc>
        <w:tc>
          <w:tcPr>
            <w:tcW w:w="6889"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计日工合计</w:t>
            </w:r>
          </w:p>
        </w:tc>
        <w:tc>
          <w:tcPr>
            <w:tcW w:w="129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7"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11</w:t>
            </w:r>
          </w:p>
        </w:tc>
        <w:tc>
          <w:tcPr>
            <w:tcW w:w="6889"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暂列金额(不含计日工总额)</w:t>
            </w:r>
          </w:p>
        </w:tc>
        <w:tc>
          <w:tcPr>
            <w:tcW w:w="1294" w:type="dxa"/>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8360024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7"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12</w:t>
            </w:r>
          </w:p>
        </w:tc>
        <w:tc>
          <w:tcPr>
            <w:tcW w:w="6889" w:type="dxa"/>
            <w:gridSpan w:val="3"/>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投标报价</w:t>
            </w:r>
          </w:p>
        </w:tc>
        <w:tc>
          <w:tcPr>
            <w:tcW w:w="129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737" w:type="dxa"/>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6889" w:type="dxa"/>
            <w:gridSpan w:val="3"/>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29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626" w:type="dxa"/>
            <w:gridSpan w:val="4"/>
            <w:tcBorders>
              <w:top w:val="single" w:color="000000" w:sz="8" w:space="0"/>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1 页</w:t>
            </w:r>
          </w:p>
        </w:tc>
        <w:tc>
          <w:tcPr>
            <w:tcW w:w="1294" w:type="dxa"/>
            <w:tcBorders>
              <w:top w:val="single" w:color="000000" w:sz="8" w:space="0"/>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共 1 页</w:t>
            </w:r>
          </w:p>
        </w:tc>
      </w:tr>
    </w:tbl>
    <w:p>
      <w:pPr>
        <w:keepNext w:val="0"/>
        <w:keepLines w:val="0"/>
        <w:widowControl/>
        <w:suppressLineNumbers w:val="0"/>
        <w:jc w:val="center"/>
        <w:textAlignment w:val="top"/>
        <w:rPr>
          <w:rFonts w:hint="eastAsia" w:ascii="宋体" w:hAnsi="宋体" w:eastAsia="宋体" w:cs="宋体"/>
          <w:b/>
          <w:bCs/>
          <w:i w:val="0"/>
          <w:iCs w:val="0"/>
          <w:snapToGrid w:val="0"/>
          <w:color w:val="auto"/>
          <w:kern w:val="0"/>
          <w:sz w:val="36"/>
          <w:szCs w:val="36"/>
          <w:highlight w:val="none"/>
          <w:u w:val="none"/>
          <w:lang w:val="en-US" w:eastAsia="zh-CN" w:bidi="ar"/>
        </w:rPr>
      </w:pPr>
      <w:r>
        <w:rPr>
          <w:rFonts w:hint="eastAsia" w:ascii="宋体" w:hAnsi="宋体" w:eastAsia="宋体" w:cs="宋体"/>
          <w:b/>
          <w:bCs/>
          <w:i w:val="0"/>
          <w:iCs w:val="0"/>
          <w:snapToGrid w:val="0"/>
          <w:color w:val="auto"/>
          <w:kern w:val="0"/>
          <w:sz w:val="36"/>
          <w:szCs w:val="36"/>
          <w:highlight w:val="none"/>
          <w:u w:val="none"/>
          <w:lang w:val="en-US" w:eastAsia="zh-CN" w:bidi="ar"/>
        </w:rPr>
        <w:br w:type="page"/>
      </w:r>
    </w:p>
    <w:tbl>
      <w:tblPr>
        <w:tblStyle w:val="18"/>
        <w:tblW w:w="892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9"/>
        <w:gridCol w:w="3908"/>
        <w:gridCol w:w="734"/>
        <w:gridCol w:w="1151"/>
        <w:gridCol w:w="1104"/>
        <w:gridCol w:w="11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20" w:type="dxa"/>
            <w:gridSpan w:val="6"/>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snapToGrid w:val="0"/>
                <w:color w:val="auto"/>
                <w:kern w:val="0"/>
                <w:sz w:val="36"/>
                <w:szCs w:val="36"/>
                <w:highlight w:val="none"/>
                <w:u w:val="none"/>
                <w:lang w:val="en-US" w:eastAsia="zh-CN" w:bidi="ar"/>
              </w:rPr>
              <w:t>工程量清单表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27"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合同段：嵊州市三溪水库配套工程（上竹线楼家-三溪段道路改建工程）</w:t>
            </w:r>
          </w:p>
        </w:tc>
        <w:tc>
          <w:tcPr>
            <w:tcW w:w="2989" w:type="dxa"/>
            <w:gridSpan w:val="3"/>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104" w:type="dxa"/>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标表2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920"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snapToGrid w:val="0"/>
                <w:color w:val="auto"/>
                <w:kern w:val="0"/>
                <w:sz w:val="24"/>
                <w:szCs w:val="24"/>
                <w:highlight w:val="none"/>
                <w:u w:val="none"/>
                <w:lang w:val="en-US" w:eastAsia="zh-CN" w:bidi="ar"/>
              </w:rPr>
              <w:t>清单   第 100 章 总则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子目号</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子目名称</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单位</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数量</w:t>
            </w:r>
          </w:p>
        </w:tc>
        <w:tc>
          <w:tcPr>
            <w:tcW w:w="110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单价</w:t>
            </w:r>
          </w:p>
        </w:tc>
        <w:tc>
          <w:tcPr>
            <w:tcW w:w="1104" w:type="dxa"/>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101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工程保险费</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eastAsia"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101-1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保险费</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101-1-1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按合同条款规定，提供建筑工程一切险</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总额</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101-1-2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按合同条款规定，提供安全生产责任险</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总额</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102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工程管理</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102-1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竣工文件</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总额</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102-2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施工环保费</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总额</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102-3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安全生产费</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总额</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102-4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信息化系统（暂估价）</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总额</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w:t>
            </w:r>
          </w:p>
        </w:tc>
        <w:tc>
          <w:tcPr>
            <w:tcW w:w="110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200000</w:t>
            </w:r>
          </w:p>
        </w:tc>
        <w:tc>
          <w:tcPr>
            <w:tcW w:w="1104" w:type="dxa"/>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103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临时工程与设施</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103-1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临时道路修建、养护与拆除（包括原道路的养护）</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103-1-1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临时道路修建、养护与拆除（包括原道路的养护）</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1.998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103-2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临时占地</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总额</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103-3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临时供电设施架设、维护与拆除</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总额</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103-4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临时供水与排污设施</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总额</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104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承包人驻地建设</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104-1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承包人驻地建设（含标准化工地建设）</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总额</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3908" w:type="dxa"/>
            <w:tcBorders>
              <w:top w:val="nil"/>
              <w:left w:val="nil"/>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auto"/>
                <w:sz w:val="16"/>
                <w:szCs w:val="16"/>
                <w:highlight w:val="none"/>
                <w:u w:val="none"/>
              </w:rPr>
            </w:pP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20" w:type="dxa"/>
            <w:gridSpan w:val="6"/>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100 章  合计   人民币  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816" w:type="dxa"/>
            <w:gridSpan w:val="5"/>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1 页</w:t>
            </w:r>
          </w:p>
        </w:tc>
        <w:tc>
          <w:tcPr>
            <w:tcW w:w="1104"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共 16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20" w:type="dxa"/>
            <w:gridSpan w:val="6"/>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snapToGrid w:val="0"/>
                <w:color w:val="auto"/>
                <w:kern w:val="0"/>
                <w:sz w:val="36"/>
                <w:szCs w:val="36"/>
                <w:highlight w:val="none"/>
                <w:u w:val="none"/>
                <w:lang w:val="en-US" w:eastAsia="zh-CN" w:bidi="ar"/>
              </w:rPr>
              <w:t>工程量清单表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27"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合同段：嵊州市三溪水库配套工程（上竹线楼家-三溪段道路改建工程）</w:t>
            </w:r>
          </w:p>
        </w:tc>
        <w:tc>
          <w:tcPr>
            <w:tcW w:w="2989" w:type="dxa"/>
            <w:gridSpan w:val="3"/>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104" w:type="dxa"/>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标表2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920"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snapToGrid w:val="0"/>
                <w:color w:val="auto"/>
                <w:kern w:val="0"/>
                <w:sz w:val="24"/>
                <w:szCs w:val="24"/>
                <w:highlight w:val="none"/>
                <w:u w:val="none"/>
                <w:lang w:val="en-US" w:eastAsia="zh-CN" w:bidi="ar"/>
              </w:rPr>
              <w:t>清单   第 200 章 路基工程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子目号</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子目名称</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单位</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数量</w:t>
            </w:r>
          </w:p>
        </w:tc>
        <w:tc>
          <w:tcPr>
            <w:tcW w:w="110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单价</w:t>
            </w:r>
          </w:p>
        </w:tc>
        <w:tc>
          <w:tcPr>
            <w:tcW w:w="1104" w:type="dxa"/>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场地清理</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202-1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清理与掘除</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202-1-1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清表</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1059</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202-1-1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伐树、挖根</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棵</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14030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挖除旧路面</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202-2-2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沥青混凝土面层</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202-2-2-1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铣刨</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777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挖方路基</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203-1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路基挖方</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203-1-7</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挖土石方(含外运）</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624868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填方路基</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204-1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路基填筑</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204-1-3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利用土石混填（本桩利用）</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33496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204-1-4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借土填方（项目内调运）</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1132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204-1-9</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结构物台背回填</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204-1-9-1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碎石</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10836.5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特殊地区路基处理</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205-1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软土路基处理</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205-1-3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垫层</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205-1-3-5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超挖换填（利用挖方）</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2195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205-1-3-5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开挖台阶处宕渣回填（利用挖方）</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6679</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205-1-3-6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换填清宕渣（利用挖方）</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1472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205-1-4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土工合成材料</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205-1-4-1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返滤土工布</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616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205-1-4-3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土工格栅</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17248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低填浅挖路基处理</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206-1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夯（压）路基</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5560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206-2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挖方</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4450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206-3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清宕渣回填(利用挖方）</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4448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207</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坡面排水</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207-1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边沟</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207-1-3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现浇混凝土</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207-1-3-3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C25混凝土</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2428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207-1-5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预制安装混凝土盖板</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207-1-5-3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C30混凝土</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222.6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207-1-5-6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混凝土预制盖板钢筋</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74311.3</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207-3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截水沟</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207-3-3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现浇混凝土</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207-3-3-3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C25混凝土</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-b</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C25砼现浇边沟</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3003.9</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207-4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跌水</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207-4-3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现浇混凝土</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207-4-3-3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C25混凝土</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bookmarkStart w:id="771" w:name="_GoBack"/>
            <w:bookmarkEnd w:id="771"/>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-b</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C25混凝土跌水</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1864.3</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3908" w:type="dxa"/>
            <w:tcBorders>
              <w:top w:val="nil"/>
              <w:left w:val="nil"/>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auto"/>
                <w:sz w:val="16"/>
                <w:szCs w:val="16"/>
                <w:highlight w:val="none"/>
                <w:u w:val="none"/>
              </w:rPr>
            </w:pP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816" w:type="dxa"/>
            <w:gridSpan w:val="5"/>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2 页</w:t>
            </w:r>
          </w:p>
        </w:tc>
        <w:tc>
          <w:tcPr>
            <w:tcW w:w="1104"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共 16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bl>
    <w:p>
      <w:pPr>
        <w:keepNext w:val="0"/>
        <w:keepLines w:val="0"/>
        <w:widowControl/>
        <w:suppressLineNumbers w:val="0"/>
        <w:jc w:val="center"/>
        <w:textAlignment w:val="top"/>
        <w:rPr>
          <w:rFonts w:hint="eastAsia" w:ascii="宋体" w:hAnsi="宋体" w:eastAsia="宋体" w:cs="宋体"/>
          <w:b/>
          <w:bCs/>
          <w:i w:val="0"/>
          <w:iCs w:val="0"/>
          <w:snapToGrid w:val="0"/>
          <w:color w:val="auto"/>
          <w:kern w:val="0"/>
          <w:sz w:val="36"/>
          <w:szCs w:val="36"/>
          <w:highlight w:val="none"/>
          <w:u w:val="none"/>
          <w:lang w:val="en-US" w:eastAsia="zh-CN" w:bidi="ar"/>
        </w:rPr>
      </w:pPr>
      <w:r>
        <w:rPr>
          <w:rFonts w:hint="eastAsia" w:ascii="宋体" w:hAnsi="宋体" w:eastAsia="宋体" w:cs="宋体"/>
          <w:b/>
          <w:bCs/>
          <w:i w:val="0"/>
          <w:iCs w:val="0"/>
          <w:snapToGrid w:val="0"/>
          <w:color w:val="auto"/>
          <w:kern w:val="0"/>
          <w:sz w:val="36"/>
          <w:szCs w:val="36"/>
          <w:highlight w:val="none"/>
          <w:u w:val="none"/>
          <w:lang w:val="en-US" w:eastAsia="zh-CN" w:bidi="ar"/>
        </w:rPr>
        <w:br w:type="page"/>
      </w:r>
    </w:p>
    <w:tbl>
      <w:tblPr>
        <w:tblStyle w:val="18"/>
        <w:tblW w:w="892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9"/>
        <w:gridCol w:w="3908"/>
        <w:gridCol w:w="734"/>
        <w:gridCol w:w="1151"/>
        <w:gridCol w:w="1104"/>
        <w:gridCol w:w="11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20" w:type="dxa"/>
            <w:gridSpan w:val="6"/>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snapToGrid w:val="0"/>
                <w:color w:val="auto"/>
                <w:kern w:val="0"/>
                <w:sz w:val="36"/>
                <w:szCs w:val="36"/>
                <w:highlight w:val="none"/>
                <w:u w:val="none"/>
                <w:lang w:val="en-US" w:eastAsia="zh-CN" w:bidi="ar"/>
              </w:rPr>
              <w:t>工程量清单表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27"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合同段：嵊州市三溪水库配套工程（上竹线楼家-三溪段道路改建工程）</w:t>
            </w:r>
          </w:p>
        </w:tc>
        <w:tc>
          <w:tcPr>
            <w:tcW w:w="2989" w:type="dxa"/>
            <w:gridSpan w:val="3"/>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104" w:type="dxa"/>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标表2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920"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snapToGrid w:val="0"/>
                <w:color w:val="auto"/>
                <w:kern w:val="0"/>
                <w:sz w:val="24"/>
                <w:szCs w:val="24"/>
                <w:highlight w:val="none"/>
                <w:u w:val="none"/>
                <w:lang w:val="en-US" w:eastAsia="zh-CN" w:bidi="ar"/>
              </w:rPr>
              <w:t>清单   第 200 章 路基工程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子目号</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子目名称</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单位</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数量</w:t>
            </w:r>
          </w:p>
        </w:tc>
        <w:tc>
          <w:tcPr>
            <w:tcW w:w="110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单价</w:t>
            </w:r>
          </w:p>
        </w:tc>
        <w:tc>
          <w:tcPr>
            <w:tcW w:w="1104" w:type="dxa"/>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钢管扶手</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2171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207-5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渗（盲）沟</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392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护坡、护面墙</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208-5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植物护坡</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208-5-5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TBS生态植被（挂网客土喷混植草）</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47039</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208-9</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坡面柔性防护</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208-9-1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SNS柔性防护网</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48941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209</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挡土墙</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209-3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砌体挡土墙</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209-3-2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浆砌片（块）石</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209-3-2-3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M7.5浆砌块石</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209-4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混凝土挡土墙</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209-4-1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混凝土</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209-4-1-6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C20片石混凝土（片石利用）</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-a</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护脚墙（片石利用）</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1246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-b</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路肩墙A型（片石利用）</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2627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路肩墙B型（片石利用）</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2768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-d</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路肩墙C型（片石利用）</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32066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210</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锚杆、锚定板挡土墙</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210-5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锚杆及拉杆</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210-5-1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锚杆</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157221.2746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213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预应力锚索边坡加固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213-4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混凝土框格梁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213-4-3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C30混凝土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4016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213-6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钢筋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213-6-1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79806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213-6-2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266941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3908" w:type="dxa"/>
            <w:tcBorders>
              <w:top w:val="nil"/>
              <w:left w:val="nil"/>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auto"/>
                <w:sz w:val="16"/>
                <w:szCs w:val="16"/>
                <w:highlight w:val="none"/>
                <w:u w:val="none"/>
              </w:rPr>
            </w:pP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20" w:type="dxa"/>
            <w:gridSpan w:val="6"/>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200 章  合计   人民币  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816" w:type="dxa"/>
            <w:gridSpan w:val="5"/>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3 页</w:t>
            </w:r>
          </w:p>
        </w:tc>
        <w:tc>
          <w:tcPr>
            <w:tcW w:w="1104"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共 16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20" w:type="dxa"/>
            <w:gridSpan w:val="6"/>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snapToGrid w:val="0"/>
                <w:color w:val="auto"/>
                <w:kern w:val="0"/>
                <w:sz w:val="36"/>
                <w:szCs w:val="36"/>
                <w:highlight w:val="none"/>
                <w:u w:val="none"/>
                <w:lang w:val="en-US" w:eastAsia="zh-CN" w:bidi="ar"/>
              </w:rPr>
              <w:t>工程量清单表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27"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合同段：嵊州市三溪水库配套工程（上竹线楼家-三溪段道路改建工程）</w:t>
            </w:r>
          </w:p>
        </w:tc>
        <w:tc>
          <w:tcPr>
            <w:tcW w:w="2989" w:type="dxa"/>
            <w:gridSpan w:val="3"/>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104" w:type="dxa"/>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标表2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920"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snapToGrid w:val="0"/>
                <w:color w:val="auto"/>
                <w:kern w:val="0"/>
                <w:sz w:val="24"/>
                <w:szCs w:val="24"/>
                <w:highlight w:val="none"/>
                <w:u w:val="none"/>
                <w:lang w:val="en-US" w:eastAsia="zh-CN" w:bidi="ar"/>
              </w:rPr>
              <w:t xml:space="preserve">清单   第 300 章 路面工程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子目号</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子目名称</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单位</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数量</w:t>
            </w:r>
          </w:p>
        </w:tc>
        <w:tc>
          <w:tcPr>
            <w:tcW w:w="110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单价</w:t>
            </w:r>
          </w:p>
        </w:tc>
        <w:tc>
          <w:tcPr>
            <w:tcW w:w="1104" w:type="dxa"/>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垫层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302-1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碎石垫层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302-1-3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厚150mm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32997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底基层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303-1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水泥稳定土底基层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303-1-4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厚180mm 3.5%水泥稳定碎石底基层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47026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基层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304-1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水泥稳定土基层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304-1-4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厚180mm 5%水泥稳定碎石基层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47026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304-1-5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厚200mm  5%水泥稳定碎石基层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400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304-5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贫混凝土基层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304-5-6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厚200mm C25砼基层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11482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透层、封层、黏层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305-2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黏层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47426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305-3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封层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305-3-3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改性乳化沥青封层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47426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沥青混凝土面层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306-2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改性沥青混凝土面层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306-2-1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细粒式改性沥青混凝土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306-2-1-2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厚40mm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47426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306-2-2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中粒式沥青混凝土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306-2-2-3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厚60mm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47426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307</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水泥混凝土面板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其他路面面层</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308-6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整齐块石路面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308-6-2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砖块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-a</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2560*190*100井子型植草砖</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10620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-b</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200*100*60水泥砖</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645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3cm水泥砂浆</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11482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308-6-3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1000*150*200青石板</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218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309</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路槽、路肩及中央分隔带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309-3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加固土路肩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309-3-1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现浇混凝土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309-3-1-3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C25混凝土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1187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3908" w:type="dxa"/>
            <w:tcBorders>
              <w:top w:val="nil"/>
              <w:left w:val="nil"/>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auto"/>
                <w:sz w:val="16"/>
                <w:szCs w:val="16"/>
                <w:highlight w:val="none"/>
                <w:u w:val="none"/>
              </w:rPr>
            </w:pP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20" w:type="dxa"/>
            <w:gridSpan w:val="6"/>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300 章  合计   人民币 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816" w:type="dxa"/>
            <w:gridSpan w:val="5"/>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4 页</w:t>
            </w:r>
          </w:p>
        </w:tc>
        <w:tc>
          <w:tcPr>
            <w:tcW w:w="1104"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共 16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20" w:type="dxa"/>
            <w:gridSpan w:val="6"/>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snapToGrid w:val="0"/>
                <w:color w:val="auto"/>
                <w:kern w:val="0"/>
                <w:sz w:val="36"/>
                <w:szCs w:val="36"/>
                <w:highlight w:val="none"/>
                <w:u w:val="none"/>
                <w:lang w:val="en-US" w:eastAsia="zh-CN" w:bidi="ar"/>
              </w:rPr>
              <w:t>工程量清单表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27"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合同段：嵊州市三溪水库配套工程（上竹线楼家-三溪段道路改建工程）</w:t>
            </w:r>
          </w:p>
        </w:tc>
        <w:tc>
          <w:tcPr>
            <w:tcW w:w="2989" w:type="dxa"/>
            <w:gridSpan w:val="3"/>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104" w:type="dxa"/>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标表2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920"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snapToGrid w:val="0"/>
                <w:color w:val="auto"/>
                <w:kern w:val="0"/>
                <w:sz w:val="24"/>
                <w:szCs w:val="24"/>
                <w:highlight w:val="none"/>
                <w:u w:val="none"/>
                <w:lang w:val="en-US" w:eastAsia="zh-CN" w:bidi="ar"/>
              </w:rPr>
              <w:t>清单   第 400 章 桥梁、涵洞工程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子目号</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子目名称</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单位</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数量</w:t>
            </w:r>
          </w:p>
        </w:tc>
        <w:tc>
          <w:tcPr>
            <w:tcW w:w="110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单价</w:t>
            </w:r>
          </w:p>
        </w:tc>
        <w:tc>
          <w:tcPr>
            <w:tcW w:w="1104" w:type="dxa"/>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400-1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一</w:t>
            </w:r>
            <w:r>
              <w:rPr>
                <w:rFonts w:hint="eastAsia" w:ascii="宋体" w:hAnsi="宋体" w:eastAsia="宋体" w:cs="宋体"/>
                <w:i w:val="0"/>
                <w:iCs w:val="0"/>
                <w:snapToGrid w:val="0"/>
                <w:color w:val="auto"/>
                <w:kern w:val="0"/>
                <w:sz w:val="16"/>
                <w:szCs w:val="16"/>
                <w:highlight w:val="none"/>
                <w:u w:val="none"/>
                <w:lang w:val="en-US" w:eastAsia="zh-CN" w:bidi="ar"/>
              </w:rPr>
              <w:br w:type="textWrapping"/>
            </w:r>
            <w:r>
              <w:rPr>
                <w:rFonts w:hint="eastAsia" w:ascii="宋体" w:hAnsi="宋体" w:eastAsia="宋体" w:cs="宋体"/>
                <w:i w:val="0"/>
                <w:iCs w:val="0"/>
                <w:snapToGrid w:val="0"/>
                <w:color w:val="auto"/>
                <w:kern w:val="0"/>
                <w:sz w:val="16"/>
                <w:szCs w:val="16"/>
                <w:highlight w:val="none"/>
                <w:u w:val="none"/>
                <w:lang w:val="en-US" w:eastAsia="zh-CN" w:bidi="ar"/>
              </w:rPr>
              <w:t>号</w:t>
            </w:r>
            <w:r>
              <w:rPr>
                <w:rFonts w:hint="eastAsia" w:ascii="宋体" w:hAnsi="宋体" w:eastAsia="宋体" w:cs="宋体"/>
                <w:i w:val="0"/>
                <w:iCs w:val="0"/>
                <w:snapToGrid w:val="0"/>
                <w:color w:val="auto"/>
                <w:kern w:val="0"/>
                <w:sz w:val="16"/>
                <w:szCs w:val="16"/>
                <w:highlight w:val="none"/>
                <w:u w:val="none"/>
                <w:lang w:val="en-US" w:eastAsia="zh-CN" w:bidi="ar"/>
              </w:rPr>
              <w:br w:type="textWrapping"/>
            </w:r>
            <w:r>
              <w:rPr>
                <w:rFonts w:hint="eastAsia" w:ascii="宋体" w:hAnsi="宋体" w:eastAsia="宋体" w:cs="宋体"/>
                <w:i w:val="0"/>
                <w:iCs w:val="0"/>
                <w:snapToGrid w:val="0"/>
                <w:color w:val="auto"/>
                <w:kern w:val="0"/>
                <w:sz w:val="16"/>
                <w:szCs w:val="16"/>
                <w:highlight w:val="none"/>
                <w:u w:val="none"/>
                <w:lang w:val="en-US" w:eastAsia="zh-CN" w:bidi="ar"/>
              </w:rPr>
              <w:t>桥</w:t>
            </w:r>
            <w:r>
              <w:rPr>
                <w:rFonts w:hint="eastAsia" w:ascii="宋体" w:hAnsi="宋体" w:eastAsia="宋体" w:cs="宋体"/>
                <w:i w:val="0"/>
                <w:iCs w:val="0"/>
                <w:snapToGrid w:val="0"/>
                <w:color w:val="auto"/>
                <w:kern w:val="0"/>
                <w:sz w:val="16"/>
                <w:szCs w:val="16"/>
                <w:highlight w:val="none"/>
                <w:u w:val="none"/>
                <w:lang w:val="en-US" w:eastAsia="zh-CN" w:bidi="ar"/>
              </w:rPr>
              <w:br w:type="textWrapping"/>
            </w:r>
            <w:r>
              <w:rPr>
                <w:rFonts w:hint="eastAsia" w:ascii="宋体" w:hAnsi="宋体" w:eastAsia="宋体" w:cs="宋体"/>
                <w:i w:val="0"/>
                <w:iCs w:val="0"/>
                <w:snapToGrid w:val="0"/>
                <w:color w:val="auto"/>
                <w:kern w:val="0"/>
                <w:sz w:val="16"/>
                <w:szCs w:val="16"/>
                <w:highlight w:val="none"/>
                <w:u w:val="none"/>
                <w:lang w:val="en-US" w:eastAsia="zh-CN" w:bidi="ar"/>
              </w:rPr>
              <w:t>K2+968（预</w:t>
            </w:r>
            <w:r>
              <w:rPr>
                <w:rFonts w:hint="eastAsia" w:ascii="宋体" w:hAnsi="宋体" w:eastAsia="宋体" w:cs="宋体"/>
                <w:i w:val="0"/>
                <w:iCs w:val="0"/>
                <w:snapToGrid w:val="0"/>
                <w:color w:val="auto"/>
                <w:kern w:val="0"/>
                <w:sz w:val="16"/>
                <w:szCs w:val="16"/>
                <w:highlight w:val="none"/>
                <w:u w:val="none"/>
                <w:lang w:val="en-US" w:eastAsia="zh-CN" w:bidi="ar"/>
              </w:rPr>
              <w:br w:type="textWrapping"/>
            </w:r>
            <w:r>
              <w:rPr>
                <w:rFonts w:hint="eastAsia" w:ascii="宋体" w:hAnsi="宋体" w:eastAsia="宋体" w:cs="宋体"/>
                <w:i w:val="0"/>
                <w:iCs w:val="0"/>
                <w:snapToGrid w:val="0"/>
                <w:color w:val="auto"/>
                <w:kern w:val="0"/>
                <w:sz w:val="16"/>
                <w:szCs w:val="16"/>
                <w:highlight w:val="none"/>
                <w:u w:val="none"/>
                <w:lang w:val="en-US" w:eastAsia="zh-CN" w:bidi="ar"/>
              </w:rPr>
              <w:t>应</w:t>
            </w:r>
            <w:r>
              <w:rPr>
                <w:rFonts w:hint="eastAsia" w:ascii="宋体" w:hAnsi="宋体" w:eastAsia="宋体" w:cs="宋体"/>
                <w:i w:val="0"/>
                <w:iCs w:val="0"/>
                <w:snapToGrid w:val="0"/>
                <w:color w:val="auto"/>
                <w:kern w:val="0"/>
                <w:sz w:val="16"/>
                <w:szCs w:val="16"/>
                <w:highlight w:val="none"/>
                <w:u w:val="none"/>
                <w:lang w:val="en-US" w:eastAsia="zh-CN" w:bidi="ar"/>
              </w:rPr>
              <w:br w:type="textWrapping"/>
            </w:r>
            <w:r>
              <w:rPr>
                <w:rFonts w:hint="eastAsia" w:ascii="宋体" w:hAnsi="宋体" w:eastAsia="宋体" w:cs="宋体"/>
                <w:i w:val="0"/>
                <w:iCs w:val="0"/>
                <w:snapToGrid w:val="0"/>
                <w:color w:val="auto"/>
                <w:kern w:val="0"/>
                <w:sz w:val="16"/>
                <w:szCs w:val="16"/>
                <w:highlight w:val="none"/>
                <w:u w:val="none"/>
                <w:lang w:val="en-US" w:eastAsia="zh-CN" w:bidi="ar"/>
              </w:rPr>
              <w:t>力</w:t>
            </w:r>
            <w:r>
              <w:rPr>
                <w:rFonts w:hint="eastAsia" w:ascii="宋体" w:hAnsi="宋体" w:eastAsia="宋体" w:cs="宋体"/>
                <w:i w:val="0"/>
                <w:iCs w:val="0"/>
                <w:snapToGrid w:val="0"/>
                <w:color w:val="auto"/>
                <w:kern w:val="0"/>
                <w:sz w:val="16"/>
                <w:szCs w:val="16"/>
                <w:highlight w:val="none"/>
                <w:u w:val="none"/>
                <w:lang w:val="en-US" w:eastAsia="zh-CN" w:bidi="ar"/>
              </w:rPr>
              <w:br w:type="textWrapping"/>
            </w:r>
            <w:r>
              <w:rPr>
                <w:rFonts w:hint="eastAsia" w:ascii="宋体" w:hAnsi="宋体" w:eastAsia="宋体" w:cs="宋体"/>
                <w:i w:val="0"/>
                <w:iCs w:val="0"/>
                <w:snapToGrid w:val="0"/>
                <w:color w:val="auto"/>
                <w:kern w:val="0"/>
                <w:sz w:val="16"/>
                <w:szCs w:val="16"/>
                <w:highlight w:val="none"/>
                <w:u w:val="none"/>
                <w:lang w:val="en-US" w:eastAsia="zh-CN" w:bidi="ar"/>
              </w:rPr>
              <w:t>砼T梁、8*30）</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钢筋</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基础钢筋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7280.9</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403-1-2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65600.4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下部结构钢筋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7392.1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118798.2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冷轧带肋钢筋焊接网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745.9</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上部结构钢筋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72135.8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226015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焊接钢筋网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22194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附属结构钢筋 （包括伸缩缝、桥头搭板、防撞护栏）</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6236.3</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37298.2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冷轧带肋钢筋焊接网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230.8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基础挖方及回填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404-1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基础挖方及回填 （包括弃方外运）</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3763.3</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钻孔灌注桩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钻孔灌注桩(不区分水中、陆上桩)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405-3-8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桩径1.6m （包括钻孔、C30水下砼灌注桩、凿桩头）</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68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405-3-12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桩径2.0m （包括钻孔、C30水下砼灌注桩、凿桩头）</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172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声测管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3469.7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结构混凝土工程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混凝土基础</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410-1-4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C30混凝土基础</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-a</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桥台扩大基础</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136.2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-b</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桩系梁</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54.43</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410-1-12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C20混凝土垫层（桥台扩大基础）</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25.7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混凝土下部结构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立柱混凝土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410-2-1-3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C35混凝土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682.6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墩台身混凝土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C30混凝土 （桥台台身）</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32.3</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桥台帽、防震挡块混凝土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410-2-3-5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C35混凝土</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83.72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盖梁混凝土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410-2-5-5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C35混凝土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176.96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3908" w:type="dxa"/>
            <w:tcBorders>
              <w:top w:val="nil"/>
              <w:left w:val="nil"/>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auto"/>
                <w:sz w:val="16"/>
                <w:szCs w:val="16"/>
                <w:highlight w:val="none"/>
                <w:u w:val="none"/>
              </w:rPr>
            </w:pP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816" w:type="dxa"/>
            <w:gridSpan w:val="5"/>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5 页</w:t>
            </w:r>
          </w:p>
        </w:tc>
        <w:tc>
          <w:tcPr>
            <w:tcW w:w="1104"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共 16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bl>
    <w:p>
      <w:pPr>
        <w:keepNext w:val="0"/>
        <w:keepLines w:val="0"/>
        <w:widowControl/>
        <w:suppressLineNumbers w:val="0"/>
        <w:jc w:val="center"/>
        <w:textAlignment w:val="top"/>
        <w:rPr>
          <w:rFonts w:hint="eastAsia" w:ascii="宋体" w:hAnsi="宋体" w:eastAsia="宋体" w:cs="宋体"/>
          <w:b/>
          <w:bCs/>
          <w:i w:val="0"/>
          <w:iCs w:val="0"/>
          <w:snapToGrid w:val="0"/>
          <w:color w:val="auto"/>
          <w:kern w:val="0"/>
          <w:sz w:val="36"/>
          <w:szCs w:val="36"/>
          <w:highlight w:val="none"/>
          <w:u w:val="none"/>
          <w:lang w:val="en-US" w:eastAsia="zh-CN" w:bidi="ar"/>
        </w:rPr>
      </w:pPr>
      <w:r>
        <w:rPr>
          <w:rFonts w:hint="eastAsia" w:ascii="宋体" w:hAnsi="宋体" w:eastAsia="宋体" w:cs="宋体"/>
          <w:b/>
          <w:bCs/>
          <w:i w:val="0"/>
          <w:iCs w:val="0"/>
          <w:snapToGrid w:val="0"/>
          <w:color w:val="auto"/>
          <w:kern w:val="0"/>
          <w:sz w:val="36"/>
          <w:szCs w:val="36"/>
          <w:highlight w:val="none"/>
          <w:u w:val="none"/>
          <w:lang w:val="en-US" w:eastAsia="zh-CN" w:bidi="ar"/>
        </w:rPr>
        <w:br w:type="page"/>
      </w:r>
    </w:p>
    <w:tbl>
      <w:tblPr>
        <w:tblStyle w:val="18"/>
        <w:tblW w:w="892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9"/>
        <w:gridCol w:w="3908"/>
        <w:gridCol w:w="734"/>
        <w:gridCol w:w="1151"/>
        <w:gridCol w:w="1104"/>
        <w:gridCol w:w="11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20" w:type="dxa"/>
            <w:gridSpan w:val="6"/>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snapToGrid w:val="0"/>
                <w:color w:val="auto"/>
                <w:kern w:val="0"/>
                <w:sz w:val="36"/>
                <w:szCs w:val="36"/>
                <w:highlight w:val="none"/>
                <w:u w:val="none"/>
                <w:lang w:val="en-US" w:eastAsia="zh-CN" w:bidi="ar"/>
              </w:rPr>
              <w:t>工程量清单表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27"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合同段：嵊州市三溪水库配套工程（上竹线楼家-三溪段道路改建工程）</w:t>
            </w:r>
          </w:p>
        </w:tc>
        <w:tc>
          <w:tcPr>
            <w:tcW w:w="2989" w:type="dxa"/>
            <w:gridSpan w:val="3"/>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104" w:type="dxa"/>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标表2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920"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snapToGrid w:val="0"/>
                <w:color w:val="auto"/>
                <w:kern w:val="0"/>
                <w:sz w:val="24"/>
                <w:szCs w:val="24"/>
                <w:highlight w:val="none"/>
                <w:u w:val="none"/>
                <w:lang w:val="en-US" w:eastAsia="zh-CN" w:bidi="ar"/>
              </w:rPr>
              <w:t>清单   第 400 章 桥梁、涵洞工程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子目号</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子目名称</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单位</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数量</w:t>
            </w:r>
          </w:p>
        </w:tc>
        <w:tc>
          <w:tcPr>
            <w:tcW w:w="110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单价</w:t>
            </w:r>
          </w:p>
        </w:tc>
        <w:tc>
          <w:tcPr>
            <w:tcW w:w="1104" w:type="dxa"/>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墩间系梁混凝土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410-2-6-3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C35混凝土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64.24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410-2-7</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支座垫石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410-2-7-5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C35混凝土</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4.88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桥梁上部结构现浇整体化混凝土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410-5-5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C50混凝土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145.6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现浇混凝土附属结构 （包括桥头搭板、防撞护栏）</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410-6-4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C30混凝土 （桥头搭板包括C20砼垫层）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36.72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410-6-5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C35混凝土 （防撞护栏包括护栏伸缩缝）</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221.88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预应力混凝土工程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后张法预应力钢绞线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36598.96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预制预应力混凝土上部结构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411-8-3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T梁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411-8-3-3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C50混凝土 （含预埋件、运输及安装）</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922.6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桥面铺装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415-2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水泥混凝土桥面调平层 （表面抛丸处理）</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204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415-4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浇筑式沥青混凝土桥面铺装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180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桥梁支座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416-2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盆式支座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-a</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GPZ1.5MN盆式支座</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个</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-b</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GPZ2.5MN盆式支座</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个</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417</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桥梁接缝和伸缩装置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417-5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异型钢伸缩装置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417-5-3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80型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417-5-4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160型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8.5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防水处理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竖、横向集中排水管( 含管件)</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500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盲沟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480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改性沥青防水层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1800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泄水管</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套</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98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400-2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br w:type="textWrapping"/>
            </w:r>
            <w:r>
              <w:rPr>
                <w:rFonts w:hint="eastAsia" w:ascii="宋体" w:hAnsi="宋体" w:eastAsia="宋体" w:cs="宋体"/>
                <w:i w:val="0"/>
                <w:iCs w:val="0"/>
                <w:snapToGrid w:val="0"/>
                <w:color w:val="auto"/>
                <w:kern w:val="0"/>
                <w:sz w:val="16"/>
                <w:szCs w:val="16"/>
                <w:highlight w:val="none"/>
                <w:u w:val="none"/>
                <w:lang w:val="en-US" w:eastAsia="zh-CN" w:bidi="ar"/>
              </w:rPr>
              <w:t>二号桥K3+490（预应力砼T梁、5*30）</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钢筋</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基础钢筋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2936.6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403-1-2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23384.3</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下部结构钢筋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2228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44156.2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冷轧带肋钢筋焊接网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1012.3</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上部结构钢筋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45170.7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144095.8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焊接钢筋网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13871.25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3908" w:type="dxa"/>
            <w:tcBorders>
              <w:top w:val="nil"/>
              <w:left w:val="nil"/>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auto"/>
                <w:sz w:val="16"/>
                <w:szCs w:val="16"/>
                <w:highlight w:val="none"/>
                <w:u w:val="none"/>
              </w:rPr>
            </w:pP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816" w:type="dxa"/>
            <w:gridSpan w:val="5"/>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6 页</w:t>
            </w:r>
          </w:p>
        </w:tc>
        <w:tc>
          <w:tcPr>
            <w:tcW w:w="1104"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共 16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bl>
    <w:p>
      <w:pPr>
        <w:keepNext w:val="0"/>
        <w:keepLines w:val="0"/>
        <w:widowControl/>
        <w:suppressLineNumbers w:val="0"/>
        <w:jc w:val="center"/>
        <w:textAlignment w:val="top"/>
        <w:rPr>
          <w:rFonts w:hint="eastAsia" w:ascii="宋体" w:hAnsi="宋体" w:eastAsia="宋体" w:cs="宋体"/>
          <w:b/>
          <w:bCs/>
          <w:i w:val="0"/>
          <w:iCs w:val="0"/>
          <w:snapToGrid w:val="0"/>
          <w:color w:val="auto"/>
          <w:kern w:val="0"/>
          <w:sz w:val="36"/>
          <w:szCs w:val="36"/>
          <w:highlight w:val="none"/>
          <w:u w:val="none"/>
          <w:lang w:val="en-US" w:eastAsia="zh-CN" w:bidi="ar"/>
        </w:rPr>
      </w:pPr>
      <w:r>
        <w:rPr>
          <w:rFonts w:hint="eastAsia" w:ascii="宋体" w:hAnsi="宋体" w:eastAsia="宋体" w:cs="宋体"/>
          <w:b/>
          <w:bCs/>
          <w:i w:val="0"/>
          <w:iCs w:val="0"/>
          <w:snapToGrid w:val="0"/>
          <w:color w:val="auto"/>
          <w:kern w:val="0"/>
          <w:sz w:val="36"/>
          <w:szCs w:val="36"/>
          <w:highlight w:val="none"/>
          <w:u w:val="none"/>
          <w:lang w:val="en-US" w:eastAsia="zh-CN" w:bidi="ar"/>
        </w:rPr>
        <w:br w:type="page"/>
      </w:r>
    </w:p>
    <w:tbl>
      <w:tblPr>
        <w:tblStyle w:val="18"/>
        <w:tblW w:w="892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9"/>
        <w:gridCol w:w="3908"/>
        <w:gridCol w:w="734"/>
        <w:gridCol w:w="1151"/>
        <w:gridCol w:w="1104"/>
        <w:gridCol w:w="11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20" w:type="dxa"/>
            <w:gridSpan w:val="6"/>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snapToGrid w:val="0"/>
                <w:color w:val="auto"/>
                <w:kern w:val="0"/>
                <w:sz w:val="36"/>
                <w:szCs w:val="36"/>
                <w:highlight w:val="none"/>
                <w:u w:val="none"/>
                <w:lang w:val="en-US" w:eastAsia="zh-CN" w:bidi="ar"/>
              </w:rPr>
              <w:t>工程量清单表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27"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合同段：嵊州市三溪水库配套工程（上竹线楼家-三溪段道路改建工程）</w:t>
            </w:r>
          </w:p>
        </w:tc>
        <w:tc>
          <w:tcPr>
            <w:tcW w:w="2989" w:type="dxa"/>
            <w:gridSpan w:val="3"/>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104" w:type="dxa"/>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标表2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920"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snapToGrid w:val="0"/>
                <w:color w:val="auto"/>
                <w:kern w:val="0"/>
                <w:sz w:val="24"/>
                <w:szCs w:val="24"/>
                <w:highlight w:val="none"/>
                <w:u w:val="none"/>
                <w:lang w:val="en-US" w:eastAsia="zh-CN" w:bidi="ar"/>
              </w:rPr>
              <w:t>清单   第 400 章 桥梁、涵洞工程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子目号</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子目名称</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单位</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数量</w:t>
            </w:r>
          </w:p>
        </w:tc>
        <w:tc>
          <w:tcPr>
            <w:tcW w:w="110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单价</w:t>
            </w:r>
          </w:p>
        </w:tc>
        <w:tc>
          <w:tcPr>
            <w:tcW w:w="1104" w:type="dxa"/>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附属结构钢筋 （包括伸缩缝、桥头搭板、防撞护栏）</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4155.8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26463.1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冷轧带肋钢筋焊接网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157.4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基础挖方及回填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404-1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基础挖方及回填 （包括弃方外运）</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1345.5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钻孔灌注桩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钻孔灌注桩(不区分水中、陆上桩)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405-3-8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桩径1.6m （包括钻孔、C30水下砼灌注桩、凿桩头）</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49</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405-3-10</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桩径1.8m （包括钻孔、C30水下砼灌注桩、凿桩头）</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52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声测管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1502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结构混凝土工程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混凝土基础</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410-1-4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C30混凝土基础</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-a</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桥台扩大基础</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221.411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-b</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桩系梁</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17.92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410-1-12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C20混凝土垫层（桥台扩大基础）</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145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混凝土下部结构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立柱混凝土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410-2-1-3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C35混凝土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155.8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墩台身混凝土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C30混凝土 （桥台台身）</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89.605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桥台帽、防震挡块混凝土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410-2-3-5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C35混凝土</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73.5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盖梁混凝土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410-2-5-5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C35混凝土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101.12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墩间系梁混凝土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410-2-6-3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C35混凝土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18.72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410-2-7</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支座垫石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410-2-7-5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C35混凝土</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2.928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桥梁上部结构现浇整体化混凝土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410-5-5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C50混凝土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94.4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现浇混凝土附属结构 （包括桥头搭板、防撞护栏）</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410-6-4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C30混凝土 （桥头搭板包括C20砼垫层）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36.72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410-6-5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C35混凝土 （防撞护栏包括护栏伸缩缝）</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146.2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预应力混凝土工程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后张法预应力钢绞线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23015.68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预制预应力混凝土上部结构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411-8-3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T梁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411-8-3-3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C50混凝土 （含预埋件、运输及安装）</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576.7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桥面铺装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415-2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水泥混凝土桥面调平层 （表面抛丸处理）</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127.5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415-4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浇筑式沥青混凝土桥面铺装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112.5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桥梁支座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3908" w:type="dxa"/>
            <w:tcBorders>
              <w:top w:val="nil"/>
              <w:left w:val="nil"/>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auto"/>
                <w:sz w:val="16"/>
                <w:szCs w:val="16"/>
                <w:highlight w:val="none"/>
                <w:u w:val="none"/>
              </w:rPr>
            </w:pP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816" w:type="dxa"/>
            <w:gridSpan w:val="5"/>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7 页</w:t>
            </w:r>
          </w:p>
        </w:tc>
        <w:tc>
          <w:tcPr>
            <w:tcW w:w="1104"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共 16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bl>
    <w:p>
      <w:pPr>
        <w:keepNext w:val="0"/>
        <w:keepLines w:val="0"/>
        <w:widowControl/>
        <w:suppressLineNumbers w:val="0"/>
        <w:jc w:val="center"/>
        <w:textAlignment w:val="top"/>
        <w:rPr>
          <w:rFonts w:hint="eastAsia" w:ascii="宋体" w:hAnsi="宋体" w:eastAsia="宋体" w:cs="宋体"/>
          <w:b/>
          <w:bCs/>
          <w:i w:val="0"/>
          <w:iCs w:val="0"/>
          <w:snapToGrid w:val="0"/>
          <w:color w:val="auto"/>
          <w:kern w:val="0"/>
          <w:sz w:val="36"/>
          <w:szCs w:val="36"/>
          <w:highlight w:val="none"/>
          <w:u w:val="none"/>
          <w:lang w:val="en-US" w:eastAsia="zh-CN" w:bidi="ar"/>
        </w:rPr>
      </w:pPr>
      <w:r>
        <w:rPr>
          <w:rFonts w:hint="eastAsia" w:ascii="宋体" w:hAnsi="宋体" w:eastAsia="宋体" w:cs="宋体"/>
          <w:b/>
          <w:bCs/>
          <w:i w:val="0"/>
          <w:iCs w:val="0"/>
          <w:snapToGrid w:val="0"/>
          <w:color w:val="auto"/>
          <w:kern w:val="0"/>
          <w:sz w:val="36"/>
          <w:szCs w:val="36"/>
          <w:highlight w:val="none"/>
          <w:u w:val="none"/>
          <w:lang w:val="en-US" w:eastAsia="zh-CN" w:bidi="ar"/>
        </w:rPr>
        <w:br w:type="page"/>
      </w:r>
    </w:p>
    <w:tbl>
      <w:tblPr>
        <w:tblStyle w:val="18"/>
        <w:tblW w:w="892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9"/>
        <w:gridCol w:w="3908"/>
        <w:gridCol w:w="734"/>
        <w:gridCol w:w="1151"/>
        <w:gridCol w:w="1104"/>
        <w:gridCol w:w="11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20" w:type="dxa"/>
            <w:gridSpan w:val="6"/>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snapToGrid w:val="0"/>
                <w:color w:val="auto"/>
                <w:kern w:val="0"/>
                <w:sz w:val="36"/>
                <w:szCs w:val="36"/>
                <w:highlight w:val="none"/>
                <w:u w:val="none"/>
                <w:lang w:val="en-US" w:eastAsia="zh-CN" w:bidi="ar"/>
              </w:rPr>
              <w:t>工程量清单表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27"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合同段：嵊州市三溪水库配套工程（上竹线楼家-三溪段道路改建工程）</w:t>
            </w:r>
          </w:p>
        </w:tc>
        <w:tc>
          <w:tcPr>
            <w:tcW w:w="2989" w:type="dxa"/>
            <w:gridSpan w:val="3"/>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104" w:type="dxa"/>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标表2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920"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snapToGrid w:val="0"/>
                <w:color w:val="auto"/>
                <w:kern w:val="0"/>
                <w:sz w:val="24"/>
                <w:szCs w:val="24"/>
                <w:highlight w:val="none"/>
                <w:u w:val="none"/>
                <w:lang w:val="en-US" w:eastAsia="zh-CN" w:bidi="ar"/>
              </w:rPr>
              <w:t>清单   第 400 章 桥梁、涵洞工程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子目号</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子目名称</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单位</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数量</w:t>
            </w:r>
          </w:p>
        </w:tc>
        <w:tc>
          <w:tcPr>
            <w:tcW w:w="110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单价</w:t>
            </w:r>
          </w:p>
        </w:tc>
        <w:tc>
          <w:tcPr>
            <w:tcW w:w="1104" w:type="dxa"/>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416-2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盆式支座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-a</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GPZ1.5MN盆式支座</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个</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-b</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GPZ2.5MN盆式支座</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个</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417</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桥梁接缝和伸缩装置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417-5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异型钢伸缩装置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417-5-3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80型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防水处理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竖、横向集中排水管( 含管件)</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180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盲沟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300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改性沥青防水层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1125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泄水管</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套</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400-3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三号桥K4+045（预应力砼T梁、4*30）</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钢筋</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基础钢筋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2812.6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403-1-2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25081.8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下部结构钢筋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3318.4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56944.8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冷轧带肋钢筋焊接网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745.9</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上部结构钢筋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36045.9</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113164.6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焊接钢筋网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11097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附属结构钢筋 （包括伸缩缝、桥头搭板、防撞护栏）</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3407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22571.9</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冷轧带肋钢筋焊接网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157.4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基础挖方及回填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404-1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基础挖方及回填 （包括弃方外运）</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1040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钻孔灌注桩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钻孔灌注桩(不区分水中、陆上桩)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405-3-10</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桩径1.8m （包括钻孔、C30水下砼灌注桩、凿桩头）</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66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405-3-12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桩径2.0m （包括钻孔、C30水下砼灌注桩、凿桩头）</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26.4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声测管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1344.1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结构混凝土工程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混凝土基础</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410-1-4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C30混凝土基础</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-a</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桥台扩大基础</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136.1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-b</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桩系梁</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23.22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410-1-12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C20混凝土垫层（桥台扩大基础）</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112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混凝土下部结构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立柱混凝土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410-2-1-3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C35混凝土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300.1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3908" w:type="dxa"/>
            <w:tcBorders>
              <w:top w:val="nil"/>
              <w:left w:val="nil"/>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auto"/>
                <w:sz w:val="16"/>
                <w:szCs w:val="16"/>
                <w:highlight w:val="none"/>
                <w:u w:val="none"/>
              </w:rPr>
            </w:pP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816" w:type="dxa"/>
            <w:gridSpan w:val="5"/>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8 页</w:t>
            </w:r>
          </w:p>
        </w:tc>
        <w:tc>
          <w:tcPr>
            <w:tcW w:w="1104"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共 16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bl>
    <w:p>
      <w:pPr>
        <w:keepNext w:val="0"/>
        <w:keepLines w:val="0"/>
        <w:widowControl/>
        <w:suppressLineNumbers w:val="0"/>
        <w:jc w:val="center"/>
        <w:textAlignment w:val="top"/>
        <w:rPr>
          <w:rFonts w:hint="eastAsia" w:ascii="宋体" w:hAnsi="宋体" w:eastAsia="宋体" w:cs="宋体"/>
          <w:b/>
          <w:bCs/>
          <w:i w:val="0"/>
          <w:iCs w:val="0"/>
          <w:snapToGrid w:val="0"/>
          <w:color w:val="auto"/>
          <w:kern w:val="0"/>
          <w:sz w:val="36"/>
          <w:szCs w:val="36"/>
          <w:highlight w:val="none"/>
          <w:u w:val="none"/>
          <w:lang w:val="en-US" w:eastAsia="zh-CN" w:bidi="ar"/>
        </w:rPr>
      </w:pPr>
      <w:r>
        <w:rPr>
          <w:rFonts w:hint="eastAsia" w:ascii="宋体" w:hAnsi="宋体" w:eastAsia="宋体" w:cs="宋体"/>
          <w:b/>
          <w:bCs/>
          <w:i w:val="0"/>
          <w:iCs w:val="0"/>
          <w:snapToGrid w:val="0"/>
          <w:color w:val="auto"/>
          <w:kern w:val="0"/>
          <w:sz w:val="36"/>
          <w:szCs w:val="36"/>
          <w:highlight w:val="none"/>
          <w:u w:val="none"/>
          <w:lang w:val="en-US" w:eastAsia="zh-CN" w:bidi="ar"/>
        </w:rPr>
        <w:br w:type="page"/>
      </w:r>
    </w:p>
    <w:tbl>
      <w:tblPr>
        <w:tblStyle w:val="18"/>
        <w:tblW w:w="892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9"/>
        <w:gridCol w:w="3908"/>
        <w:gridCol w:w="734"/>
        <w:gridCol w:w="1151"/>
        <w:gridCol w:w="1104"/>
        <w:gridCol w:w="11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20" w:type="dxa"/>
            <w:gridSpan w:val="6"/>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snapToGrid w:val="0"/>
                <w:color w:val="auto"/>
                <w:kern w:val="0"/>
                <w:sz w:val="36"/>
                <w:szCs w:val="36"/>
                <w:highlight w:val="none"/>
                <w:u w:val="none"/>
                <w:lang w:val="en-US" w:eastAsia="zh-CN" w:bidi="ar"/>
              </w:rPr>
              <w:t>工程量清单表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27"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合同段：嵊州市三溪水库配套工程（上竹线楼家-三溪段道路改建工程）</w:t>
            </w:r>
          </w:p>
        </w:tc>
        <w:tc>
          <w:tcPr>
            <w:tcW w:w="2989" w:type="dxa"/>
            <w:gridSpan w:val="3"/>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104" w:type="dxa"/>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标表2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920"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snapToGrid w:val="0"/>
                <w:color w:val="auto"/>
                <w:kern w:val="0"/>
                <w:sz w:val="24"/>
                <w:szCs w:val="24"/>
                <w:highlight w:val="none"/>
                <w:u w:val="none"/>
                <w:lang w:val="en-US" w:eastAsia="zh-CN" w:bidi="ar"/>
              </w:rPr>
              <w:t>清单   第 400 章 桥梁、涵洞工程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子目号</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子目名称</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单位</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数量</w:t>
            </w:r>
          </w:p>
        </w:tc>
        <w:tc>
          <w:tcPr>
            <w:tcW w:w="110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单价</w:t>
            </w:r>
          </w:p>
        </w:tc>
        <w:tc>
          <w:tcPr>
            <w:tcW w:w="1104" w:type="dxa"/>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墩台身混凝土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C30混凝土 （桥台台身）</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31.5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桥台帽、防震挡块混凝土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410-2-3-5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C35混凝土</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80.52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盖梁混凝土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410-2-5-5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C35混凝土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80.94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墩间系梁混凝土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410-2-6-3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C35混凝土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41.64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410-2-7</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支座垫石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410-2-7-5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C35混凝土</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2.44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桥梁上部结构现浇整体化混凝土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410-5-5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C50混凝土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72.8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现浇混凝土附属结构 （包括桥头搭板、防撞护栏）</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410-6-4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C30混凝土 （桥头搭板包括C20砼垫层）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36.72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410-6-5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C35混凝土 （防撞护栏包括护栏伸缩缝）</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118.68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预应力混凝土工程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后张法预应力钢绞线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18299.48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预制预应力混凝土上部结构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411-8-3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T梁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411-8-3-3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C50混凝土 （含预埋件、运输及安装）</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461.2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桥面铺装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415-2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水泥混凝土桥面调平层 （表面抛丸处理）</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102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415-4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浇筑式沥青混凝土桥面铺装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90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桥梁支座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416-2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盆式支座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-a</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GPZ1.5MN盆式支座</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个</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-b</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GPZ2.5MN盆式支座</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个</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417</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桥梁接缝和伸缩装置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417-5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异型钢伸缩装置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417-5-3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80型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防水处理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竖、横向集中排水管( 含管件)</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140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盲沟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240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改性沥青防水层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900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泄水管</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套</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400-4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四号桥K4+903（预应力砼T梁、3*30）</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钢筋</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基础钢筋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1404.2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403-1-2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11279.2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下部结构钢筋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814.4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19666.6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冷轧带肋钢筋焊接网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745.9</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3908" w:type="dxa"/>
            <w:tcBorders>
              <w:top w:val="nil"/>
              <w:left w:val="nil"/>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auto"/>
                <w:sz w:val="16"/>
                <w:szCs w:val="16"/>
                <w:highlight w:val="none"/>
                <w:u w:val="none"/>
              </w:rPr>
            </w:pP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816" w:type="dxa"/>
            <w:gridSpan w:val="5"/>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9 页</w:t>
            </w:r>
          </w:p>
        </w:tc>
        <w:tc>
          <w:tcPr>
            <w:tcW w:w="1104"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共 16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bl>
    <w:p>
      <w:pPr>
        <w:keepNext w:val="0"/>
        <w:keepLines w:val="0"/>
        <w:widowControl/>
        <w:suppressLineNumbers w:val="0"/>
        <w:jc w:val="center"/>
        <w:textAlignment w:val="top"/>
        <w:rPr>
          <w:rFonts w:hint="eastAsia" w:ascii="宋体" w:hAnsi="宋体" w:eastAsia="宋体" w:cs="宋体"/>
          <w:b/>
          <w:bCs/>
          <w:i w:val="0"/>
          <w:iCs w:val="0"/>
          <w:snapToGrid w:val="0"/>
          <w:color w:val="auto"/>
          <w:kern w:val="0"/>
          <w:sz w:val="36"/>
          <w:szCs w:val="36"/>
          <w:highlight w:val="none"/>
          <w:u w:val="none"/>
          <w:lang w:val="en-US" w:eastAsia="zh-CN" w:bidi="ar"/>
        </w:rPr>
      </w:pPr>
      <w:r>
        <w:rPr>
          <w:rFonts w:hint="eastAsia" w:ascii="宋体" w:hAnsi="宋体" w:eastAsia="宋体" w:cs="宋体"/>
          <w:b/>
          <w:bCs/>
          <w:i w:val="0"/>
          <w:iCs w:val="0"/>
          <w:snapToGrid w:val="0"/>
          <w:color w:val="auto"/>
          <w:kern w:val="0"/>
          <w:sz w:val="36"/>
          <w:szCs w:val="36"/>
          <w:highlight w:val="none"/>
          <w:u w:val="none"/>
          <w:lang w:val="en-US" w:eastAsia="zh-CN" w:bidi="ar"/>
        </w:rPr>
        <w:br w:type="page"/>
      </w:r>
    </w:p>
    <w:tbl>
      <w:tblPr>
        <w:tblStyle w:val="18"/>
        <w:tblW w:w="892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9"/>
        <w:gridCol w:w="3908"/>
        <w:gridCol w:w="734"/>
        <w:gridCol w:w="1151"/>
        <w:gridCol w:w="1104"/>
        <w:gridCol w:w="11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20" w:type="dxa"/>
            <w:gridSpan w:val="6"/>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snapToGrid w:val="0"/>
                <w:color w:val="auto"/>
                <w:kern w:val="0"/>
                <w:sz w:val="36"/>
                <w:szCs w:val="36"/>
                <w:highlight w:val="none"/>
                <w:u w:val="none"/>
                <w:lang w:val="en-US" w:eastAsia="zh-CN" w:bidi="ar"/>
              </w:rPr>
              <w:t>工程量清单表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27"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合同段：嵊州市三溪水库配套工程（上竹线楼家-三溪段道路改建工程）</w:t>
            </w:r>
          </w:p>
        </w:tc>
        <w:tc>
          <w:tcPr>
            <w:tcW w:w="2989" w:type="dxa"/>
            <w:gridSpan w:val="3"/>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104" w:type="dxa"/>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标表2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920"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snapToGrid w:val="0"/>
                <w:color w:val="auto"/>
                <w:kern w:val="0"/>
                <w:sz w:val="24"/>
                <w:szCs w:val="24"/>
                <w:highlight w:val="none"/>
                <w:u w:val="none"/>
                <w:lang w:val="en-US" w:eastAsia="zh-CN" w:bidi="ar"/>
              </w:rPr>
              <w:t>清单   第 400 章 桥梁、涵洞工程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子目号</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子目名称</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单位</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数量</w:t>
            </w:r>
          </w:p>
        </w:tc>
        <w:tc>
          <w:tcPr>
            <w:tcW w:w="110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单价</w:t>
            </w:r>
          </w:p>
        </w:tc>
        <w:tc>
          <w:tcPr>
            <w:tcW w:w="1104" w:type="dxa"/>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上部结构钢筋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26921.1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82233.4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焊接钢筋网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8322.75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附属结构钢筋 （包括伸缩缝、桥头搭板、防撞护栏）</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2705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18923.9</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冷轧带肋钢筋焊接网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157.4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基础挖方及回填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404-1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基础挖方及回填 （包括弃方外运）</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1503.7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钻孔灌注桩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钻孔灌注桩(不区分水中、陆上桩)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405-3-8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桩径1.6m （包括钻孔、C30水下砼灌注桩、凿桩头）</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52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声测管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770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结构混凝土工程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混凝土基础</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410-1-4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C30混凝土基础</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-a</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桥台扩大基础</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136.2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-b</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桩系梁</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12.48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410-1-12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C20混凝土垫层（桥台扩大基础）</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117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混凝土下部结构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立柱混凝土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410-2-1-3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C35混凝土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46.6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墩台身混凝土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C30混凝土 （桥台台身）</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32.5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桥台帽、防震挡块混凝土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410-2-3-5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C35混凝土</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79.72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盖梁混凝土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410-2-5-5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C35混凝土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50.56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410-2-7</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支座垫石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410-2-7-5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C35混凝土</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1.952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桥梁上部结构现浇整体化混凝土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410-5-5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C50混凝土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51.2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现浇混凝土附属结构 （包括桥头搭板、防撞护栏）</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410-6-4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C30混凝土 （桥头搭板包括C20砼垫层）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36.72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410-6-5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C35混凝土 （防撞护栏包括护栏伸缩缝）</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92.88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预应力混凝土工程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后张法预应力钢绞线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13583.28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预制预应力混凝土上部结构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411-8-3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T梁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411-8-3-3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C50混凝土 （含预埋件、运输及安装）</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345.7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桥面铺装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415-2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水泥混凝土桥面调平层 （表面抛丸处理）</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76.5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415-4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浇筑式沥青混凝土桥面铺装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67.5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3908" w:type="dxa"/>
            <w:tcBorders>
              <w:top w:val="nil"/>
              <w:left w:val="nil"/>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auto"/>
                <w:sz w:val="16"/>
                <w:szCs w:val="16"/>
                <w:highlight w:val="none"/>
                <w:u w:val="none"/>
              </w:rPr>
            </w:pP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816" w:type="dxa"/>
            <w:gridSpan w:val="5"/>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10 页</w:t>
            </w:r>
          </w:p>
        </w:tc>
        <w:tc>
          <w:tcPr>
            <w:tcW w:w="1104"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共 16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bl>
    <w:p>
      <w:pPr>
        <w:keepNext w:val="0"/>
        <w:keepLines w:val="0"/>
        <w:widowControl/>
        <w:suppressLineNumbers w:val="0"/>
        <w:jc w:val="center"/>
        <w:textAlignment w:val="top"/>
        <w:rPr>
          <w:rFonts w:hint="eastAsia" w:ascii="宋体" w:hAnsi="宋体" w:eastAsia="宋体" w:cs="宋体"/>
          <w:b/>
          <w:bCs/>
          <w:i w:val="0"/>
          <w:iCs w:val="0"/>
          <w:snapToGrid w:val="0"/>
          <w:color w:val="auto"/>
          <w:kern w:val="0"/>
          <w:sz w:val="36"/>
          <w:szCs w:val="36"/>
          <w:highlight w:val="none"/>
          <w:u w:val="none"/>
          <w:lang w:val="en-US" w:eastAsia="zh-CN" w:bidi="ar"/>
        </w:rPr>
      </w:pPr>
      <w:r>
        <w:rPr>
          <w:rFonts w:hint="eastAsia" w:ascii="宋体" w:hAnsi="宋体" w:eastAsia="宋体" w:cs="宋体"/>
          <w:b/>
          <w:bCs/>
          <w:i w:val="0"/>
          <w:iCs w:val="0"/>
          <w:snapToGrid w:val="0"/>
          <w:color w:val="auto"/>
          <w:kern w:val="0"/>
          <w:sz w:val="36"/>
          <w:szCs w:val="36"/>
          <w:highlight w:val="none"/>
          <w:u w:val="none"/>
          <w:lang w:val="en-US" w:eastAsia="zh-CN" w:bidi="ar"/>
        </w:rPr>
        <w:br w:type="page"/>
      </w:r>
    </w:p>
    <w:tbl>
      <w:tblPr>
        <w:tblStyle w:val="18"/>
        <w:tblW w:w="892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9"/>
        <w:gridCol w:w="3908"/>
        <w:gridCol w:w="734"/>
        <w:gridCol w:w="1151"/>
        <w:gridCol w:w="1104"/>
        <w:gridCol w:w="11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20" w:type="dxa"/>
            <w:gridSpan w:val="6"/>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snapToGrid w:val="0"/>
                <w:color w:val="auto"/>
                <w:kern w:val="0"/>
                <w:sz w:val="36"/>
                <w:szCs w:val="36"/>
                <w:highlight w:val="none"/>
                <w:u w:val="none"/>
                <w:lang w:val="en-US" w:eastAsia="zh-CN" w:bidi="ar"/>
              </w:rPr>
              <w:t>工程量清单表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27"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合同段：嵊州市三溪水库配套工程（上竹线楼家-三溪段道路改建工程）</w:t>
            </w:r>
          </w:p>
        </w:tc>
        <w:tc>
          <w:tcPr>
            <w:tcW w:w="2989" w:type="dxa"/>
            <w:gridSpan w:val="3"/>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104" w:type="dxa"/>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标表2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920"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snapToGrid w:val="0"/>
                <w:color w:val="auto"/>
                <w:kern w:val="0"/>
                <w:sz w:val="24"/>
                <w:szCs w:val="24"/>
                <w:highlight w:val="none"/>
                <w:u w:val="none"/>
                <w:lang w:val="en-US" w:eastAsia="zh-CN" w:bidi="ar"/>
              </w:rPr>
              <w:t>清单   第 400 章 桥梁、涵洞工程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子目号</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子目名称</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单位</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数量</w:t>
            </w:r>
          </w:p>
        </w:tc>
        <w:tc>
          <w:tcPr>
            <w:tcW w:w="110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单价</w:t>
            </w:r>
          </w:p>
        </w:tc>
        <w:tc>
          <w:tcPr>
            <w:tcW w:w="1104" w:type="dxa"/>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桥梁支座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416-2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盆式支座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-a</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GPZ1.5MN盆式支座</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个</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-b</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GPZ2.5MN盆式支座</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个</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417</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桥梁接缝和伸缩装置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417-5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异型钢伸缩装置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417-5-2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60型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防水处理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竖、横向集中排水管( 含管件)</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200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盲沟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180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改性沥青防水层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675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泄水管</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套</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400-5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五号桥K5+327（预应力砼T梁、4*30）</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钢筋</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基础钢筋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2459.4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403-1-2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21501.3</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下部结构钢筋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2582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45899.6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冷轧带肋钢筋焊接网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745.9</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上部结构钢筋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36045.9</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113164.6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焊接钢筋网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11097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附属结构钢筋 （包括伸缩缝、桥头搭板、防撞护栏）</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3407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22571.9</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冷轧带肋钢筋焊接网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157.4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基础挖方及回填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404-1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基础挖方及回填 （包括弃方外运）</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1031.4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钻孔灌注桩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钻孔灌注桩(不区分水中、陆上桩)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405-3-10</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桩径1.8m （包括钻孔、C30水下砼灌注桩、凿桩头）</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50.6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405-3-12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桩径2.0m （包括钻孔、C30水下砼灌注桩、凿桩头）</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23.4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声测管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1142.4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结构混凝土工程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混凝土基础</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410-1-4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C30混凝土基础</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-a</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桥台扩大基础</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136.2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-b</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桩系梁</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20.97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410-1-12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C20混凝土垫层（桥台扩大基础）</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110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混凝土下部结构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立柱混凝土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3908" w:type="dxa"/>
            <w:tcBorders>
              <w:top w:val="nil"/>
              <w:left w:val="nil"/>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auto"/>
                <w:sz w:val="16"/>
                <w:szCs w:val="16"/>
                <w:highlight w:val="none"/>
                <w:u w:val="none"/>
              </w:rPr>
            </w:pP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816" w:type="dxa"/>
            <w:gridSpan w:val="5"/>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11 页</w:t>
            </w:r>
          </w:p>
        </w:tc>
        <w:tc>
          <w:tcPr>
            <w:tcW w:w="1104"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共 16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bl>
    <w:p>
      <w:pPr>
        <w:keepNext w:val="0"/>
        <w:keepLines w:val="0"/>
        <w:widowControl/>
        <w:suppressLineNumbers w:val="0"/>
        <w:jc w:val="center"/>
        <w:textAlignment w:val="top"/>
        <w:rPr>
          <w:rFonts w:hint="eastAsia" w:ascii="宋体" w:hAnsi="宋体" w:eastAsia="宋体" w:cs="宋体"/>
          <w:b/>
          <w:bCs/>
          <w:i w:val="0"/>
          <w:iCs w:val="0"/>
          <w:snapToGrid w:val="0"/>
          <w:color w:val="auto"/>
          <w:kern w:val="0"/>
          <w:sz w:val="36"/>
          <w:szCs w:val="36"/>
          <w:highlight w:val="none"/>
          <w:u w:val="none"/>
          <w:lang w:val="en-US" w:eastAsia="zh-CN" w:bidi="ar"/>
        </w:rPr>
      </w:pPr>
      <w:r>
        <w:rPr>
          <w:rFonts w:hint="eastAsia" w:ascii="宋体" w:hAnsi="宋体" w:eastAsia="宋体" w:cs="宋体"/>
          <w:b/>
          <w:bCs/>
          <w:i w:val="0"/>
          <w:iCs w:val="0"/>
          <w:snapToGrid w:val="0"/>
          <w:color w:val="auto"/>
          <w:kern w:val="0"/>
          <w:sz w:val="36"/>
          <w:szCs w:val="36"/>
          <w:highlight w:val="none"/>
          <w:u w:val="none"/>
          <w:lang w:val="en-US" w:eastAsia="zh-CN" w:bidi="ar"/>
        </w:rPr>
        <w:br w:type="page"/>
      </w:r>
    </w:p>
    <w:tbl>
      <w:tblPr>
        <w:tblStyle w:val="18"/>
        <w:tblW w:w="892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9"/>
        <w:gridCol w:w="3908"/>
        <w:gridCol w:w="734"/>
        <w:gridCol w:w="1151"/>
        <w:gridCol w:w="1104"/>
        <w:gridCol w:w="11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20" w:type="dxa"/>
            <w:gridSpan w:val="6"/>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snapToGrid w:val="0"/>
                <w:color w:val="auto"/>
                <w:kern w:val="0"/>
                <w:sz w:val="36"/>
                <w:szCs w:val="36"/>
                <w:highlight w:val="none"/>
                <w:u w:val="none"/>
                <w:lang w:val="en-US" w:eastAsia="zh-CN" w:bidi="ar"/>
              </w:rPr>
              <w:t>工程量清单表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27"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合同段：嵊州市三溪水库配套工程（上竹线楼家-三溪段道路改建工程）</w:t>
            </w:r>
          </w:p>
        </w:tc>
        <w:tc>
          <w:tcPr>
            <w:tcW w:w="2989" w:type="dxa"/>
            <w:gridSpan w:val="3"/>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104" w:type="dxa"/>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标表2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920"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snapToGrid w:val="0"/>
                <w:color w:val="auto"/>
                <w:kern w:val="0"/>
                <w:sz w:val="24"/>
                <w:szCs w:val="24"/>
                <w:highlight w:val="none"/>
                <w:u w:val="none"/>
                <w:lang w:val="en-US" w:eastAsia="zh-CN" w:bidi="ar"/>
              </w:rPr>
              <w:t>清单   第 400 章 桥梁、涵洞工程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子目号</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子目名称</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单位</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数量</w:t>
            </w:r>
          </w:p>
        </w:tc>
        <w:tc>
          <w:tcPr>
            <w:tcW w:w="110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单价</w:t>
            </w:r>
          </w:p>
        </w:tc>
        <w:tc>
          <w:tcPr>
            <w:tcW w:w="1104" w:type="dxa"/>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410-2-1-3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C35混凝土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219.3</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墩台身混凝土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C30混凝土 （桥台台身）</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32.5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桥台帽、防震挡块混凝土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410-2-3-5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C35混凝土</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80.52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盖梁混凝土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410-2-5-5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C35混凝土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75.84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墩间系梁混凝土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410-2-6-3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C35混凝土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19.22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410-2-7</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支座垫石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410-2-7-5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C35混凝土</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2.44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桥梁上部结构现浇整体化混凝土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410-5-5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C50混凝土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72.8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现浇混凝土附属结构 （包括桥头搭板、防撞护栏）</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410-6-4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C30混凝土 （桥头搭板包括C20砼垫层）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36.72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410-6-5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C35混凝土 （防撞护栏包括护栏伸缩缝）</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118.68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预应力混凝土工程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后张法预应力钢绞线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18299.48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预制预应力混凝土上部结构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411-8-3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T梁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411-8-3-3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C50混凝土 （含预埋件、运输及安装）</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461.2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桥面铺装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415-2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水泥混凝土桥面调平层 （表面抛丸处理）</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102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415-4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浇筑式沥青混凝土桥面铺装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90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桥梁支座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416-2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盆式支座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-a</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GPZ1.5MN盆式支座</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个</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-b</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GPZ2.5MN盆式支座</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个</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417</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桥梁接缝和伸缩装置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417-5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异型钢伸缩装置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417-5-3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80型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防水处理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竖、横向集中排水管( 含管件)</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230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盲沟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240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改性沥青防水层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900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泄水管</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套</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400-6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六号桥K5+740（预应力砼T梁、3*30）</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钢筋</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基础钢筋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1290.2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403-1-2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9429.7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下部结构钢筋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1041.4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21399.4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3908" w:type="dxa"/>
            <w:tcBorders>
              <w:top w:val="nil"/>
              <w:left w:val="nil"/>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auto"/>
                <w:sz w:val="16"/>
                <w:szCs w:val="16"/>
                <w:highlight w:val="none"/>
                <w:u w:val="none"/>
              </w:rPr>
            </w:pP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816" w:type="dxa"/>
            <w:gridSpan w:val="5"/>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12 页</w:t>
            </w:r>
          </w:p>
        </w:tc>
        <w:tc>
          <w:tcPr>
            <w:tcW w:w="1104"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共 16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bl>
    <w:p>
      <w:pPr>
        <w:keepNext w:val="0"/>
        <w:keepLines w:val="0"/>
        <w:widowControl/>
        <w:suppressLineNumbers w:val="0"/>
        <w:jc w:val="center"/>
        <w:textAlignment w:val="top"/>
        <w:rPr>
          <w:rFonts w:hint="eastAsia" w:ascii="宋体" w:hAnsi="宋体" w:eastAsia="宋体" w:cs="宋体"/>
          <w:b/>
          <w:bCs/>
          <w:i w:val="0"/>
          <w:iCs w:val="0"/>
          <w:snapToGrid w:val="0"/>
          <w:color w:val="auto"/>
          <w:kern w:val="0"/>
          <w:sz w:val="36"/>
          <w:szCs w:val="36"/>
          <w:highlight w:val="none"/>
          <w:u w:val="none"/>
          <w:lang w:val="en-US" w:eastAsia="zh-CN" w:bidi="ar"/>
        </w:rPr>
      </w:pPr>
      <w:r>
        <w:rPr>
          <w:rFonts w:hint="eastAsia" w:ascii="宋体" w:hAnsi="宋体" w:eastAsia="宋体" w:cs="宋体"/>
          <w:b/>
          <w:bCs/>
          <w:i w:val="0"/>
          <w:iCs w:val="0"/>
          <w:snapToGrid w:val="0"/>
          <w:color w:val="auto"/>
          <w:kern w:val="0"/>
          <w:sz w:val="36"/>
          <w:szCs w:val="36"/>
          <w:highlight w:val="none"/>
          <w:u w:val="none"/>
          <w:lang w:val="en-US" w:eastAsia="zh-CN" w:bidi="ar"/>
        </w:rPr>
        <w:br w:type="page"/>
      </w:r>
    </w:p>
    <w:tbl>
      <w:tblPr>
        <w:tblStyle w:val="18"/>
        <w:tblW w:w="892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9"/>
        <w:gridCol w:w="3908"/>
        <w:gridCol w:w="734"/>
        <w:gridCol w:w="1151"/>
        <w:gridCol w:w="1104"/>
        <w:gridCol w:w="11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20" w:type="dxa"/>
            <w:gridSpan w:val="6"/>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snapToGrid w:val="0"/>
                <w:color w:val="auto"/>
                <w:kern w:val="0"/>
                <w:sz w:val="36"/>
                <w:szCs w:val="36"/>
                <w:highlight w:val="none"/>
                <w:u w:val="none"/>
                <w:lang w:val="en-US" w:eastAsia="zh-CN" w:bidi="ar"/>
              </w:rPr>
              <w:t>工程量清单表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27"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合同段：嵊州市三溪水库配套工程（上竹线楼家-三溪段道路改建工程）</w:t>
            </w:r>
          </w:p>
        </w:tc>
        <w:tc>
          <w:tcPr>
            <w:tcW w:w="2989" w:type="dxa"/>
            <w:gridSpan w:val="3"/>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104" w:type="dxa"/>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标表2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920"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snapToGrid w:val="0"/>
                <w:color w:val="auto"/>
                <w:kern w:val="0"/>
                <w:sz w:val="24"/>
                <w:szCs w:val="24"/>
                <w:highlight w:val="none"/>
                <w:u w:val="none"/>
                <w:lang w:val="en-US" w:eastAsia="zh-CN" w:bidi="ar"/>
              </w:rPr>
              <w:t>清单   第 400 章 桥梁、涵洞工程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子目号</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子目名称</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单位</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数量</w:t>
            </w:r>
          </w:p>
        </w:tc>
        <w:tc>
          <w:tcPr>
            <w:tcW w:w="110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单价</w:t>
            </w:r>
          </w:p>
        </w:tc>
        <w:tc>
          <w:tcPr>
            <w:tcW w:w="1104" w:type="dxa"/>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403-2-3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冷轧带肋钢筋焊接网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745.9</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上部结构钢筋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26921.1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82233.4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焊接钢筋网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8322.75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附属结构钢筋 （包括伸缩缝、桥头搭板、防撞护栏）</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2798.6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19410.3</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403-4-3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冷轧带肋钢筋焊接网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157.4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基础挖方及回填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404-1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基础挖方及回填 （包括弃方外运）</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1483.7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钻孔灌注桩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钻孔灌注桩(不区分水中、陆上桩)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405-3-8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桩径1.6m （包括钻孔、C30水下砼灌注桩、凿桩头）</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405-4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声测管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693.8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结构混凝土工程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混凝土基础</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410-1-4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C30混凝土基础</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-a</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桥台扩大基础</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308.907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-b</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桩系梁</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6.24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410-1-12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C20混凝土垫层（桥台扩大基础）</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108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混凝土下部结构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立柱混凝土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410-2-1-3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C35混凝土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68.2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墩台身混凝土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410-2-2-2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C30混凝土 （桥台台身）</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169.693</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桥台帽、防震挡块混凝土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410-2-3-5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C35混凝土</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64.08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盖梁混凝土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410-2-5-5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C35混凝土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50.56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410-2-7</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支座垫石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410-2-7-5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C35混凝土</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1.952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桥梁上部结构现浇整体化混凝土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410-5-5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C50混凝土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51.2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现浇混凝土附属结构 （包括桥头搭板、防撞护栏）</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410-6-4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C30混凝土 （桥头搭板包括C20砼垫层）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36.72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410-6-5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C35混凝土 （防撞护栏包括护栏伸缩缝）</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96.32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预应力混凝土工程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后张法预应力钢绞线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13583.28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预制预应力混凝土上部结构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411-8-3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T梁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411-8-3-3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C50混凝土 （含预埋件、运输及安装）</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345.7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桥面铺装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415-2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水泥混凝土桥面调平层 （表面抛丸处理）</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76.5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3908" w:type="dxa"/>
            <w:tcBorders>
              <w:top w:val="nil"/>
              <w:left w:val="nil"/>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auto"/>
                <w:sz w:val="16"/>
                <w:szCs w:val="16"/>
                <w:highlight w:val="none"/>
                <w:u w:val="none"/>
              </w:rPr>
            </w:pP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816" w:type="dxa"/>
            <w:gridSpan w:val="5"/>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13 页</w:t>
            </w:r>
          </w:p>
        </w:tc>
        <w:tc>
          <w:tcPr>
            <w:tcW w:w="1104"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共 16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bl>
    <w:p>
      <w:pPr>
        <w:keepNext w:val="0"/>
        <w:keepLines w:val="0"/>
        <w:widowControl/>
        <w:suppressLineNumbers w:val="0"/>
        <w:jc w:val="center"/>
        <w:textAlignment w:val="top"/>
        <w:rPr>
          <w:rFonts w:hint="eastAsia" w:ascii="宋体" w:hAnsi="宋体" w:eastAsia="宋体" w:cs="宋体"/>
          <w:b/>
          <w:bCs/>
          <w:i w:val="0"/>
          <w:iCs w:val="0"/>
          <w:snapToGrid w:val="0"/>
          <w:color w:val="auto"/>
          <w:kern w:val="0"/>
          <w:sz w:val="36"/>
          <w:szCs w:val="36"/>
          <w:highlight w:val="none"/>
          <w:u w:val="none"/>
          <w:lang w:val="en-US" w:eastAsia="zh-CN" w:bidi="ar"/>
        </w:rPr>
      </w:pPr>
      <w:r>
        <w:rPr>
          <w:rFonts w:hint="eastAsia" w:ascii="宋体" w:hAnsi="宋体" w:eastAsia="宋体" w:cs="宋体"/>
          <w:b/>
          <w:bCs/>
          <w:i w:val="0"/>
          <w:iCs w:val="0"/>
          <w:snapToGrid w:val="0"/>
          <w:color w:val="auto"/>
          <w:kern w:val="0"/>
          <w:sz w:val="36"/>
          <w:szCs w:val="36"/>
          <w:highlight w:val="none"/>
          <w:u w:val="none"/>
          <w:lang w:val="en-US" w:eastAsia="zh-CN" w:bidi="ar"/>
        </w:rPr>
        <w:br w:type="page"/>
      </w:r>
    </w:p>
    <w:tbl>
      <w:tblPr>
        <w:tblStyle w:val="18"/>
        <w:tblW w:w="892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9"/>
        <w:gridCol w:w="3908"/>
        <w:gridCol w:w="734"/>
        <w:gridCol w:w="1151"/>
        <w:gridCol w:w="1104"/>
        <w:gridCol w:w="11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20" w:type="dxa"/>
            <w:gridSpan w:val="6"/>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snapToGrid w:val="0"/>
                <w:color w:val="auto"/>
                <w:kern w:val="0"/>
                <w:sz w:val="36"/>
                <w:szCs w:val="36"/>
                <w:highlight w:val="none"/>
                <w:u w:val="none"/>
                <w:lang w:val="en-US" w:eastAsia="zh-CN" w:bidi="ar"/>
              </w:rPr>
              <w:t>工程量清单表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27"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合同段：嵊州市三溪水库配套工程（上竹线楼家-三溪段道路改建工程）</w:t>
            </w:r>
          </w:p>
        </w:tc>
        <w:tc>
          <w:tcPr>
            <w:tcW w:w="2989" w:type="dxa"/>
            <w:gridSpan w:val="3"/>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104" w:type="dxa"/>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标表2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920"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snapToGrid w:val="0"/>
                <w:color w:val="auto"/>
                <w:kern w:val="0"/>
                <w:sz w:val="24"/>
                <w:szCs w:val="24"/>
                <w:highlight w:val="none"/>
                <w:u w:val="none"/>
                <w:lang w:val="en-US" w:eastAsia="zh-CN" w:bidi="ar"/>
              </w:rPr>
              <w:t>清单   第 400 章 桥梁、涵洞工程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子目号</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子目名称</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单位</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数量</w:t>
            </w:r>
          </w:p>
        </w:tc>
        <w:tc>
          <w:tcPr>
            <w:tcW w:w="110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单价</w:t>
            </w:r>
          </w:p>
        </w:tc>
        <w:tc>
          <w:tcPr>
            <w:tcW w:w="1104" w:type="dxa"/>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415-4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浇筑式沥青混凝土桥面铺装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67.5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桥梁支座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416-2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盆式支座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-a</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GPZ1.5MN盆式支座</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个</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-b</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GPZ2.5MN盆式支座</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个</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417</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桥梁接缝和伸缩装置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417-5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异型钢伸缩装置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417-5-2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60型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防水处理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竖、横向集中排水管( 含管件)</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200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盲沟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180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改性沥青防水层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675</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418-4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泄水管</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套</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419</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圆管涵及倒虹吸管涵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419-1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单孔钢筋混凝土圆管涵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419-1-1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1-Φ1.0</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23</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419-1-4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1-Φ1.5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100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419-1-5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边沟跌井</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座</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420</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盖板涵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420-1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开挖（含回填）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729.9</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420-2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光圆钢筋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7411.3</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420-3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带肋钢筋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kg</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157214.6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420-5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C30砼盖板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375.3</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420-7</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C30砼涵身</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1576.2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420-6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C30砼台帽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182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420-8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C25砼基础</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88.4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420-18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砂石粒料垫层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474.2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420-12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C25砼端墙及帽石</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187.2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420-16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M7.5浆砌片（块）石 （片石利用，含抹面勾缝）</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m3</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383.7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421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沉淀池</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个</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3908" w:type="dxa"/>
            <w:tcBorders>
              <w:top w:val="nil"/>
              <w:left w:val="nil"/>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auto"/>
                <w:sz w:val="16"/>
                <w:szCs w:val="16"/>
                <w:highlight w:val="none"/>
                <w:u w:val="none"/>
              </w:rPr>
            </w:pP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20" w:type="dxa"/>
            <w:gridSpan w:val="6"/>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400 章  合计   人民币   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816" w:type="dxa"/>
            <w:gridSpan w:val="5"/>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14 页</w:t>
            </w:r>
          </w:p>
        </w:tc>
        <w:tc>
          <w:tcPr>
            <w:tcW w:w="1104"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共 16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20" w:type="dxa"/>
            <w:gridSpan w:val="6"/>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snapToGrid w:val="0"/>
                <w:color w:val="auto"/>
                <w:kern w:val="0"/>
                <w:sz w:val="36"/>
                <w:szCs w:val="36"/>
                <w:highlight w:val="none"/>
                <w:u w:val="none"/>
                <w:lang w:val="en-US" w:eastAsia="zh-CN" w:bidi="ar"/>
              </w:rPr>
              <w:t>工程量清单表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27"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合同段：嵊州市三溪水库配套工程（上竹线楼家-三溪段道路改建工程）</w:t>
            </w:r>
          </w:p>
        </w:tc>
        <w:tc>
          <w:tcPr>
            <w:tcW w:w="2989" w:type="dxa"/>
            <w:gridSpan w:val="3"/>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104" w:type="dxa"/>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标表2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920"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snapToGrid w:val="0"/>
                <w:color w:val="auto"/>
                <w:kern w:val="0"/>
                <w:sz w:val="24"/>
                <w:szCs w:val="24"/>
                <w:highlight w:val="none"/>
                <w:u w:val="none"/>
                <w:lang w:val="en-US" w:eastAsia="zh-CN" w:bidi="ar"/>
              </w:rPr>
              <w:t xml:space="preserve">清单   第 600 章 交通安全设施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子目号</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子目名称</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单位</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数量</w:t>
            </w:r>
          </w:p>
        </w:tc>
        <w:tc>
          <w:tcPr>
            <w:tcW w:w="110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单价</w:t>
            </w:r>
          </w:p>
        </w:tc>
        <w:tc>
          <w:tcPr>
            <w:tcW w:w="1104" w:type="dxa"/>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护栏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602-6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路侧波形梁钢护栏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602-6-11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Gr-4-4C(盖板涵部分）</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140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602-6-7</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Gr-B-2E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1858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602-6-8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Gr-B-1E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602-6-11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Gr-B-2C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2332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602-6-12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Gr-B-1C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124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602-6-19</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路桥过渡段</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个</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道路交通标志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604-1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单柱式交通标志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604-1-3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八边形D800*2，Φ89*4.5*3188，C25砼基础，碎石垫层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套</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604-1-3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○800*2，Φ89*4.5*3250，C25砼基础，碎石垫层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套</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604-1-2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400*600*2，Φ89*4.5*3100，C25砼基础，碎石垫层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套</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117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604-1-4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△900*2，Φ89*4.5*3230，C25砼基础，碎石垫层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套</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26</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604-1-9</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2-△900*2，Φ89*4.5*4060，C25砼基础，碎石垫层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套</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604-1-1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2-○800*2，Φ114*4.5*4100，C25砼基础，碎石垫层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套</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604-1-5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□800*800*2，Φ89*4.5*3250，C25砼基础，碎石垫层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套</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604-1-9</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□800*600*2，Φ89*4.5*2050，C25砼基础，碎石垫层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套</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604-1-6</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□800*800*2+八角形D800*2，Φ114*4.5*4080，C25砼基础，碎石垫层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套</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604-1-7</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△900*2+○800*2，Φ114*4.5*4080，C25砼基础，碎石垫层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套</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3</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604-1-8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凸面镜，Φ89*4.5*3200，C25砼基础，碎石垫层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套</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604-5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3000*1800*3，Φ219*10*7500，C25砼基础，碎石垫层</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个</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604-7</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附着式交通标志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个</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604-8</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里程碑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个</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604-9</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公路界碑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个</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604-10</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百米桩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个</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71</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605</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道路交通标线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605-1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热熔型涂料路面标线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605-1-1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普通型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4928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605-1-3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震颤标线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129</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605-7</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视线诱导设施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605-7-2</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附着式轮廓标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个</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549</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605-7-9</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道口标柱（Φ120*4.5*1200无缝钢管，IV类反光膜）</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个</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28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605-10</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减速带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50</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3908" w:type="dxa"/>
            <w:tcBorders>
              <w:top w:val="nil"/>
              <w:left w:val="nil"/>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auto"/>
                <w:sz w:val="16"/>
                <w:szCs w:val="16"/>
                <w:highlight w:val="none"/>
                <w:u w:val="none"/>
              </w:rPr>
            </w:pP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20" w:type="dxa"/>
            <w:gridSpan w:val="6"/>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600 章  合计   人民币   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816" w:type="dxa"/>
            <w:gridSpan w:val="5"/>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15 页</w:t>
            </w:r>
          </w:p>
        </w:tc>
        <w:tc>
          <w:tcPr>
            <w:tcW w:w="1104"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共 16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20" w:type="dxa"/>
            <w:gridSpan w:val="6"/>
            <w:tcBorders>
              <w:top w:val="nil"/>
              <w:left w:val="nil"/>
              <w:bottom w:val="nil"/>
              <w:right w:val="nil"/>
            </w:tcBorders>
            <w:shd w:val="clear" w:color="auto" w:fill="FFFFFF"/>
            <w:vAlign w:val="top"/>
          </w:tcPr>
          <w:p>
            <w:pPr>
              <w:keepNext w:val="0"/>
              <w:keepLines w:val="0"/>
              <w:widowControl/>
              <w:suppressLineNumbers w:val="0"/>
              <w:jc w:val="center"/>
              <w:textAlignment w:val="top"/>
              <w:rPr>
                <w:rFonts w:hint="eastAsia" w:ascii="宋体" w:hAnsi="宋体" w:eastAsia="宋体" w:cs="宋体"/>
                <w:b/>
                <w:bCs/>
                <w:i w:val="0"/>
                <w:iCs w:val="0"/>
                <w:color w:val="auto"/>
                <w:sz w:val="36"/>
                <w:szCs w:val="36"/>
                <w:highlight w:val="none"/>
                <w:u w:val="none"/>
              </w:rPr>
            </w:pPr>
            <w:r>
              <w:rPr>
                <w:rFonts w:hint="eastAsia" w:ascii="宋体" w:hAnsi="宋体" w:eastAsia="宋体" w:cs="宋体"/>
                <w:b/>
                <w:bCs/>
                <w:i w:val="0"/>
                <w:iCs w:val="0"/>
                <w:snapToGrid w:val="0"/>
                <w:color w:val="auto"/>
                <w:kern w:val="0"/>
                <w:sz w:val="36"/>
                <w:szCs w:val="36"/>
                <w:highlight w:val="none"/>
                <w:u w:val="none"/>
                <w:lang w:val="en-US" w:eastAsia="zh-CN" w:bidi="ar"/>
              </w:rPr>
              <w:t>工程量清单表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827" w:type="dxa"/>
            <w:gridSpan w:val="2"/>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合同段：嵊州市三溪水库配套工程（上竹线楼家-三溪段道路改建工程）</w:t>
            </w:r>
          </w:p>
        </w:tc>
        <w:tc>
          <w:tcPr>
            <w:tcW w:w="2989" w:type="dxa"/>
            <w:gridSpan w:val="3"/>
            <w:tcBorders>
              <w:top w:val="nil"/>
              <w:left w:val="nil"/>
              <w:bottom w:val="nil"/>
              <w:right w:val="nil"/>
            </w:tcBorders>
            <w:shd w:val="clear" w:color="auto" w:fill="FFFFFF"/>
            <w:vAlign w:val="center"/>
          </w:tcPr>
          <w:p>
            <w:pPr>
              <w:jc w:val="right"/>
              <w:rPr>
                <w:rFonts w:hint="eastAsia" w:ascii="宋体" w:hAnsi="宋体" w:eastAsia="宋体" w:cs="宋体"/>
                <w:i w:val="0"/>
                <w:iCs w:val="0"/>
                <w:color w:val="auto"/>
                <w:sz w:val="16"/>
                <w:szCs w:val="16"/>
                <w:highlight w:val="none"/>
                <w:u w:val="none"/>
              </w:rPr>
            </w:pPr>
          </w:p>
        </w:tc>
        <w:tc>
          <w:tcPr>
            <w:tcW w:w="1104" w:type="dxa"/>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标表2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8920"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snapToGrid w:val="0"/>
                <w:color w:val="auto"/>
                <w:kern w:val="0"/>
                <w:sz w:val="24"/>
                <w:szCs w:val="24"/>
                <w:highlight w:val="none"/>
                <w:u w:val="none"/>
                <w:lang w:val="en-US" w:eastAsia="zh-CN" w:bidi="ar"/>
              </w:rPr>
              <w:t xml:space="preserve">清单   第 700 章 绿化及环境保护工程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子目号</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子目名称</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单位</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数量</w:t>
            </w:r>
          </w:p>
        </w:tc>
        <w:tc>
          <w:tcPr>
            <w:tcW w:w="110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单价</w:t>
            </w:r>
          </w:p>
        </w:tc>
        <w:tc>
          <w:tcPr>
            <w:tcW w:w="1104" w:type="dxa"/>
            <w:tcBorders>
              <w:top w:val="nil"/>
              <w:left w:val="nil"/>
              <w:bottom w:val="single" w:color="000000" w:sz="4"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snapToGrid w:val="0"/>
                <w:color w:val="auto"/>
                <w:kern w:val="0"/>
                <w:sz w:val="16"/>
                <w:szCs w:val="16"/>
                <w:highlight w:val="none"/>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703</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撒播草种和铺植草皮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703-1</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撒播草种（含喷播）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m2</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5348</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704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种植乔木、灌木和攀缘植物 </w:t>
            </w: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704-4</w:t>
            </w:r>
          </w:p>
        </w:tc>
        <w:tc>
          <w:tcPr>
            <w:tcW w:w="3908"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 xml:space="preserve">人工种植攀缘植物 </w:t>
            </w:r>
          </w:p>
        </w:tc>
        <w:tc>
          <w:tcPr>
            <w:tcW w:w="734"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棵</w:t>
            </w:r>
          </w:p>
        </w:tc>
        <w:tc>
          <w:tcPr>
            <w:tcW w:w="1151" w:type="dxa"/>
            <w:tcBorders>
              <w:top w:val="nil"/>
              <w:left w:val="nil"/>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Arial Narrow" w:hAnsi="Arial Narrow" w:eastAsia="Arial Narrow" w:cs="Arial Narrow"/>
                <w:i w:val="0"/>
                <w:iCs w:val="0"/>
                <w:color w:val="auto"/>
                <w:sz w:val="16"/>
                <w:szCs w:val="16"/>
                <w:highlight w:val="none"/>
                <w:u w:val="none"/>
              </w:rPr>
            </w:pPr>
            <w:r>
              <w:rPr>
                <w:rFonts w:hint="default" w:ascii="Arial Narrow" w:hAnsi="Arial Narrow" w:eastAsia="Arial Narrow" w:cs="Arial Narrow"/>
                <w:i w:val="0"/>
                <w:iCs w:val="0"/>
                <w:snapToGrid w:val="0"/>
                <w:color w:val="auto"/>
                <w:kern w:val="0"/>
                <w:sz w:val="16"/>
                <w:szCs w:val="16"/>
                <w:highlight w:val="none"/>
                <w:u w:val="none"/>
                <w:lang w:val="en-US" w:eastAsia="zh-CN" w:bidi="ar"/>
              </w:rPr>
              <w:t>19232</w:t>
            </w: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919" w:type="dxa"/>
            <w:tcBorders>
              <w:top w:val="nil"/>
              <w:left w:val="single" w:color="000000" w:sz="8"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3908" w:type="dxa"/>
            <w:tcBorders>
              <w:top w:val="nil"/>
              <w:left w:val="nil"/>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auto"/>
                <w:sz w:val="16"/>
                <w:szCs w:val="16"/>
                <w:highlight w:val="none"/>
                <w:u w:val="none"/>
              </w:rPr>
            </w:pPr>
          </w:p>
        </w:tc>
        <w:tc>
          <w:tcPr>
            <w:tcW w:w="734" w:type="dxa"/>
            <w:tcBorders>
              <w:top w:val="nil"/>
              <w:left w:val="nil"/>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auto"/>
                <w:sz w:val="16"/>
                <w:szCs w:val="16"/>
                <w:highlight w:val="none"/>
                <w:u w:val="none"/>
              </w:rPr>
            </w:pPr>
          </w:p>
        </w:tc>
        <w:tc>
          <w:tcPr>
            <w:tcW w:w="1151"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4"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c>
          <w:tcPr>
            <w:tcW w:w="1104" w:type="dxa"/>
            <w:tcBorders>
              <w:top w:val="nil"/>
              <w:left w:val="nil"/>
              <w:bottom w:val="single" w:color="000000" w:sz="4" w:space="0"/>
              <w:right w:val="single" w:color="000000" w:sz="8" w:space="0"/>
            </w:tcBorders>
            <w:shd w:val="clear" w:color="auto" w:fill="FFFFFF"/>
            <w:vAlign w:val="center"/>
          </w:tcPr>
          <w:p>
            <w:pPr>
              <w:jc w:val="right"/>
              <w:rPr>
                <w:rFonts w:hint="default" w:ascii="Arial Narrow" w:hAnsi="Arial Narrow" w:eastAsia="Arial Narrow" w:cs="Arial Narrow"/>
                <w:i w:val="0"/>
                <w:iCs w:val="0"/>
                <w:color w:val="auto"/>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20" w:type="dxa"/>
            <w:gridSpan w:val="6"/>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700 章  合计   人民币   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816" w:type="dxa"/>
            <w:gridSpan w:val="5"/>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清单   第 16 页</w:t>
            </w:r>
          </w:p>
        </w:tc>
        <w:tc>
          <w:tcPr>
            <w:tcW w:w="1104"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snapToGrid w:val="0"/>
                <w:color w:val="auto"/>
                <w:kern w:val="0"/>
                <w:sz w:val="16"/>
                <w:szCs w:val="16"/>
                <w:highlight w:val="none"/>
                <w:u w:val="none"/>
                <w:lang w:val="en-US" w:eastAsia="zh-CN" w:bidi="ar"/>
              </w:rPr>
              <w:t>共 16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919"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3908"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73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51"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c>
          <w:tcPr>
            <w:tcW w:w="1104" w:type="dxa"/>
            <w:tcBorders>
              <w:top w:val="nil"/>
              <w:left w:val="nil"/>
              <w:bottom w:val="nil"/>
              <w:right w:val="nil"/>
            </w:tcBorders>
            <w:shd w:val="clear" w:color="auto" w:fill="FFFFFF"/>
            <w:vAlign w:val="top"/>
          </w:tcPr>
          <w:p>
            <w:pPr>
              <w:jc w:val="left"/>
              <w:rPr>
                <w:rFonts w:hint="default" w:ascii="SansSerif" w:hAnsi="SansSerif" w:eastAsia="SansSerif" w:cs="SansSerif"/>
                <w:i w:val="0"/>
                <w:iCs w:val="0"/>
                <w:color w:val="auto"/>
                <w:sz w:val="20"/>
                <w:szCs w:val="20"/>
                <w:highlight w:val="none"/>
                <w:u w:val="none"/>
              </w:rPr>
            </w:pPr>
          </w:p>
        </w:tc>
      </w:tr>
    </w:tbl>
    <w:p>
      <w:pPr>
        <w:keepNext w:val="0"/>
        <w:keepLines w:val="0"/>
        <w:widowControl/>
        <w:suppressLineNumbers w:val="0"/>
        <w:jc w:val="center"/>
        <w:textAlignment w:val="top"/>
        <w:rPr>
          <w:rFonts w:hint="eastAsia" w:ascii="宋体" w:hAnsi="宋体" w:eastAsia="宋体" w:cs="宋体"/>
          <w:b/>
          <w:bCs/>
          <w:i w:val="0"/>
          <w:iCs w:val="0"/>
          <w:snapToGrid w:val="0"/>
          <w:color w:val="auto"/>
          <w:kern w:val="0"/>
          <w:sz w:val="36"/>
          <w:szCs w:val="36"/>
          <w:highlight w:val="none"/>
          <w:u w:val="none"/>
          <w:lang w:val="en-US" w:eastAsia="zh-CN" w:bidi="ar"/>
        </w:rPr>
      </w:pPr>
      <w:r>
        <w:rPr>
          <w:rFonts w:hint="eastAsia" w:ascii="宋体" w:hAnsi="宋体" w:eastAsia="宋体" w:cs="宋体"/>
          <w:b/>
          <w:bCs/>
          <w:i w:val="0"/>
          <w:iCs w:val="0"/>
          <w:snapToGrid w:val="0"/>
          <w:color w:val="auto"/>
          <w:kern w:val="0"/>
          <w:sz w:val="36"/>
          <w:szCs w:val="36"/>
          <w:highlight w:val="none"/>
          <w:u w:val="none"/>
          <w:lang w:val="en-US" w:eastAsia="zh-CN" w:bidi="ar"/>
        </w:rPr>
        <w:br w:type="page"/>
      </w:r>
    </w:p>
    <w:p>
      <w:pPr>
        <w:keepNext w:val="0"/>
        <w:keepLines w:val="0"/>
        <w:widowControl/>
        <w:suppressLineNumbers w:val="0"/>
        <w:jc w:val="center"/>
        <w:textAlignment w:val="top"/>
        <w:rPr>
          <w:rFonts w:hint="eastAsia" w:ascii="宋体" w:hAnsi="宋体" w:eastAsia="宋体" w:cs="宋体"/>
          <w:b/>
          <w:bCs/>
          <w:i w:val="0"/>
          <w:iCs w:val="0"/>
          <w:snapToGrid w:val="0"/>
          <w:color w:val="auto"/>
          <w:kern w:val="0"/>
          <w:sz w:val="36"/>
          <w:szCs w:val="36"/>
          <w:highlight w:val="none"/>
          <w:u w:val="none"/>
          <w:lang w:val="en-US" w:eastAsia="zh-CN" w:bidi="ar"/>
        </w:rPr>
      </w:pPr>
    </w:p>
    <w:p>
      <w:pPr>
        <w:keepNext w:val="0"/>
        <w:keepLines w:val="0"/>
        <w:widowControl/>
        <w:suppressLineNumbers w:val="0"/>
        <w:jc w:val="center"/>
        <w:textAlignment w:val="top"/>
        <w:rPr>
          <w:rFonts w:hint="eastAsia" w:ascii="宋体" w:hAnsi="宋体" w:eastAsia="宋体" w:cs="宋体"/>
          <w:b/>
          <w:bCs/>
          <w:i w:val="0"/>
          <w:iCs w:val="0"/>
          <w:snapToGrid w:val="0"/>
          <w:color w:val="auto"/>
          <w:kern w:val="0"/>
          <w:sz w:val="36"/>
          <w:szCs w:val="36"/>
          <w:highlight w:val="none"/>
          <w:u w:val="none"/>
          <w:lang w:val="en-US" w:eastAsia="zh-CN" w:bidi="ar"/>
        </w:rPr>
      </w:pPr>
    </w:p>
    <w:p>
      <w:pPr>
        <w:keepNext w:val="0"/>
        <w:keepLines w:val="0"/>
        <w:widowControl/>
        <w:suppressLineNumbers w:val="0"/>
        <w:jc w:val="both"/>
        <w:textAlignment w:val="top"/>
        <w:rPr>
          <w:rFonts w:hint="eastAsia" w:ascii="宋体" w:hAnsi="宋体" w:eastAsia="宋体" w:cs="宋体"/>
          <w:b/>
          <w:bCs/>
          <w:i w:val="0"/>
          <w:iCs w:val="0"/>
          <w:snapToGrid w:val="0"/>
          <w:color w:val="auto"/>
          <w:kern w:val="0"/>
          <w:sz w:val="36"/>
          <w:szCs w:val="36"/>
          <w:highlight w:val="none"/>
          <w:u w:val="none"/>
          <w:lang w:val="en-US" w:eastAsia="zh-CN" w:bidi="ar"/>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before="234" w:line="222" w:lineRule="auto"/>
        <w:ind w:left="3536"/>
        <w:outlineLvl w:val="0"/>
        <w:rPr>
          <w:rFonts w:hint="eastAsia" w:ascii="宋体" w:hAnsi="宋体" w:eastAsia="宋体" w:cs="宋体"/>
          <w:b/>
          <w:bCs/>
          <w:color w:val="auto"/>
          <w:spacing w:val="-9"/>
          <w:sz w:val="72"/>
          <w:szCs w:val="72"/>
          <w:highlight w:val="none"/>
        </w:rPr>
      </w:pPr>
      <w:bookmarkStart w:id="618" w:name="_bookmark150"/>
      <w:bookmarkEnd w:id="618"/>
      <w:bookmarkStart w:id="619" w:name="_Toc238"/>
      <w:bookmarkStart w:id="620" w:name="_Toc2280"/>
      <w:bookmarkStart w:id="621" w:name="_Toc13756"/>
      <w:r>
        <w:rPr>
          <w:rFonts w:hint="eastAsia" w:ascii="宋体" w:hAnsi="宋体" w:eastAsia="宋体" w:cs="宋体"/>
          <w:b/>
          <w:bCs/>
          <w:color w:val="auto"/>
          <w:spacing w:val="-9"/>
          <w:sz w:val="72"/>
          <w:szCs w:val="72"/>
          <w:highlight w:val="none"/>
        </w:rPr>
        <w:t>第二卷</w:t>
      </w:r>
      <w:bookmarkEnd w:id="619"/>
      <w:bookmarkEnd w:id="620"/>
      <w:bookmarkEnd w:id="621"/>
    </w:p>
    <w:p>
      <w:pPr>
        <w:rPr>
          <w:color w:val="auto"/>
          <w:highlight w:val="none"/>
        </w:rPr>
        <w:sectPr>
          <w:pgSz w:w="11900" w:h="16840"/>
          <w:pgMar w:top="1106" w:right="1354" w:bottom="1448" w:left="1304" w:header="883" w:footer="1234" w:gutter="0"/>
          <w:pgNumType w:fmt="decimal"/>
          <w:cols w:space="720" w:num="1"/>
        </w:sectPr>
      </w:pPr>
    </w:p>
    <w:p>
      <w:pPr>
        <w:tabs>
          <w:tab w:val="left" w:pos="5854"/>
        </w:tabs>
        <w:spacing w:line="247" w:lineRule="auto"/>
        <w:rPr>
          <w:rFonts w:hint="eastAsia" w:eastAsia="宋体"/>
          <w:color w:val="auto"/>
          <w:sz w:val="21"/>
          <w:highlight w:val="none"/>
          <w:lang w:eastAsia="zh-CN"/>
        </w:rPr>
      </w:pPr>
      <w:r>
        <w:rPr>
          <w:rFonts w:hint="eastAsia" w:eastAsia="宋体"/>
          <w:color w:val="auto"/>
          <w:sz w:val="21"/>
          <w:highlight w:val="none"/>
          <w:lang w:eastAsia="zh-CN"/>
        </w:rPr>
        <w:tab/>
      </w:r>
    </w:p>
    <w:p>
      <w:pPr>
        <w:pStyle w:val="2"/>
        <w:rPr>
          <w:rFonts w:hint="eastAsia" w:eastAsia="宋体"/>
          <w:color w:val="auto"/>
          <w:sz w:val="21"/>
          <w:highlight w:val="none"/>
          <w:lang w:eastAsia="zh-CN"/>
        </w:rPr>
      </w:pPr>
    </w:p>
    <w:p>
      <w:pPr>
        <w:pStyle w:val="2"/>
        <w:rPr>
          <w:rFonts w:hint="eastAsia" w:eastAsia="宋体"/>
          <w:color w:val="auto"/>
          <w:sz w:val="21"/>
          <w:highlight w:val="none"/>
          <w:lang w:eastAsia="zh-CN"/>
        </w:rPr>
      </w:pPr>
    </w:p>
    <w:p>
      <w:pPr>
        <w:pStyle w:val="2"/>
        <w:rPr>
          <w:rFonts w:hint="eastAsia" w:eastAsia="宋体"/>
          <w:color w:val="auto"/>
          <w:sz w:val="21"/>
          <w:highlight w:val="none"/>
          <w:lang w:eastAsia="zh-CN"/>
        </w:rPr>
      </w:pPr>
    </w:p>
    <w:p>
      <w:pPr>
        <w:pStyle w:val="2"/>
        <w:rPr>
          <w:rFonts w:hint="eastAsia" w:eastAsia="宋体"/>
          <w:color w:val="auto"/>
          <w:sz w:val="21"/>
          <w:highlight w:val="none"/>
          <w:lang w:eastAsia="zh-CN"/>
        </w:rPr>
      </w:pPr>
    </w:p>
    <w:p>
      <w:pPr>
        <w:pStyle w:val="2"/>
        <w:rPr>
          <w:rFonts w:hint="eastAsia" w:eastAsia="宋体"/>
          <w:color w:val="auto"/>
          <w:sz w:val="21"/>
          <w:highlight w:val="none"/>
          <w:lang w:eastAsia="zh-CN"/>
        </w:rPr>
      </w:pPr>
    </w:p>
    <w:p>
      <w:pPr>
        <w:pStyle w:val="2"/>
        <w:ind w:left="0" w:leftChars="0" w:firstLine="0" w:firstLineChars="0"/>
        <w:rPr>
          <w:rFonts w:hint="eastAsia" w:eastAsia="宋体"/>
          <w:color w:val="auto"/>
          <w:sz w:val="21"/>
          <w:highlight w:val="none"/>
          <w:lang w:eastAsia="zh-CN"/>
        </w:rPr>
      </w:pPr>
    </w:p>
    <w:p>
      <w:pPr>
        <w:spacing w:line="247" w:lineRule="auto"/>
        <w:rPr>
          <w:rFonts w:ascii="Arial"/>
          <w:color w:val="auto"/>
          <w:sz w:val="21"/>
          <w:highlight w:val="none"/>
        </w:rPr>
      </w:pPr>
    </w:p>
    <w:p>
      <w:pPr>
        <w:spacing w:line="248" w:lineRule="auto"/>
        <w:rPr>
          <w:rFonts w:ascii="Arial"/>
          <w:color w:val="auto"/>
          <w:sz w:val="21"/>
          <w:highlight w:val="none"/>
        </w:rPr>
      </w:pPr>
    </w:p>
    <w:p>
      <w:pPr>
        <w:spacing w:line="248" w:lineRule="auto"/>
        <w:rPr>
          <w:rFonts w:ascii="Arial"/>
          <w:color w:val="auto"/>
          <w:sz w:val="21"/>
          <w:highlight w:val="none"/>
        </w:rPr>
      </w:pPr>
    </w:p>
    <w:p>
      <w:pPr>
        <w:spacing w:line="248" w:lineRule="auto"/>
        <w:rPr>
          <w:rFonts w:ascii="Arial"/>
          <w:color w:val="auto"/>
          <w:sz w:val="21"/>
          <w:highlight w:val="none"/>
        </w:rPr>
      </w:pPr>
    </w:p>
    <w:p>
      <w:pPr>
        <w:spacing w:before="156" w:line="222" w:lineRule="auto"/>
        <w:jc w:val="center"/>
        <w:outlineLvl w:val="0"/>
        <w:rPr>
          <w:rFonts w:hint="eastAsia" w:ascii="宋体" w:hAnsi="宋体" w:eastAsia="宋体" w:cs="宋体"/>
          <w:color w:val="auto"/>
          <w:spacing w:val="-5"/>
          <w:sz w:val="48"/>
          <w:szCs w:val="48"/>
          <w:highlight w:val="none"/>
          <w14:textOutline w14:w="8708" w14:cap="flat" w14:cmpd="sng">
            <w14:solidFill>
              <w14:srgbClr w14:val="000000"/>
            </w14:solidFill>
            <w14:prstDash w14:val="solid"/>
            <w14:miter w14:val="0"/>
          </w14:textOutline>
        </w:rPr>
      </w:pPr>
      <w:bookmarkStart w:id="622" w:name="_Toc26610"/>
      <w:bookmarkStart w:id="623" w:name="_Toc11131"/>
      <w:bookmarkStart w:id="624" w:name="_Toc17450"/>
      <w:r>
        <w:rPr>
          <w:rFonts w:hint="eastAsia" w:ascii="宋体" w:hAnsi="宋体" w:eastAsia="宋体" w:cs="宋体"/>
          <w:color w:val="auto"/>
          <w:spacing w:val="-5"/>
          <w:sz w:val="48"/>
          <w:szCs w:val="48"/>
          <w:highlight w:val="none"/>
          <w14:textOutline w14:w="8708" w14:cap="flat" w14:cmpd="sng">
            <w14:solidFill>
              <w14:srgbClr w14:val="000000"/>
            </w14:solidFill>
            <w14:prstDash w14:val="solid"/>
            <w14:miter w14:val="0"/>
          </w14:textOutline>
        </w:rPr>
        <w:t>第六章  图纸 (另册)</w:t>
      </w:r>
      <w:bookmarkEnd w:id="622"/>
      <w:bookmarkEnd w:id="623"/>
      <w:bookmarkEnd w:id="624"/>
    </w:p>
    <w:p>
      <w:pPr>
        <w:rPr>
          <w:color w:val="auto"/>
          <w:highlight w:val="none"/>
        </w:rPr>
        <w:sectPr>
          <w:pgSz w:w="11900" w:h="16840"/>
          <w:pgMar w:top="1083" w:right="1389" w:bottom="1219" w:left="1276" w:header="624" w:footer="1234" w:gutter="0"/>
          <w:pgNumType w:fmt="decimal"/>
          <w:cols w:space="720" w:num="1"/>
        </w:sectPr>
      </w:pPr>
    </w:p>
    <w:p>
      <w:pPr>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3" w:lineRule="auto"/>
        <w:rPr>
          <w:rFonts w:ascii="Arial"/>
          <w:color w:val="auto"/>
          <w:sz w:val="21"/>
          <w:highlight w:val="none"/>
        </w:rPr>
      </w:pPr>
    </w:p>
    <w:p>
      <w:pPr>
        <w:spacing w:line="243" w:lineRule="auto"/>
        <w:rPr>
          <w:rFonts w:ascii="Arial"/>
          <w:color w:val="auto"/>
          <w:sz w:val="21"/>
          <w:highlight w:val="none"/>
        </w:rPr>
      </w:pPr>
    </w:p>
    <w:p>
      <w:pPr>
        <w:spacing w:line="243" w:lineRule="auto"/>
        <w:rPr>
          <w:rFonts w:ascii="Arial"/>
          <w:color w:val="auto"/>
          <w:sz w:val="21"/>
          <w:highlight w:val="none"/>
        </w:rPr>
      </w:pPr>
    </w:p>
    <w:p>
      <w:pPr>
        <w:spacing w:line="243" w:lineRule="auto"/>
        <w:rPr>
          <w:rFonts w:ascii="Arial"/>
          <w:color w:val="auto"/>
          <w:sz w:val="21"/>
          <w:highlight w:val="none"/>
        </w:rPr>
      </w:pPr>
    </w:p>
    <w:p>
      <w:pPr>
        <w:spacing w:line="243" w:lineRule="auto"/>
        <w:rPr>
          <w:rFonts w:ascii="Arial"/>
          <w:color w:val="auto"/>
          <w:sz w:val="21"/>
          <w:highlight w:val="none"/>
        </w:rPr>
      </w:pPr>
    </w:p>
    <w:p>
      <w:pPr>
        <w:spacing w:line="243" w:lineRule="auto"/>
        <w:rPr>
          <w:rFonts w:ascii="Arial"/>
          <w:color w:val="auto"/>
          <w:sz w:val="21"/>
          <w:highlight w:val="none"/>
        </w:rPr>
      </w:pPr>
    </w:p>
    <w:p>
      <w:pPr>
        <w:spacing w:line="243" w:lineRule="auto"/>
        <w:rPr>
          <w:rFonts w:ascii="Arial"/>
          <w:color w:val="auto"/>
          <w:sz w:val="21"/>
          <w:highlight w:val="none"/>
        </w:rPr>
      </w:pPr>
    </w:p>
    <w:p>
      <w:pPr>
        <w:spacing w:line="243" w:lineRule="auto"/>
        <w:rPr>
          <w:rFonts w:ascii="Arial"/>
          <w:color w:val="auto"/>
          <w:sz w:val="21"/>
          <w:highlight w:val="none"/>
        </w:rPr>
      </w:pPr>
    </w:p>
    <w:p>
      <w:pPr>
        <w:spacing w:line="243" w:lineRule="auto"/>
        <w:rPr>
          <w:rFonts w:ascii="Arial"/>
          <w:color w:val="auto"/>
          <w:sz w:val="21"/>
          <w:highlight w:val="none"/>
        </w:rPr>
      </w:pPr>
    </w:p>
    <w:p>
      <w:pPr>
        <w:spacing w:line="243" w:lineRule="auto"/>
        <w:rPr>
          <w:rFonts w:ascii="Arial"/>
          <w:color w:val="auto"/>
          <w:sz w:val="21"/>
          <w:highlight w:val="none"/>
        </w:rPr>
      </w:pPr>
    </w:p>
    <w:p>
      <w:pPr>
        <w:spacing w:before="234" w:line="222" w:lineRule="auto"/>
        <w:ind w:left="3115"/>
        <w:outlineLvl w:val="0"/>
        <w:rPr>
          <w:rFonts w:hint="eastAsia" w:ascii="宋体" w:hAnsi="宋体" w:eastAsia="宋体" w:cs="宋体"/>
          <w:b/>
          <w:bCs/>
          <w:color w:val="auto"/>
          <w:spacing w:val="-9"/>
          <w:sz w:val="72"/>
          <w:szCs w:val="72"/>
          <w:highlight w:val="none"/>
        </w:rPr>
      </w:pPr>
      <w:bookmarkStart w:id="625" w:name="_Toc1057"/>
      <w:bookmarkStart w:id="626" w:name="_Toc12196"/>
      <w:bookmarkStart w:id="627" w:name="_Toc4460"/>
      <w:r>
        <w:rPr>
          <w:rFonts w:hint="eastAsia" w:ascii="宋体" w:hAnsi="宋体" w:eastAsia="宋体" w:cs="宋体"/>
          <w:b/>
          <w:bCs/>
          <w:color w:val="auto"/>
          <w:spacing w:val="-9"/>
          <w:sz w:val="72"/>
          <w:szCs w:val="72"/>
          <w:highlight w:val="none"/>
        </w:rPr>
        <w:t>第三卷</w:t>
      </w:r>
      <w:bookmarkEnd w:id="625"/>
      <w:bookmarkEnd w:id="626"/>
      <w:bookmarkEnd w:id="627"/>
    </w:p>
    <w:p>
      <w:pPr>
        <w:rPr>
          <w:color w:val="auto"/>
          <w:highlight w:val="none"/>
        </w:rPr>
        <w:sectPr>
          <w:footerReference r:id="rId15" w:type="default"/>
          <w:pgSz w:w="11900" w:h="16840"/>
          <w:pgMar w:top="1026" w:right="1332" w:bottom="1162" w:left="1332" w:header="680" w:footer="1234" w:gutter="0"/>
          <w:pgNumType w:fmt="decimal"/>
          <w:cols w:space="720" w:num="1"/>
        </w:sectPr>
      </w:pPr>
    </w:p>
    <w:p>
      <w:pPr>
        <w:rPr>
          <w:rFonts w:ascii="Arial"/>
          <w:color w:val="auto"/>
          <w:sz w:val="21"/>
          <w:highlight w:val="none"/>
        </w:rPr>
      </w:pPr>
    </w:p>
    <w:p>
      <w:pPr>
        <w:spacing w:line="252" w:lineRule="auto"/>
        <w:rPr>
          <w:rFonts w:ascii="Arial"/>
          <w:color w:val="auto"/>
          <w:sz w:val="21"/>
          <w:highlight w:val="none"/>
        </w:rPr>
      </w:pPr>
    </w:p>
    <w:p>
      <w:pPr>
        <w:spacing w:line="252" w:lineRule="auto"/>
        <w:rPr>
          <w:rFonts w:ascii="Arial"/>
          <w:color w:val="auto"/>
          <w:sz w:val="21"/>
          <w:highlight w:val="none"/>
        </w:rPr>
      </w:pPr>
    </w:p>
    <w:p>
      <w:pPr>
        <w:spacing w:line="252" w:lineRule="auto"/>
        <w:rPr>
          <w:rFonts w:ascii="Arial"/>
          <w:color w:val="auto"/>
          <w:sz w:val="21"/>
          <w:highlight w:val="none"/>
        </w:rPr>
      </w:pPr>
    </w:p>
    <w:p>
      <w:pPr>
        <w:spacing w:line="252" w:lineRule="auto"/>
        <w:rPr>
          <w:rFonts w:ascii="Arial"/>
          <w:color w:val="auto"/>
          <w:sz w:val="21"/>
          <w:highlight w:val="none"/>
        </w:rPr>
      </w:pPr>
    </w:p>
    <w:p>
      <w:pPr>
        <w:spacing w:line="252" w:lineRule="auto"/>
        <w:rPr>
          <w:rFonts w:ascii="Arial"/>
          <w:color w:val="auto"/>
          <w:sz w:val="21"/>
          <w:highlight w:val="none"/>
        </w:rPr>
      </w:pPr>
    </w:p>
    <w:p>
      <w:pPr>
        <w:spacing w:line="252" w:lineRule="auto"/>
        <w:rPr>
          <w:rFonts w:ascii="Arial"/>
          <w:color w:val="auto"/>
          <w:sz w:val="21"/>
          <w:highlight w:val="none"/>
        </w:rPr>
      </w:pPr>
    </w:p>
    <w:p>
      <w:pPr>
        <w:spacing w:line="252" w:lineRule="auto"/>
        <w:rPr>
          <w:rFonts w:ascii="Arial"/>
          <w:color w:val="auto"/>
          <w:sz w:val="21"/>
          <w:highlight w:val="none"/>
        </w:rPr>
      </w:pPr>
    </w:p>
    <w:p>
      <w:pPr>
        <w:spacing w:line="252" w:lineRule="auto"/>
        <w:rPr>
          <w:rFonts w:ascii="Arial"/>
          <w:color w:val="auto"/>
          <w:sz w:val="21"/>
          <w:highlight w:val="none"/>
        </w:rPr>
      </w:pPr>
    </w:p>
    <w:p>
      <w:pPr>
        <w:spacing w:line="252" w:lineRule="auto"/>
        <w:rPr>
          <w:rFonts w:ascii="Arial"/>
          <w:color w:val="auto"/>
          <w:sz w:val="21"/>
          <w:highlight w:val="none"/>
        </w:rPr>
      </w:pPr>
    </w:p>
    <w:p>
      <w:pPr>
        <w:spacing w:line="252" w:lineRule="auto"/>
        <w:rPr>
          <w:rFonts w:ascii="Arial"/>
          <w:color w:val="auto"/>
          <w:sz w:val="21"/>
          <w:highlight w:val="none"/>
        </w:rPr>
      </w:pPr>
    </w:p>
    <w:p>
      <w:pPr>
        <w:spacing w:line="252" w:lineRule="auto"/>
        <w:rPr>
          <w:rFonts w:ascii="Arial"/>
          <w:color w:val="auto"/>
          <w:sz w:val="21"/>
          <w:highlight w:val="none"/>
        </w:rPr>
      </w:pPr>
    </w:p>
    <w:p>
      <w:pPr>
        <w:spacing w:line="252" w:lineRule="auto"/>
        <w:rPr>
          <w:rFonts w:ascii="Arial"/>
          <w:color w:val="auto"/>
          <w:sz w:val="21"/>
          <w:highlight w:val="none"/>
        </w:rPr>
      </w:pPr>
    </w:p>
    <w:p>
      <w:pPr>
        <w:spacing w:line="252" w:lineRule="auto"/>
        <w:rPr>
          <w:rFonts w:ascii="Arial"/>
          <w:color w:val="auto"/>
          <w:sz w:val="21"/>
          <w:highlight w:val="none"/>
        </w:rPr>
      </w:pPr>
    </w:p>
    <w:p>
      <w:pPr>
        <w:spacing w:line="253" w:lineRule="auto"/>
        <w:rPr>
          <w:rFonts w:ascii="Arial"/>
          <w:color w:val="auto"/>
          <w:sz w:val="21"/>
          <w:highlight w:val="none"/>
        </w:rPr>
      </w:pPr>
    </w:p>
    <w:p>
      <w:pPr>
        <w:spacing w:line="253" w:lineRule="auto"/>
        <w:rPr>
          <w:rFonts w:ascii="Arial"/>
          <w:color w:val="auto"/>
          <w:sz w:val="21"/>
          <w:highlight w:val="none"/>
        </w:rPr>
      </w:pPr>
    </w:p>
    <w:p>
      <w:pPr>
        <w:spacing w:before="156" w:line="222" w:lineRule="auto"/>
        <w:ind w:left="2685"/>
        <w:outlineLvl w:val="0"/>
        <w:rPr>
          <w:rFonts w:hint="eastAsia" w:ascii="宋体" w:hAnsi="宋体" w:eastAsia="宋体" w:cs="宋体"/>
          <w:color w:val="auto"/>
          <w:spacing w:val="-2"/>
          <w:sz w:val="48"/>
          <w:szCs w:val="48"/>
          <w:highlight w:val="none"/>
          <w14:textOutline w14:w="8708" w14:cap="flat" w14:cmpd="sng">
            <w14:solidFill>
              <w14:srgbClr w14:val="000000"/>
            </w14:solidFill>
            <w14:prstDash w14:val="solid"/>
            <w14:miter w14:val="0"/>
          </w14:textOutline>
        </w:rPr>
        <w:sectPr>
          <w:footerReference r:id="rId16" w:type="default"/>
          <w:pgSz w:w="11900" w:h="16840"/>
          <w:pgMar w:top="1160" w:right="1354" w:bottom="1448" w:left="1363" w:header="883" w:footer="1234" w:gutter="0"/>
          <w:pgNumType w:fmt="decimal"/>
          <w:cols w:space="720" w:num="1"/>
        </w:sectPr>
      </w:pPr>
      <w:bookmarkStart w:id="628" w:name="_Toc30888"/>
      <w:bookmarkStart w:id="629" w:name="_Toc31198"/>
      <w:bookmarkStart w:id="630" w:name="_Toc8252"/>
      <w:r>
        <w:rPr>
          <w:rFonts w:hint="eastAsia" w:ascii="宋体" w:hAnsi="宋体" w:eastAsia="宋体" w:cs="宋体"/>
          <w:color w:val="auto"/>
          <w:spacing w:val="-2"/>
          <w:sz w:val="48"/>
          <w:szCs w:val="48"/>
          <w:highlight w:val="none"/>
          <w14:textOutline w14:w="8708" w14:cap="flat" w14:cmpd="sng">
            <w14:solidFill>
              <w14:srgbClr w14:val="000000"/>
            </w14:solidFill>
            <w14:prstDash w14:val="solid"/>
            <w14:miter w14:val="0"/>
          </w14:textOutline>
        </w:rPr>
        <w:t>第七章  技术规范</w:t>
      </w:r>
      <w:bookmarkEnd w:id="628"/>
      <w:bookmarkEnd w:id="629"/>
      <w:bookmarkEnd w:id="630"/>
    </w:p>
    <w:p>
      <w:pPr>
        <w:spacing w:line="254" w:lineRule="auto"/>
        <w:rPr>
          <w:rFonts w:ascii="Arial"/>
          <w:color w:val="auto"/>
          <w:sz w:val="21"/>
          <w:highlight w:val="none"/>
        </w:rPr>
      </w:pPr>
    </w:p>
    <w:p>
      <w:pPr>
        <w:spacing w:line="254" w:lineRule="auto"/>
        <w:rPr>
          <w:rFonts w:ascii="Arial"/>
          <w:color w:val="auto"/>
          <w:sz w:val="21"/>
          <w:highlight w:val="none"/>
        </w:rPr>
      </w:pPr>
    </w:p>
    <w:p>
      <w:pPr>
        <w:spacing w:line="255" w:lineRule="auto"/>
        <w:rPr>
          <w:rFonts w:ascii="Arial"/>
          <w:color w:val="auto"/>
          <w:sz w:val="21"/>
          <w:highlight w:val="none"/>
        </w:rPr>
      </w:pPr>
    </w:p>
    <w:p>
      <w:pPr>
        <w:spacing w:before="117" w:line="222" w:lineRule="auto"/>
        <w:ind w:left="3254"/>
        <w:rPr>
          <w:rFonts w:hint="eastAsia" w:ascii="宋体" w:hAnsi="宋体" w:eastAsia="宋体" w:cs="宋体"/>
          <w:color w:val="auto"/>
          <w:sz w:val="36"/>
          <w:szCs w:val="36"/>
          <w:highlight w:val="none"/>
        </w:rPr>
      </w:pPr>
      <w:r>
        <w:rPr>
          <w:rFonts w:hint="eastAsia" w:ascii="宋体" w:hAnsi="宋体" w:eastAsia="宋体" w:cs="宋体"/>
          <w:color w:val="auto"/>
          <w:spacing w:val="-2"/>
          <w:sz w:val="36"/>
          <w:szCs w:val="36"/>
          <w:highlight w:val="none"/>
        </w:rPr>
        <w:t>第七章</w:t>
      </w:r>
      <w:r>
        <w:rPr>
          <w:rFonts w:hint="eastAsia" w:ascii="宋体" w:hAnsi="宋体" w:eastAsia="宋体" w:cs="宋体"/>
          <w:color w:val="auto"/>
          <w:spacing w:val="-1"/>
          <w:sz w:val="36"/>
          <w:szCs w:val="36"/>
          <w:highlight w:val="none"/>
        </w:rPr>
        <w:t xml:space="preserve"> 技术规范</w:t>
      </w:r>
    </w:p>
    <w:p>
      <w:pPr>
        <w:spacing w:line="304" w:lineRule="auto"/>
        <w:rPr>
          <w:rFonts w:hint="eastAsia" w:ascii="宋体" w:hAnsi="宋体" w:eastAsia="宋体" w:cs="宋体"/>
          <w:color w:val="auto"/>
          <w:sz w:val="21"/>
          <w:highlight w:val="none"/>
        </w:rPr>
      </w:pPr>
    </w:p>
    <w:p>
      <w:pPr>
        <w:spacing w:line="305" w:lineRule="auto"/>
        <w:rPr>
          <w:rFonts w:hint="eastAsia" w:ascii="宋体" w:hAnsi="宋体" w:eastAsia="宋体" w:cs="宋体"/>
          <w:color w:val="auto"/>
          <w:sz w:val="21"/>
          <w:highlight w:val="none"/>
        </w:rPr>
      </w:pPr>
    </w:p>
    <w:p>
      <w:pPr>
        <w:spacing w:line="305" w:lineRule="auto"/>
        <w:rPr>
          <w:rFonts w:hint="eastAsia" w:ascii="宋体" w:hAnsi="宋体" w:eastAsia="宋体" w:cs="宋体"/>
          <w:color w:val="auto"/>
          <w:sz w:val="21"/>
          <w:highlight w:val="none"/>
        </w:rPr>
      </w:pPr>
    </w:p>
    <w:p>
      <w:pPr>
        <w:spacing w:before="101" w:line="226" w:lineRule="auto"/>
        <w:ind w:left="3095"/>
        <w:outlineLvl w:val="1"/>
        <w:rPr>
          <w:rFonts w:hint="eastAsia" w:ascii="宋体" w:hAnsi="宋体" w:eastAsia="宋体" w:cs="宋体"/>
          <w:color w:val="auto"/>
          <w:sz w:val="31"/>
          <w:szCs w:val="31"/>
          <w:highlight w:val="none"/>
        </w:rPr>
      </w:pPr>
      <w:bookmarkStart w:id="631" w:name="_Toc20632"/>
      <w:r>
        <w:rPr>
          <w:rFonts w:hint="eastAsia" w:ascii="宋体" w:hAnsi="宋体" w:eastAsia="宋体" w:cs="宋体"/>
          <w:color w:val="auto"/>
          <w:spacing w:val="6"/>
          <w:sz w:val="31"/>
          <w:szCs w:val="31"/>
          <w:highlight w:val="none"/>
        </w:rPr>
        <w:t>(一)  通用技术规</w:t>
      </w:r>
      <w:r>
        <w:rPr>
          <w:rFonts w:hint="eastAsia" w:ascii="宋体" w:hAnsi="宋体" w:eastAsia="宋体" w:cs="宋体"/>
          <w:color w:val="auto"/>
          <w:spacing w:val="4"/>
          <w:sz w:val="31"/>
          <w:szCs w:val="31"/>
          <w:highlight w:val="none"/>
        </w:rPr>
        <w:t>范</w:t>
      </w:r>
      <w:bookmarkEnd w:id="631"/>
    </w:p>
    <w:p>
      <w:pPr>
        <w:spacing w:line="305" w:lineRule="auto"/>
        <w:rPr>
          <w:rFonts w:hint="eastAsia" w:ascii="宋体" w:hAnsi="宋体" w:eastAsia="宋体" w:cs="宋体"/>
          <w:color w:val="auto"/>
          <w:sz w:val="21"/>
          <w:highlight w:val="none"/>
        </w:rPr>
      </w:pPr>
    </w:p>
    <w:p>
      <w:pPr>
        <w:spacing w:line="305" w:lineRule="auto"/>
        <w:rPr>
          <w:rFonts w:hint="eastAsia" w:ascii="宋体" w:hAnsi="宋体" w:eastAsia="宋体" w:cs="宋体"/>
          <w:color w:val="auto"/>
          <w:sz w:val="21"/>
          <w:highlight w:val="none"/>
        </w:rPr>
      </w:pPr>
    </w:p>
    <w:p>
      <w:pPr>
        <w:spacing w:line="306" w:lineRule="auto"/>
        <w:rPr>
          <w:rFonts w:hint="eastAsia" w:ascii="宋体" w:hAnsi="宋体" w:eastAsia="宋体" w:cs="宋体"/>
          <w:color w:val="auto"/>
          <w:sz w:val="21"/>
          <w:szCs w:val="21"/>
          <w:highlight w:val="none"/>
        </w:rPr>
      </w:pPr>
    </w:p>
    <w:p>
      <w:pPr>
        <w:spacing w:before="65" w:line="228"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“通用</w:t>
      </w:r>
      <w:r>
        <w:rPr>
          <w:rFonts w:hint="eastAsia" w:ascii="宋体" w:hAnsi="宋体" w:eastAsia="宋体" w:cs="宋体"/>
          <w:color w:val="auto"/>
          <w:spacing w:val="9"/>
          <w:sz w:val="21"/>
          <w:szCs w:val="21"/>
          <w:highlight w:val="none"/>
        </w:rPr>
        <w:t>技</w:t>
      </w:r>
      <w:r>
        <w:rPr>
          <w:rFonts w:hint="eastAsia" w:ascii="宋体" w:hAnsi="宋体" w:eastAsia="宋体" w:cs="宋体"/>
          <w:color w:val="auto"/>
          <w:spacing w:val="6"/>
          <w:sz w:val="21"/>
          <w:szCs w:val="21"/>
          <w:highlight w:val="none"/>
        </w:rPr>
        <w:t>术规范”采用《公路工程标准施工招标文件》(2018 年版·第二册) 《技术规范》。</w:t>
      </w:r>
    </w:p>
    <w:p>
      <w:pPr>
        <w:rPr>
          <w:color w:val="auto"/>
          <w:highlight w:val="none"/>
        </w:rPr>
        <w:sectPr>
          <w:footerReference r:id="rId17" w:type="default"/>
          <w:pgSz w:w="11900" w:h="16840"/>
          <w:pgMar w:top="1160" w:right="1354" w:bottom="1448" w:left="1363" w:header="883" w:footer="1234" w:gutter="0"/>
          <w:pgNumType w:fmt="decimal"/>
          <w:cols w:space="720" w:num="1"/>
        </w:sectPr>
      </w:pPr>
    </w:p>
    <w:p>
      <w:pPr>
        <w:spacing w:before="292"/>
        <w:ind w:left="2734"/>
        <w:outlineLvl w:val="1"/>
        <w:rPr>
          <w:rFonts w:hint="eastAsia" w:ascii="宋体" w:hAnsi="宋体" w:eastAsia="宋体" w:cs="宋体"/>
          <w:color w:val="auto"/>
          <w:sz w:val="21"/>
          <w:highlight w:val="none"/>
        </w:rPr>
      </w:pPr>
      <w:bookmarkStart w:id="632" w:name="_Toc8232"/>
      <w:r>
        <w:rPr>
          <w:rFonts w:hint="eastAsia" w:ascii="宋体" w:hAnsi="宋体" w:eastAsia="宋体" w:cs="宋体"/>
          <w:color w:val="auto"/>
          <w:spacing w:val="25"/>
          <w:sz w:val="31"/>
          <w:szCs w:val="31"/>
          <w:highlight w:val="none"/>
        </w:rPr>
        <w:t>(</w:t>
      </w:r>
      <w:r>
        <w:rPr>
          <w:rFonts w:hint="eastAsia" w:ascii="宋体" w:hAnsi="宋体" w:eastAsia="宋体" w:cs="宋体"/>
          <w:color w:val="auto"/>
          <w:spacing w:val="17"/>
          <w:sz w:val="31"/>
          <w:szCs w:val="31"/>
          <w:highlight w:val="none"/>
        </w:rPr>
        <w:t>二)  项目专用技术规范</w:t>
      </w:r>
      <w:bookmarkEnd w:id="632"/>
    </w:p>
    <w:p>
      <w:pPr>
        <w:spacing w:line="306" w:lineRule="auto"/>
        <w:rPr>
          <w:rFonts w:hint="eastAsia" w:ascii="宋体" w:hAnsi="宋体" w:eastAsia="宋体" w:cs="宋体"/>
          <w:color w:val="auto"/>
          <w:sz w:val="21"/>
          <w:highlight w:val="none"/>
        </w:rPr>
      </w:pPr>
    </w:p>
    <w:p>
      <w:pPr>
        <w:spacing w:before="65" w:line="377" w:lineRule="auto"/>
        <w:ind w:firstLine="481"/>
        <w:jc w:val="both"/>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 xml:space="preserve">1 </w:t>
      </w:r>
      <w:r>
        <w:rPr>
          <w:rFonts w:hint="eastAsia" w:ascii="宋体" w:hAnsi="宋体" w:eastAsia="宋体" w:cs="宋体"/>
          <w:color w:val="auto"/>
          <w:spacing w:val="12"/>
          <w:sz w:val="21"/>
          <w:szCs w:val="21"/>
          <w:highlight w:val="none"/>
          <w:lang w:val="en-US" w:eastAsia="zh-CN"/>
        </w:rPr>
        <w:t>.</w:t>
      </w:r>
      <w:r>
        <w:rPr>
          <w:rFonts w:hint="eastAsia" w:ascii="宋体" w:hAnsi="宋体" w:eastAsia="宋体" w:cs="宋体"/>
          <w:color w:val="auto"/>
          <w:spacing w:val="6"/>
          <w:sz w:val="21"/>
          <w:szCs w:val="21"/>
          <w:highlight w:val="none"/>
        </w:rPr>
        <w:t>“项目专用技术规范”是对“通用技术规范”的补充、修改, 应对照“通用技术规范”中同一编号的章、节、条、</w:t>
      </w:r>
      <w:r>
        <w:rPr>
          <w:rFonts w:hint="eastAsia" w:ascii="宋体" w:hAnsi="宋体" w:eastAsia="宋体" w:cs="宋体"/>
          <w:color w:val="auto"/>
          <w:spacing w:val="4"/>
          <w:sz w:val="21"/>
          <w:szCs w:val="21"/>
          <w:highlight w:val="none"/>
        </w:rPr>
        <w:t>款</w:t>
      </w:r>
      <w:r>
        <w:rPr>
          <w:rFonts w:hint="eastAsia" w:ascii="宋体" w:hAnsi="宋体" w:eastAsia="宋体" w:cs="宋体"/>
          <w:color w:val="auto"/>
          <w:spacing w:val="3"/>
          <w:sz w:val="21"/>
          <w:szCs w:val="21"/>
          <w:highlight w:val="none"/>
        </w:rPr>
        <w:t>、项、目 一起阅读和理解。本“项目专用技术规范”与“通用技术规范”有矛盾时</w:t>
      </w:r>
      <w:r>
        <w:rPr>
          <w:rFonts w:hint="eastAsia" w:ascii="宋体" w:hAnsi="宋体" w:eastAsia="宋体" w:cs="宋体"/>
          <w:color w:val="auto"/>
          <w:spacing w:val="3"/>
          <w:sz w:val="21"/>
          <w:szCs w:val="21"/>
          <w:highlight w:val="none"/>
          <w:lang w:eastAsia="zh-CN"/>
        </w:rPr>
        <w:t>，</w:t>
      </w:r>
      <w:r>
        <w:rPr>
          <w:rFonts w:hint="eastAsia" w:ascii="宋体" w:hAnsi="宋体" w:eastAsia="宋体" w:cs="宋体"/>
          <w:color w:val="auto"/>
          <w:spacing w:val="3"/>
          <w:sz w:val="21"/>
          <w:szCs w:val="21"/>
          <w:highlight w:val="none"/>
        </w:rPr>
        <w:t>以本</w:t>
      </w:r>
      <w:r>
        <w:rPr>
          <w:rFonts w:hint="eastAsia" w:ascii="宋体" w:hAnsi="宋体" w:eastAsia="宋体" w:cs="宋体"/>
          <w:color w:val="auto"/>
          <w:spacing w:val="10"/>
          <w:sz w:val="21"/>
          <w:szCs w:val="21"/>
          <w:highlight w:val="none"/>
        </w:rPr>
        <w:t>“项目专用技术规范”的规定为准</w:t>
      </w:r>
      <w:r>
        <w:rPr>
          <w:rFonts w:hint="eastAsia" w:ascii="宋体" w:hAnsi="宋体" w:eastAsia="宋体" w:cs="宋体"/>
          <w:color w:val="auto"/>
          <w:spacing w:val="7"/>
          <w:sz w:val="21"/>
          <w:szCs w:val="21"/>
          <w:highlight w:val="none"/>
        </w:rPr>
        <w:t>。</w:t>
      </w:r>
    </w:p>
    <w:p>
      <w:pPr>
        <w:spacing w:line="228" w:lineRule="auto"/>
        <w:ind w:left="461"/>
        <w:jc w:val="both"/>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2</w:t>
      </w:r>
      <w:r>
        <w:rPr>
          <w:rFonts w:hint="eastAsia" w:ascii="宋体" w:hAnsi="宋体" w:eastAsia="宋体" w:cs="宋体"/>
          <w:color w:val="auto"/>
          <w:spacing w:val="8"/>
          <w:sz w:val="21"/>
          <w:szCs w:val="21"/>
          <w:highlight w:val="none"/>
          <w:lang w:val="en-US" w:eastAsia="zh-CN"/>
        </w:rPr>
        <w:t>.</w:t>
      </w:r>
      <w:r>
        <w:rPr>
          <w:rFonts w:hint="eastAsia" w:ascii="宋体" w:hAnsi="宋体" w:eastAsia="宋体" w:cs="宋体"/>
          <w:color w:val="auto"/>
          <w:spacing w:val="8"/>
          <w:sz w:val="21"/>
          <w:szCs w:val="21"/>
          <w:highlight w:val="none"/>
        </w:rPr>
        <w:t>“通用技术规范”中标准与规范更新如下</w:t>
      </w:r>
      <w:r>
        <w:rPr>
          <w:rFonts w:hint="eastAsia" w:ascii="宋体" w:hAnsi="宋体" w:eastAsia="宋体" w:cs="宋体"/>
          <w:color w:val="auto"/>
          <w:spacing w:val="3"/>
          <w:sz w:val="21"/>
          <w:szCs w:val="21"/>
          <w:highlight w:val="none"/>
        </w:rPr>
        <w:t>：</w:t>
      </w:r>
    </w:p>
    <w:p>
      <w:pPr>
        <w:spacing w:line="131" w:lineRule="exact"/>
        <w:rPr>
          <w:rFonts w:hint="eastAsia" w:ascii="宋体" w:hAnsi="宋体" w:eastAsia="宋体" w:cs="宋体"/>
          <w:color w:val="auto"/>
          <w:sz w:val="21"/>
          <w:szCs w:val="21"/>
          <w:highlight w:val="none"/>
        </w:rPr>
      </w:pPr>
    </w:p>
    <w:tbl>
      <w:tblPr>
        <w:tblStyle w:val="26"/>
        <w:tblW w:w="9195" w:type="dxa"/>
        <w:tblInd w:w="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5"/>
        <w:gridCol w:w="4031"/>
        <w:gridCol w:w="415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1005" w:type="dxa"/>
            <w:tcBorders>
              <w:left w:val="single" w:color="000000" w:sz="10" w:space="0"/>
              <w:right w:val="single" w:color="000000" w:sz="4" w:space="0"/>
            </w:tcBorders>
            <w:vAlign w:val="center"/>
          </w:tcPr>
          <w:p>
            <w:pPr>
              <w:spacing w:before="257" w:line="230" w:lineRule="auto"/>
              <w:ind w:left="351"/>
              <w:jc w:val="both"/>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序号</w:t>
            </w:r>
          </w:p>
        </w:tc>
        <w:tc>
          <w:tcPr>
            <w:tcW w:w="4031" w:type="dxa"/>
            <w:tcBorders>
              <w:left w:val="single" w:color="000000" w:sz="4" w:space="0"/>
              <w:right w:val="single" w:color="000000" w:sz="4" w:space="0"/>
            </w:tcBorders>
            <w:vAlign w:val="center"/>
          </w:tcPr>
          <w:p>
            <w:pPr>
              <w:spacing w:before="257" w:line="229" w:lineRule="auto"/>
              <w:ind w:left="1210"/>
              <w:jc w:val="both"/>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原</w:t>
            </w:r>
            <w:r>
              <w:rPr>
                <w:rFonts w:hint="eastAsia" w:ascii="宋体" w:hAnsi="宋体" w:eastAsia="宋体" w:cs="宋体"/>
                <w:color w:val="auto"/>
                <w:spacing w:val="7"/>
                <w:sz w:val="21"/>
                <w:szCs w:val="21"/>
                <w:highlight w:val="none"/>
              </w:rPr>
              <w:t>标准与规范</w:t>
            </w:r>
          </w:p>
        </w:tc>
        <w:tc>
          <w:tcPr>
            <w:tcW w:w="4159" w:type="dxa"/>
            <w:tcBorders>
              <w:left w:val="single" w:color="000000" w:sz="4" w:space="0"/>
              <w:right w:val="single" w:color="000000" w:sz="10" w:space="0"/>
            </w:tcBorders>
            <w:vAlign w:val="center"/>
          </w:tcPr>
          <w:p>
            <w:pPr>
              <w:spacing w:before="257" w:line="229" w:lineRule="auto"/>
              <w:ind w:left="1062"/>
              <w:jc w:val="both"/>
              <w:rPr>
                <w:rFonts w:hint="eastAsia" w:ascii="宋体" w:hAnsi="宋体" w:eastAsia="宋体" w:cs="宋体"/>
                <w:color w:val="auto"/>
                <w:sz w:val="21"/>
                <w:szCs w:val="21"/>
                <w:highlight w:val="none"/>
              </w:rPr>
            </w:pPr>
            <w:r>
              <w:rPr>
                <w:rFonts w:hint="eastAsia" w:ascii="宋体" w:hAnsi="宋体" w:eastAsia="宋体" w:cs="宋体"/>
                <w:color w:val="auto"/>
                <w:spacing w:val="14"/>
                <w:sz w:val="21"/>
                <w:szCs w:val="21"/>
                <w:highlight w:val="none"/>
              </w:rPr>
              <w:t>更</w:t>
            </w:r>
            <w:r>
              <w:rPr>
                <w:rFonts w:hint="eastAsia" w:ascii="宋体" w:hAnsi="宋体" w:eastAsia="宋体" w:cs="宋体"/>
                <w:color w:val="auto"/>
                <w:spacing w:val="8"/>
                <w:sz w:val="21"/>
                <w:szCs w:val="21"/>
                <w:highlight w:val="none"/>
              </w:rPr>
              <w:t>新后的标准与规范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005" w:type="dxa"/>
            <w:tcBorders>
              <w:left w:val="single" w:color="000000" w:sz="10" w:space="0"/>
              <w:right w:val="single" w:color="000000" w:sz="4" w:space="0"/>
            </w:tcBorders>
            <w:vAlign w:val="center"/>
          </w:tcPr>
          <w:p>
            <w:pPr>
              <w:spacing w:before="274" w:line="192" w:lineRule="auto"/>
              <w:ind w:left="527"/>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4031" w:type="dxa"/>
            <w:tcBorders>
              <w:left w:val="single" w:color="000000" w:sz="4" w:space="0"/>
              <w:right w:val="single" w:color="000000" w:sz="4" w:space="0"/>
            </w:tcBorders>
            <w:vAlign w:val="center"/>
          </w:tcPr>
          <w:p>
            <w:pPr>
              <w:spacing w:before="100" w:line="266" w:lineRule="auto"/>
              <w:ind w:left="1109" w:right="99" w:hanging="999"/>
              <w:jc w:val="both"/>
              <w:rPr>
                <w:rFonts w:hint="eastAsia" w:ascii="宋体" w:hAnsi="宋体" w:eastAsia="宋体" w:cs="宋体"/>
                <w:color w:val="auto"/>
                <w:sz w:val="21"/>
                <w:szCs w:val="21"/>
                <w:highlight w:val="none"/>
              </w:rPr>
            </w:pPr>
            <w:r>
              <w:rPr>
                <w:rFonts w:hint="eastAsia" w:ascii="宋体" w:hAnsi="宋体" w:eastAsia="宋体" w:cs="宋体"/>
                <w:color w:val="auto"/>
                <w:spacing w:val="23"/>
                <w:sz w:val="21"/>
                <w:szCs w:val="21"/>
                <w:highlight w:val="none"/>
              </w:rPr>
              <w:t>公</w:t>
            </w:r>
            <w:r>
              <w:rPr>
                <w:rFonts w:hint="eastAsia" w:ascii="宋体" w:hAnsi="宋体" w:eastAsia="宋体" w:cs="宋体"/>
                <w:color w:val="auto"/>
                <w:spacing w:val="15"/>
                <w:sz w:val="21"/>
                <w:szCs w:val="21"/>
                <w:highlight w:val="none"/>
              </w:rPr>
              <w:t>路工程基桩动测技术规程》(</w:t>
            </w:r>
            <w:r>
              <w:rPr>
                <w:rFonts w:hint="eastAsia" w:ascii="宋体" w:hAnsi="宋体" w:eastAsia="宋体" w:cs="宋体"/>
                <w:color w:val="auto"/>
                <w:sz w:val="21"/>
                <w:szCs w:val="21"/>
                <w:highlight w:val="none"/>
              </w:rPr>
              <w:t>JTG</w:t>
            </w:r>
            <w:r>
              <w:rPr>
                <w:rFonts w:hint="eastAsia" w:ascii="宋体" w:hAnsi="宋体" w:eastAsia="宋体" w:cs="宋体"/>
                <w:color w:val="auto"/>
                <w:spacing w:val="15"/>
                <w:sz w:val="21"/>
                <w:szCs w:val="21"/>
                <w:highlight w:val="none"/>
              </w:rPr>
              <w:t>/</w:t>
            </w:r>
            <w:r>
              <w:rPr>
                <w:rFonts w:hint="eastAsia" w:ascii="宋体" w:hAnsi="宋体" w:eastAsia="宋体" w:cs="宋体"/>
                <w:color w:val="auto"/>
                <w:sz w:val="21"/>
                <w:szCs w:val="21"/>
                <w:highlight w:val="none"/>
              </w:rPr>
              <w:t>T F</w:t>
            </w:r>
            <w:r>
              <w:rPr>
                <w:rFonts w:hint="eastAsia" w:ascii="宋体" w:hAnsi="宋体" w:eastAsia="宋体" w:cs="宋体"/>
                <w:color w:val="auto"/>
                <w:spacing w:val="5"/>
                <w:sz w:val="21"/>
                <w:szCs w:val="21"/>
                <w:highlight w:val="none"/>
              </w:rPr>
              <w:t>81-01—2004</w:t>
            </w:r>
            <w:r>
              <w:rPr>
                <w:rFonts w:hint="eastAsia" w:ascii="宋体" w:hAnsi="宋体" w:eastAsia="宋体" w:cs="宋体"/>
                <w:color w:val="auto"/>
                <w:spacing w:val="3"/>
                <w:sz w:val="21"/>
                <w:szCs w:val="21"/>
                <w:highlight w:val="none"/>
              </w:rPr>
              <w:t>)</w:t>
            </w:r>
          </w:p>
        </w:tc>
        <w:tc>
          <w:tcPr>
            <w:tcW w:w="4159" w:type="dxa"/>
            <w:tcBorders>
              <w:left w:val="single" w:color="000000" w:sz="4" w:space="0"/>
              <w:right w:val="single" w:color="000000" w:sz="10" w:space="0"/>
            </w:tcBorders>
            <w:vAlign w:val="center"/>
          </w:tcPr>
          <w:p>
            <w:pPr>
              <w:spacing w:before="100" w:line="266" w:lineRule="auto"/>
              <w:ind w:left="1374" w:right="142" w:hanging="1211"/>
              <w:jc w:val="both"/>
              <w:rPr>
                <w:rFonts w:hint="eastAsia" w:ascii="宋体" w:hAnsi="宋体" w:eastAsia="宋体" w:cs="宋体"/>
                <w:color w:val="auto"/>
                <w:sz w:val="21"/>
                <w:szCs w:val="21"/>
                <w:highlight w:val="none"/>
              </w:rPr>
            </w:pPr>
            <w:r>
              <w:rPr>
                <w:rFonts w:hint="eastAsia" w:ascii="宋体" w:hAnsi="宋体" w:eastAsia="宋体" w:cs="宋体"/>
                <w:color w:val="auto"/>
                <w:spacing w:val="20"/>
                <w:sz w:val="21"/>
                <w:szCs w:val="21"/>
                <w:highlight w:val="none"/>
              </w:rPr>
              <w:t>《</w:t>
            </w:r>
            <w:r>
              <w:rPr>
                <w:rFonts w:hint="eastAsia" w:ascii="宋体" w:hAnsi="宋体" w:eastAsia="宋体" w:cs="宋体"/>
                <w:color w:val="auto"/>
                <w:spacing w:val="16"/>
                <w:sz w:val="21"/>
                <w:szCs w:val="21"/>
                <w:highlight w:val="none"/>
              </w:rPr>
              <w:t>公路工程基桩检测技术规程》(</w:t>
            </w:r>
            <w:r>
              <w:rPr>
                <w:rFonts w:hint="eastAsia" w:ascii="宋体" w:hAnsi="宋体" w:eastAsia="宋体" w:cs="宋体"/>
                <w:color w:val="auto"/>
                <w:sz w:val="21"/>
                <w:szCs w:val="21"/>
                <w:highlight w:val="none"/>
              </w:rPr>
              <w:t>JTG</w:t>
            </w:r>
            <w:r>
              <w:rPr>
                <w:rFonts w:hint="eastAsia" w:ascii="宋体" w:hAnsi="宋体" w:eastAsia="宋体" w:cs="宋体"/>
                <w:color w:val="auto"/>
                <w:spacing w:val="16"/>
                <w:sz w:val="21"/>
                <w:szCs w:val="21"/>
                <w:highlight w:val="none"/>
              </w:rPr>
              <w:t>/</w:t>
            </w:r>
            <w:r>
              <w:rPr>
                <w:rFonts w:hint="eastAsia" w:ascii="宋体" w:hAnsi="宋体" w:eastAsia="宋体" w:cs="宋体"/>
                <w:color w:val="auto"/>
                <w:sz w:val="21"/>
                <w:szCs w:val="21"/>
                <w:highlight w:val="none"/>
              </w:rPr>
              <w:t xml:space="preserve">T </w:t>
            </w:r>
            <w:r>
              <w:rPr>
                <w:rFonts w:hint="eastAsia" w:ascii="宋体" w:hAnsi="宋体" w:eastAsia="宋体" w:cs="宋体"/>
                <w:color w:val="auto"/>
                <w:spacing w:val="5"/>
                <w:sz w:val="21"/>
                <w:szCs w:val="21"/>
                <w:highlight w:val="none"/>
              </w:rPr>
              <w:t>3</w:t>
            </w:r>
            <w:r>
              <w:rPr>
                <w:rFonts w:hint="eastAsia" w:ascii="宋体" w:hAnsi="宋体" w:eastAsia="宋体" w:cs="宋体"/>
                <w:color w:val="auto"/>
                <w:spacing w:val="4"/>
                <w:sz w:val="21"/>
                <w:szCs w:val="21"/>
                <w:highlight w:val="none"/>
              </w:rPr>
              <w:t>512—2020)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1005" w:type="dxa"/>
            <w:tcBorders>
              <w:left w:val="single" w:color="000000" w:sz="10" w:space="0"/>
              <w:right w:val="single" w:color="000000" w:sz="4" w:space="0"/>
            </w:tcBorders>
            <w:vAlign w:val="center"/>
          </w:tcPr>
          <w:p>
            <w:pPr>
              <w:spacing w:before="277" w:line="192" w:lineRule="auto"/>
              <w:ind w:left="507"/>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4031" w:type="dxa"/>
            <w:tcBorders>
              <w:left w:val="single" w:color="000000" w:sz="4" w:space="0"/>
              <w:right w:val="single" w:color="000000" w:sz="4" w:space="0"/>
            </w:tcBorders>
            <w:vAlign w:val="center"/>
          </w:tcPr>
          <w:p>
            <w:pPr>
              <w:spacing w:before="103" w:line="266" w:lineRule="auto"/>
              <w:ind w:left="1253" w:right="197" w:hanging="1048"/>
              <w:jc w:val="both"/>
              <w:rPr>
                <w:rFonts w:hint="eastAsia" w:ascii="宋体" w:hAnsi="宋体" w:eastAsia="宋体" w:cs="宋体"/>
                <w:color w:val="auto"/>
                <w:sz w:val="21"/>
                <w:szCs w:val="21"/>
                <w:highlight w:val="none"/>
              </w:rPr>
            </w:pPr>
            <w:r>
              <w:rPr>
                <w:rFonts w:hint="eastAsia" w:ascii="宋体" w:hAnsi="宋体" w:eastAsia="宋体" w:cs="宋体"/>
                <w:color w:val="auto"/>
                <w:spacing w:val="19"/>
                <w:sz w:val="21"/>
                <w:szCs w:val="21"/>
                <w:highlight w:val="none"/>
              </w:rPr>
              <w:t>《</w:t>
            </w:r>
            <w:r>
              <w:rPr>
                <w:rFonts w:hint="eastAsia" w:ascii="宋体" w:hAnsi="宋体" w:eastAsia="宋体" w:cs="宋体"/>
                <w:color w:val="auto"/>
                <w:spacing w:val="17"/>
                <w:sz w:val="21"/>
                <w:szCs w:val="21"/>
                <w:highlight w:val="none"/>
              </w:rPr>
              <w:t>公路桥涵施工技术规范》(</w:t>
            </w:r>
            <w:r>
              <w:rPr>
                <w:rFonts w:hint="eastAsia" w:ascii="宋体" w:hAnsi="宋体" w:eastAsia="宋体" w:cs="宋体"/>
                <w:color w:val="auto"/>
                <w:sz w:val="21"/>
                <w:szCs w:val="21"/>
                <w:highlight w:val="none"/>
              </w:rPr>
              <w:t>JTG</w:t>
            </w:r>
            <w:r>
              <w:rPr>
                <w:rFonts w:hint="eastAsia" w:ascii="宋体" w:hAnsi="宋体" w:eastAsia="宋体" w:cs="宋体"/>
                <w:color w:val="auto"/>
                <w:spacing w:val="17"/>
                <w:sz w:val="21"/>
                <w:szCs w:val="21"/>
                <w:highlight w:val="none"/>
              </w:rPr>
              <w:t>/</w:t>
            </w:r>
            <w:r>
              <w:rPr>
                <w:rFonts w:hint="eastAsia" w:ascii="宋体" w:hAnsi="宋体" w:eastAsia="宋体" w:cs="宋体"/>
                <w:color w:val="auto"/>
                <w:sz w:val="21"/>
                <w:szCs w:val="21"/>
                <w:highlight w:val="none"/>
              </w:rPr>
              <w:t>T F</w:t>
            </w:r>
            <w:r>
              <w:rPr>
                <w:rFonts w:hint="eastAsia" w:ascii="宋体" w:hAnsi="宋体" w:eastAsia="宋体" w:cs="宋体"/>
                <w:color w:val="auto"/>
                <w:spacing w:val="8"/>
                <w:sz w:val="21"/>
                <w:szCs w:val="21"/>
                <w:highlight w:val="none"/>
              </w:rPr>
              <w:t>5</w:t>
            </w:r>
            <w:r>
              <w:rPr>
                <w:rFonts w:hint="eastAsia" w:ascii="宋体" w:hAnsi="宋体" w:eastAsia="宋体" w:cs="宋体"/>
                <w:color w:val="auto"/>
                <w:spacing w:val="5"/>
                <w:sz w:val="21"/>
                <w:szCs w:val="21"/>
                <w:highlight w:val="none"/>
              </w:rPr>
              <w:t>0</w:t>
            </w:r>
            <w:r>
              <w:rPr>
                <w:rFonts w:hint="eastAsia" w:ascii="宋体" w:hAnsi="宋体" w:eastAsia="宋体" w:cs="宋体"/>
                <w:color w:val="auto"/>
                <w:spacing w:val="4"/>
                <w:sz w:val="21"/>
                <w:szCs w:val="21"/>
                <w:highlight w:val="none"/>
              </w:rPr>
              <w:t>—2011)</w:t>
            </w:r>
          </w:p>
        </w:tc>
        <w:tc>
          <w:tcPr>
            <w:tcW w:w="4159" w:type="dxa"/>
            <w:tcBorders>
              <w:left w:val="single" w:color="000000" w:sz="4" w:space="0"/>
              <w:right w:val="single" w:color="000000" w:sz="10" w:space="0"/>
            </w:tcBorders>
            <w:vAlign w:val="center"/>
          </w:tcPr>
          <w:p>
            <w:pPr>
              <w:spacing w:before="103" w:line="266" w:lineRule="auto"/>
              <w:ind w:left="1374" w:right="353" w:hanging="1000"/>
              <w:jc w:val="both"/>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《公路桥涵施工技术规范》(</w:t>
            </w:r>
            <w:r>
              <w:rPr>
                <w:rFonts w:hint="eastAsia" w:ascii="宋体" w:hAnsi="宋体" w:eastAsia="宋体" w:cs="宋体"/>
                <w:color w:val="auto"/>
                <w:sz w:val="21"/>
                <w:szCs w:val="21"/>
                <w:highlight w:val="none"/>
              </w:rPr>
              <w:t>JTG</w:t>
            </w:r>
            <w:r>
              <w:rPr>
                <w:rFonts w:hint="eastAsia" w:ascii="宋体" w:hAnsi="宋体" w:eastAsia="宋体" w:cs="宋体"/>
                <w:color w:val="auto"/>
                <w:spacing w:val="17"/>
                <w:sz w:val="21"/>
                <w:szCs w:val="21"/>
                <w:highlight w:val="none"/>
              </w:rPr>
              <w:t>/</w:t>
            </w:r>
            <w:r>
              <w:rPr>
                <w:rFonts w:hint="eastAsia" w:ascii="宋体" w:hAnsi="宋体" w:eastAsia="宋体" w:cs="宋体"/>
                <w:color w:val="auto"/>
                <w:sz w:val="21"/>
                <w:szCs w:val="21"/>
                <w:highlight w:val="none"/>
              </w:rPr>
              <w:t xml:space="preserve">T </w:t>
            </w:r>
            <w:r>
              <w:rPr>
                <w:rFonts w:hint="eastAsia" w:ascii="宋体" w:hAnsi="宋体" w:eastAsia="宋体" w:cs="宋体"/>
                <w:color w:val="auto"/>
                <w:spacing w:val="5"/>
                <w:sz w:val="21"/>
                <w:szCs w:val="21"/>
                <w:highlight w:val="none"/>
              </w:rPr>
              <w:t>3</w:t>
            </w:r>
            <w:r>
              <w:rPr>
                <w:rFonts w:hint="eastAsia" w:ascii="宋体" w:hAnsi="宋体" w:eastAsia="宋体" w:cs="宋体"/>
                <w:color w:val="auto"/>
                <w:spacing w:val="4"/>
                <w:sz w:val="21"/>
                <w:szCs w:val="21"/>
                <w:highlight w:val="none"/>
              </w:rPr>
              <w:t>650—2020)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1005" w:type="dxa"/>
            <w:tcBorders>
              <w:left w:val="single" w:color="000000" w:sz="10" w:space="0"/>
              <w:right w:val="single" w:color="000000" w:sz="4" w:space="0"/>
            </w:tcBorders>
            <w:vAlign w:val="center"/>
          </w:tcPr>
          <w:p>
            <w:pPr>
              <w:spacing w:before="276" w:line="192" w:lineRule="auto"/>
              <w:ind w:left="511"/>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4031" w:type="dxa"/>
            <w:tcBorders>
              <w:left w:val="single" w:color="000000" w:sz="4" w:space="0"/>
              <w:right w:val="single" w:color="000000" w:sz="4" w:space="0"/>
            </w:tcBorders>
            <w:vAlign w:val="center"/>
          </w:tcPr>
          <w:p>
            <w:pPr>
              <w:spacing w:before="101" w:line="266" w:lineRule="auto"/>
              <w:ind w:left="1242" w:right="503" w:hanging="735"/>
              <w:jc w:val="both"/>
              <w:rPr>
                <w:rFonts w:hint="eastAsia" w:ascii="宋体" w:hAnsi="宋体" w:eastAsia="宋体" w:cs="宋体"/>
                <w:color w:val="auto"/>
                <w:sz w:val="21"/>
                <w:szCs w:val="21"/>
                <w:highlight w:val="none"/>
              </w:rPr>
            </w:pPr>
            <w:r>
              <w:rPr>
                <w:rFonts w:hint="eastAsia" w:ascii="宋体" w:hAnsi="宋体" w:eastAsia="宋体" w:cs="宋体"/>
                <w:color w:val="auto"/>
                <w:spacing w:val="20"/>
                <w:sz w:val="21"/>
                <w:szCs w:val="21"/>
                <w:highlight w:val="none"/>
              </w:rPr>
              <w:t>《</w:t>
            </w:r>
            <w:r>
              <w:rPr>
                <w:rFonts w:hint="eastAsia" w:ascii="宋体" w:hAnsi="宋体" w:eastAsia="宋体" w:cs="宋体"/>
                <w:color w:val="auto"/>
                <w:spacing w:val="19"/>
                <w:sz w:val="21"/>
                <w:szCs w:val="21"/>
                <w:highlight w:val="none"/>
              </w:rPr>
              <w:t>公路土工试验规程》(</w:t>
            </w:r>
            <w:r>
              <w:rPr>
                <w:rFonts w:hint="eastAsia" w:ascii="宋体" w:hAnsi="宋体" w:eastAsia="宋体" w:cs="宋体"/>
                <w:color w:val="auto"/>
                <w:sz w:val="21"/>
                <w:szCs w:val="21"/>
                <w:highlight w:val="none"/>
              </w:rPr>
              <w:t>JTG E</w:t>
            </w:r>
            <w:r>
              <w:rPr>
                <w:rFonts w:hint="eastAsia" w:ascii="宋体" w:hAnsi="宋体" w:eastAsia="宋体" w:cs="宋体"/>
                <w:color w:val="auto"/>
                <w:spacing w:val="9"/>
                <w:sz w:val="21"/>
                <w:szCs w:val="21"/>
                <w:highlight w:val="none"/>
              </w:rPr>
              <w:t>4</w:t>
            </w:r>
            <w:r>
              <w:rPr>
                <w:rFonts w:hint="eastAsia" w:ascii="宋体" w:hAnsi="宋体" w:eastAsia="宋体" w:cs="宋体"/>
                <w:color w:val="auto"/>
                <w:spacing w:val="5"/>
                <w:sz w:val="21"/>
                <w:szCs w:val="21"/>
                <w:highlight w:val="none"/>
              </w:rPr>
              <w:t>0—2007)</w:t>
            </w:r>
          </w:p>
        </w:tc>
        <w:tc>
          <w:tcPr>
            <w:tcW w:w="4159" w:type="dxa"/>
            <w:tcBorders>
              <w:left w:val="single" w:color="000000" w:sz="4" w:space="0"/>
              <w:right w:val="single" w:color="000000" w:sz="10" w:space="0"/>
            </w:tcBorders>
            <w:vAlign w:val="center"/>
          </w:tcPr>
          <w:p>
            <w:pPr>
              <w:spacing w:before="237" w:line="225" w:lineRule="auto"/>
              <w:ind w:left="117"/>
              <w:jc w:val="both"/>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《公路土工试验规程》(</w:t>
            </w:r>
            <w:r>
              <w:rPr>
                <w:rFonts w:hint="eastAsia" w:ascii="宋体" w:hAnsi="宋体" w:eastAsia="宋体" w:cs="宋体"/>
                <w:color w:val="auto"/>
                <w:sz w:val="21"/>
                <w:szCs w:val="21"/>
                <w:highlight w:val="none"/>
              </w:rPr>
              <w:t>JTG</w:t>
            </w:r>
            <w:r>
              <w:rPr>
                <w:rFonts w:hint="eastAsia" w:ascii="宋体" w:hAnsi="宋体" w:eastAsia="宋体" w:cs="宋体"/>
                <w:color w:val="auto"/>
                <w:spacing w:val="8"/>
                <w:sz w:val="21"/>
                <w:szCs w:val="21"/>
                <w:highlight w:val="none"/>
              </w:rPr>
              <w:t xml:space="preserve"> 3430—2020</w:t>
            </w:r>
            <w:r>
              <w:rPr>
                <w:rFonts w:hint="eastAsia" w:ascii="宋体" w:hAnsi="宋体" w:eastAsia="宋体" w:cs="宋体"/>
                <w:color w:val="auto"/>
                <w:spacing w:val="4"/>
                <w:sz w:val="21"/>
                <w:szCs w:val="21"/>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005" w:type="dxa"/>
            <w:tcBorders>
              <w:left w:val="single" w:color="000000" w:sz="10" w:space="0"/>
              <w:right w:val="single" w:color="000000" w:sz="4" w:space="0"/>
            </w:tcBorders>
            <w:vAlign w:val="center"/>
          </w:tcPr>
          <w:p>
            <w:pPr>
              <w:spacing w:before="276" w:line="192" w:lineRule="auto"/>
              <w:ind w:left="506"/>
              <w:jc w:val="both"/>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4</w:t>
            </w:r>
          </w:p>
        </w:tc>
        <w:tc>
          <w:tcPr>
            <w:tcW w:w="4031" w:type="dxa"/>
            <w:tcBorders>
              <w:left w:val="single" w:color="000000" w:sz="4" w:space="0"/>
              <w:right w:val="single" w:color="000000" w:sz="4" w:space="0"/>
            </w:tcBorders>
            <w:vAlign w:val="center"/>
          </w:tcPr>
          <w:p>
            <w:pPr>
              <w:spacing w:before="116" w:line="265" w:lineRule="auto"/>
              <w:ind w:left="1310" w:right="475" w:hanging="824"/>
              <w:jc w:val="both"/>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w:t>
            </w:r>
            <w:r>
              <w:rPr>
                <w:rFonts w:hint="eastAsia" w:ascii="宋体" w:hAnsi="宋体" w:eastAsia="宋体" w:cs="宋体"/>
                <w:color w:val="auto"/>
                <w:spacing w:val="9"/>
                <w:sz w:val="21"/>
                <w:szCs w:val="21"/>
                <w:highlight w:val="none"/>
              </w:rPr>
              <w:t>公路工程物探规程》(</w:t>
            </w:r>
            <w:r>
              <w:rPr>
                <w:rFonts w:hint="eastAsia" w:ascii="宋体" w:hAnsi="宋体" w:eastAsia="宋体" w:cs="宋体"/>
                <w:color w:val="auto"/>
                <w:sz w:val="21"/>
                <w:szCs w:val="21"/>
                <w:highlight w:val="none"/>
              </w:rPr>
              <w:t>JTG</w:t>
            </w:r>
            <w:r>
              <w:rPr>
                <w:rFonts w:hint="eastAsia" w:ascii="宋体" w:hAnsi="宋体" w:eastAsia="宋体" w:cs="宋体"/>
                <w:color w:val="auto"/>
                <w:spacing w:val="9"/>
                <w:sz w:val="21"/>
                <w:szCs w:val="21"/>
                <w:highlight w:val="none"/>
              </w:rPr>
              <w:t>/</w:t>
            </w:r>
            <w:r>
              <w:rPr>
                <w:rFonts w:hint="eastAsia" w:ascii="宋体" w:hAnsi="宋体" w:eastAsia="宋体" w:cs="宋体"/>
                <w:color w:val="auto"/>
                <w:sz w:val="21"/>
                <w:szCs w:val="21"/>
                <w:highlight w:val="none"/>
              </w:rPr>
              <w:t>T C</w:t>
            </w:r>
            <w:r>
              <w:rPr>
                <w:rFonts w:hint="eastAsia" w:ascii="宋体" w:hAnsi="宋体" w:eastAsia="宋体" w:cs="宋体"/>
                <w:color w:val="auto"/>
                <w:spacing w:val="8"/>
                <w:sz w:val="21"/>
                <w:szCs w:val="21"/>
                <w:highlight w:val="none"/>
              </w:rPr>
              <w:t>2</w:t>
            </w:r>
            <w:r>
              <w:rPr>
                <w:rFonts w:hint="eastAsia" w:ascii="宋体" w:hAnsi="宋体" w:eastAsia="宋体" w:cs="宋体"/>
                <w:color w:val="auto"/>
                <w:spacing w:val="5"/>
                <w:sz w:val="21"/>
                <w:szCs w:val="21"/>
                <w:highlight w:val="none"/>
              </w:rPr>
              <w:t>2—2009)</w:t>
            </w:r>
          </w:p>
        </w:tc>
        <w:tc>
          <w:tcPr>
            <w:tcW w:w="4159" w:type="dxa"/>
            <w:tcBorders>
              <w:left w:val="single" w:color="000000" w:sz="4" w:space="0"/>
              <w:right w:val="single" w:color="000000" w:sz="10" w:space="0"/>
            </w:tcBorders>
            <w:vAlign w:val="center"/>
          </w:tcPr>
          <w:p>
            <w:pPr>
              <w:spacing w:before="204" w:line="274" w:lineRule="exact"/>
              <w:ind w:left="119"/>
              <w:jc w:val="both"/>
              <w:rPr>
                <w:rFonts w:hint="eastAsia" w:ascii="宋体" w:hAnsi="宋体" w:eastAsia="宋体" w:cs="宋体"/>
                <w:color w:val="auto"/>
                <w:sz w:val="21"/>
                <w:szCs w:val="21"/>
                <w:highlight w:val="none"/>
              </w:rPr>
            </w:pPr>
            <w:r>
              <w:rPr>
                <w:rFonts w:hint="eastAsia" w:ascii="宋体" w:hAnsi="宋体" w:eastAsia="宋体" w:cs="宋体"/>
                <w:color w:val="auto"/>
                <w:spacing w:val="3"/>
                <w:position w:val="2"/>
                <w:sz w:val="21"/>
                <w:szCs w:val="21"/>
                <w:highlight w:val="none"/>
              </w:rPr>
              <w:t>《公路工程物探规程》(</w:t>
            </w:r>
            <w:r>
              <w:rPr>
                <w:rFonts w:hint="eastAsia" w:ascii="宋体" w:hAnsi="宋体" w:eastAsia="宋体" w:cs="宋体"/>
                <w:color w:val="auto"/>
                <w:position w:val="2"/>
                <w:sz w:val="21"/>
                <w:szCs w:val="21"/>
                <w:highlight w:val="none"/>
              </w:rPr>
              <w:t>JTG</w:t>
            </w:r>
            <w:r>
              <w:rPr>
                <w:rFonts w:hint="eastAsia" w:ascii="宋体" w:hAnsi="宋体" w:eastAsia="宋体" w:cs="宋体"/>
                <w:color w:val="auto"/>
                <w:spacing w:val="3"/>
                <w:position w:val="2"/>
                <w:sz w:val="21"/>
                <w:szCs w:val="21"/>
                <w:highlight w:val="none"/>
              </w:rPr>
              <w:t>/</w:t>
            </w:r>
            <w:r>
              <w:rPr>
                <w:rFonts w:hint="eastAsia" w:ascii="宋体" w:hAnsi="宋体" w:eastAsia="宋体" w:cs="宋体"/>
                <w:color w:val="auto"/>
                <w:position w:val="2"/>
                <w:sz w:val="21"/>
                <w:szCs w:val="21"/>
                <w:highlight w:val="none"/>
              </w:rPr>
              <w:t>T</w:t>
            </w:r>
            <w:r>
              <w:rPr>
                <w:rFonts w:hint="eastAsia" w:ascii="宋体" w:hAnsi="宋体" w:eastAsia="宋体" w:cs="宋体"/>
                <w:color w:val="auto"/>
                <w:spacing w:val="3"/>
                <w:position w:val="2"/>
                <w:sz w:val="21"/>
                <w:szCs w:val="21"/>
                <w:highlight w:val="none"/>
              </w:rPr>
              <w:t xml:space="preserve"> 3222—202</w:t>
            </w:r>
            <w:r>
              <w:rPr>
                <w:rFonts w:hint="eastAsia" w:ascii="宋体" w:hAnsi="宋体" w:eastAsia="宋体" w:cs="宋体"/>
                <w:color w:val="auto"/>
                <w:spacing w:val="2"/>
                <w:position w:val="2"/>
                <w:sz w:val="21"/>
                <w:szCs w:val="21"/>
                <w:highlight w:val="none"/>
              </w:rPr>
              <w:t>0</w:t>
            </w:r>
            <w:r>
              <w:rPr>
                <w:rFonts w:hint="eastAsia" w:ascii="宋体" w:hAnsi="宋体" w:eastAsia="宋体" w:cs="宋体"/>
                <w:color w:val="auto"/>
                <w:position w:val="2"/>
                <w:sz w:val="21"/>
                <w:szCs w:val="21"/>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1005" w:type="dxa"/>
            <w:tcBorders>
              <w:left w:val="single" w:color="000000" w:sz="10" w:space="0"/>
              <w:right w:val="single" w:color="000000" w:sz="4" w:space="0"/>
            </w:tcBorders>
            <w:vAlign w:val="center"/>
          </w:tcPr>
          <w:p>
            <w:pPr>
              <w:spacing w:before="279" w:line="189" w:lineRule="auto"/>
              <w:ind w:left="513"/>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4031" w:type="dxa"/>
            <w:tcBorders>
              <w:left w:val="single" w:color="000000" w:sz="4" w:space="0"/>
              <w:right w:val="single" w:color="000000" w:sz="4" w:space="0"/>
            </w:tcBorders>
            <w:vAlign w:val="center"/>
          </w:tcPr>
          <w:p>
            <w:pPr>
              <w:spacing w:before="102" w:line="259" w:lineRule="auto"/>
              <w:ind w:left="866" w:right="159" w:hanging="704"/>
              <w:jc w:val="both"/>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《公路工程水泥及水泥混凝土试验规</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9"/>
                <w:sz w:val="21"/>
                <w:szCs w:val="21"/>
                <w:highlight w:val="none"/>
              </w:rPr>
              <w:t>程</w:t>
            </w:r>
            <w:r>
              <w:rPr>
                <w:rFonts w:hint="eastAsia" w:ascii="宋体" w:hAnsi="宋体" w:eastAsia="宋体" w:cs="宋体"/>
                <w:color w:val="auto"/>
                <w:spacing w:val="7"/>
                <w:sz w:val="21"/>
                <w:szCs w:val="21"/>
                <w:highlight w:val="none"/>
              </w:rPr>
              <w:t>》(</w:t>
            </w:r>
            <w:r>
              <w:rPr>
                <w:rFonts w:hint="eastAsia" w:ascii="宋体" w:hAnsi="宋体" w:eastAsia="宋体" w:cs="宋体"/>
                <w:color w:val="auto"/>
                <w:sz w:val="21"/>
                <w:szCs w:val="21"/>
                <w:highlight w:val="none"/>
              </w:rPr>
              <w:t>JTG</w:t>
            </w:r>
            <w:r>
              <w:rPr>
                <w:rFonts w:hint="eastAsia" w:ascii="宋体" w:hAnsi="宋体" w:eastAsia="宋体" w:cs="宋体"/>
                <w:color w:val="auto"/>
                <w:spacing w:val="7"/>
                <w:sz w:val="21"/>
                <w:szCs w:val="21"/>
                <w:highlight w:val="none"/>
              </w:rPr>
              <w:t xml:space="preserve"> </w:t>
            </w:r>
            <w:r>
              <w:rPr>
                <w:rFonts w:hint="eastAsia" w:ascii="宋体" w:hAnsi="宋体" w:eastAsia="宋体" w:cs="宋体"/>
                <w:color w:val="auto"/>
                <w:sz w:val="21"/>
                <w:szCs w:val="21"/>
                <w:highlight w:val="none"/>
              </w:rPr>
              <w:t>E</w:t>
            </w:r>
            <w:r>
              <w:rPr>
                <w:rFonts w:hint="eastAsia" w:ascii="宋体" w:hAnsi="宋体" w:eastAsia="宋体" w:cs="宋体"/>
                <w:color w:val="auto"/>
                <w:spacing w:val="7"/>
                <w:sz w:val="21"/>
                <w:szCs w:val="21"/>
                <w:highlight w:val="none"/>
              </w:rPr>
              <w:t>30—2005)</w:t>
            </w:r>
          </w:p>
        </w:tc>
        <w:tc>
          <w:tcPr>
            <w:tcW w:w="4159" w:type="dxa"/>
            <w:tcBorders>
              <w:left w:val="single" w:color="000000" w:sz="4" w:space="0"/>
              <w:right w:val="single" w:color="000000" w:sz="10" w:space="0"/>
            </w:tcBorders>
            <w:vAlign w:val="center"/>
          </w:tcPr>
          <w:p>
            <w:pPr>
              <w:spacing w:before="101" w:line="225" w:lineRule="auto"/>
              <w:ind w:left="119"/>
              <w:jc w:val="both"/>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w:t>
            </w:r>
            <w:r>
              <w:rPr>
                <w:rFonts w:hint="eastAsia" w:ascii="宋体" w:hAnsi="宋体" w:eastAsia="宋体" w:cs="宋体"/>
                <w:color w:val="auto"/>
                <w:spacing w:val="11"/>
                <w:sz w:val="21"/>
                <w:szCs w:val="21"/>
                <w:highlight w:val="none"/>
              </w:rPr>
              <w:t>公</w:t>
            </w:r>
            <w:r>
              <w:rPr>
                <w:rFonts w:hint="eastAsia" w:ascii="宋体" w:hAnsi="宋体" w:eastAsia="宋体" w:cs="宋体"/>
                <w:color w:val="auto"/>
                <w:spacing w:val="8"/>
                <w:sz w:val="21"/>
                <w:szCs w:val="21"/>
                <w:highlight w:val="none"/>
              </w:rPr>
              <w:t>路工程水泥及水泥混凝土试验规程》</w:t>
            </w:r>
          </w:p>
          <w:p>
            <w:pPr>
              <w:spacing w:before="29" w:line="221" w:lineRule="auto"/>
              <w:ind w:left="1144"/>
              <w:jc w:val="both"/>
              <w:rPr>
                <w:rFonts w:hint="eastAsia" w:ascii="宋体" w:hAnsi="宋体" w:eastAsia="宋体" w:cs="宋体"/>
                <w:color w:val="auto"/>
                <w:sz w:val="21"/>
                <w:szCs w:val="21"/>
                <w:highlight w:val="none"/>
              </w:rPr>
            </w:pPr>
            <w:r>
              <w:rPr>
                <w:rFonts w:hint="eastAsia" w:ascii="宋体" w:hAnsi="宋体" w:eastAsia="宋体" w:cs="宋体"/>
                <w:color w:val="auto"/>
                <w:spacing w:val="22"/>
                <w:sz w:val="21"/>
                <w:szCs w:val="21"/>
                <w:highlight w:val="none"/>
              </w:rPr>
              <w:t>(</w:t>
            </w:r>
            <w:r>
              <w:rPr>
                <w:rFonts w:hint="eastAsia" w:ascii="宋体" w:hAnsi="宋体" w:eastAsia="宋体" w:cs="宋体"/>
                <w:color w:val="auto"/>
                <w:sz w:val="21"/>
                <w:szCs w:val="21"/>
                <w:highlight w:val="none"/>
              </w:rPr>
              <w:t>JTG</w:t>
            </w:r>
            <w:r>
              <w:rPr>
                <w:rFonts w:hint="eastAsia" w:ascii="宋体" w:hAnsi="宋体" w:eastAsia="宋体" w:cs="宋体"/>
                <w:color w:val="auto"/>
                <w:spacing w:val="13"/>
                <w:sz w:val="21"/>
                <w:szCs w:val="21"/>
                <w:highlight w:val="none"/>
              </w:rPr>
              <w:t xml:space="preserve"> 3420—2020)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3" w:hRule="atLeast"/>
        </w:trPr>
        <w:tc>
          <w:tcPr>
            <w:tcW w:w="1005" w:type="dxa"/>
            <w:tcBorders>
              <w:left w:val="single" w:color="000000" w:sz="10" w:space="0"/>
              <w:right w:val="single" w:color="000000" w:sz="4" w:space="0"/>
            </w:tcBorders>
            <w:vAlign w:val="center"/>
          </w:tcPr>
          <w:p>
            <w:pPr>
              <w:spacing w:before="277" w:line="192" w:lineRule="auto"/>
              <w:ind w:left="511"/>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4031" w:type="dxa"/>
            <w:tcBorders>
              <w:left w:val="single" w:color="000000" w:sz="4" w:space="0"/>
              <w:right w:val="single" w:color="000000" w:sz="4" w:space="0"/>
            </w:tcBorders>
            <w:vAlign w:val="center"/>
          </w:tcPr>
          <w:p>
            <w:pPr>
              <w:spacing w:before="102" w:line="257" w:lineRule="auto"/>
              <w:ind w:left="474" w:right="106" w:hanging="365"/>
              <w:jc w:val="both"/>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《公路工程质量检验评定标准 第二</w:t>
            </w:r>
            <w:r>
              <w:rPr>
                <w:rFonts w:hint="eastAsia" w:ascii="宋体" w:hAnsi="宋体" w:eastAsia="宋体" w:cs="宋体"/>
                <w:color w:val="auto"/>
                <w:spacing w:val="5"/>
                <w:sz w:val="21"/>
                <w:szCs w:val="21"/>
                <w:highlight w:val="none"/>
              </w:rPr>
              <w:t>册</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2"/>
                <w:sz w:val="21"/>
                <w:szCs w:val="21"/>
                <w:highlight w:val="none"/>
              </w:rPr>
              <w:t>机</w:t>
            </w:r>
            <w:r>
              <w:rPr>
                <w:rFonts w:hint="eastAsia" w:ascii="宋体" w:hAnsi="宋体" w:eastAsia="宋体" w:cs="宋体"/>
                <w:color w:val="auto"/>
                <w:spacing w:val="7"/>
                <w:sz w:val="21"/>
                <w:szCs w:val="21"/>
                <w:highlight w:val="none"/>
              </w:rPr>
              <w:t>电工程》(</w:t>
            </w:r>
            <w:r>
              <w:rPr>
                <w:rFonts w:hint="eastAsia" w:ascii="宋体" w:hAnsi="宋体" w:eastAsia="宋体" w:cs="宋体"/>
                <w:color w:val="auto"/>
                <w:sz w:val="21"/>
                <w:szCs w:val="21"/>
                <w:highlight w:val="none"/>
              </w:rPr>
              <w:t>JTG</w:t>
            </w:r>
            <w:r>
              <w:rPr>
                <w:rFonts w:hint="eastAsia" w:ascii="宋体" w:hAnsi="宋体" w:eastAsia="宋体" w:cs="宋体"/>
                <w:color w:val="auto"/>
                <w:spacing w:val="7"/>
                <w:sz w:val="21"/>
                <w:szCs w:val="21"/>
                <w:highlight w:val="none"/>
              </w:rPr>
              <w:t xml:space="preserve"> </w:t>
            </w:r>
            <w:r>
              <w:rPr>
                <w:rFonts w:hint="eastAsia" w:ascii="宋体" w:hAnsi="宋体" w:eastAsia="宋体" w:cs="宋体"/>
                <w:color w:val="auto"/>
                <w:sz w:val="21"/>
                <w:szCs w:val="21"/>
                <w:highlight w:val="none"/>
              </w:rPr>
              <w:t>F</w:t>
            </w:r>
            <w:r>
              <w:rPr>
                <w:rFonts w:hint="eastAsia" w:ascii="宋体" w:hAnsi="宋体" w:eastAsia="宋体" w:cs="宋体"/>
                <w:color w:val="auto"/>
                <w:spacing w:val="7"/>
                <w:sz w:val="21"/>
                <w:szCs w:val="21"/>
                <w:highlight w:val="none"/>
              </w:rPr>
              <w:t>80/2—2004)</w:t>
            </w:r>
          </w:p>
        </w:tc>
        <w:tc>
          <w:tcPr>
            <w:tcW w:w="4159" w:type="dxa"/>
            <w:tcBorders>
              <w:left w:val="single" w:color="000000" w:sz="4" w:space="0"/>
              <w:right w:val="single" w:color="000000" w:sz="10" w:space="0"/>
            </w:tcBorders>
            <w:vAlign w:val="center"/>
          </w:tcPr>
          <w:p>
            <w:pPr>
              <w:spacing w:before="101" w:line="261" w:lineRule="auto"/>
              <w:ind w:left="738" w:right="101" w:hanging="619"/>
              <w:jc w:val="both"/>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w:t>
            </w:r>
            <w:r>
              <w:rPr>
                <w:rFonts w:hint="eastAsia" w:ascii="宋体" w:hAnsi="宋体" w:eastAsia="宋体" w:cs="宋体"/>
                <w:color w:val="auto"/>
                <w:spacing w:val="14"/>
                <w:sz w:val="21"/>
                <w:szCs w:val="21"/>
                <w:highlight w:val="none"/>
              </w:rPr>
              <w:t>公</w:t>
            </w:r>
            <w:r>
              <w:rPr>
                <w:rFonts w:hint="eastAsia" w:ascii="宋体" w:hAnsi="宋体" w:eastAsia="宋体" w:cs="宋体"/>
                <w:color w:val="auto"/>
                <w:spacing w:val="8"/>
                <w:sz w:val="21"/>
                <w:szCs w:val="21"/>
                <w:highlight w:val="none"/>
              </w:rPr>
              <w:t>路工程质量检验评定标准 第二册 机</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2"/>
                <w:sz w:val="21"/>
                <w:szCs w:val="21"/>
                <w:highlight w:val="none"/>
              </w:rPr>
              <w:t>电工程》(</w:t>
            </w:r>
            <w:r>
              <w:rPr>
                <w:rFonts w:hint="eastAsia" w:ascii="宋体" w:hAnsi="宋体" w:eastAsia="宋体" w:cs="宋体"/>
                <w:color w:val="auto"/>
                <w:sz w:val="21"/>
                <w:szCs w:val="21"/>
                <w:highlight w:val="none"/>
              </w:rPr>
              <w:t>JTG</w:t>
            </w:r>
            <w:r>
              <w:rPr>
                <w:rFonts w:hint="eastAsia" w:ascii="宋体" w:hAnsi="宋体" w:eastAsia="宋体" w:cs="宋体"/>
                <w:color w:val="auto"/>
                <w:spacing w:val="12"/>
                <w:sz w:val="21"/>
                <w:szCs w:val="21"/>
                <w:highlight w:val="none"/>
              </w:rPr>
              <w:t xml:space="preserve"> 2182—2020</w:t>
            </w:r>
            <w:r>
              <w:rPr>
                <w:rFonts w:hint="eastAsia" w:ascii="宋体" w:hAnsi="宋体" w:eastAsia="宋体" w:cs="宋体"/>
                <w:color w:val="auto"/>
                <w:spacing w:val="11"/>
                <w:sz w:val="21"/>
                <w:szCs w:val="21"/>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2" w:hRule="atLeast"/>
        </w:trPr>
        <w:tc>
          <w:tcPr>
            <w:tcW w:w="1005" w:type="dxa"/>
            <w:tcBorders>
              <w:left w:val="single" w:color="000000" w:sz="10" w:space="0"/>
              <w:right w:val="single" w:color="000000" w:sz="4" w:space="0"/>
            </w:tcBorders>
            <w:vAlign w:val="center"/>
          </w:tcPr>
          <w:p>
            <w:pPr>
              <w:spacing w:line="290" w:lineRule="auto"/>
              <w:jc w:val="both"/>
              <w:rPr>
                <w:rFonts w:hint="eastAsia" w:ascii="宋体" w:hAnsi="宋体" w:eastAsia="宋体" w:cs="宋体"/>
                <w:color w:val="auto"/>
                <w:sz w:val="21"/>
                <w:szCs w:val="21"/>
                <w:highlight w:val="none"/>
              </w:rPr>
            </w:pPr>
          </w:p>
          <w:p>
            <w:pPr>
              <w:spacing w:before="58" w:line="189" w:lineRule="auto"/>
              <w:ind w:left="51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4031" w:type="dxa"/>
            <w:tcBorders>
              <w:left w:val="single" w:color="000000" w:sz="4" w:space="0"/>
              <w:right w:val="single" w:color="000000" w:sz="4" w:space="0"/>
            </w:tcBorders>
            <w:vAlign w:val="center"/>
          </w:tcPr>
          <w:p>
            <w:pPr>
              <w:spacing w:before="37" w:line="228" w:lineRule="auto"/>
              <w:ind w:left="296"/>
              <w:jc w:val="both"/>
              <w:rPr>
                <w:rFonts w:hint="eastAsia" w:ascii="宋体" w:hAnsi="宋体" w:eastAsia="宋体" w:cs="宋体"/>
                <w:color w:val="auto"/>
                <w:sz w:val="21"/>
                <w:szCs w:val="21"/>
                <w:highlight w:val="none"/>
              </w:rPr>
            </w:pPr>
            <w:r>
              <w:rPr>
                <w:rFonts w:hint="eastAsia" w:ascii="宋体" w:hAnsi="宋体" w:eastAsia="宋体" w:cs="宋体"/>
                <w:color w:val="auto"/>
                <w:spacing w:val="18"/>
                <w:sz w:val="21"/>
                <w:szCs w:val="21"/>
                <w:highlight w:val="none"/>
              </w:rPr>
              <w:t>《公路隧道施工技术规范》</w:t>
            </w:r>
            <w:r>
              <w:rPr>
                <w:rFonts w:hint="eastAsia" w:ascii="宋体" w:hAnsi="宋体" w:eastAsia="宋体" w:cs="宋体"/>
                <w:color w:val="auto"/>
                <w:spacing w:val="16"/>
                <w:sz w:val="21"/>
                <w:szCs w:val="21"/>
                <w:highlight w:val="none"/>
              </w:rPr>
              <w:t>(</w:t>
            </w:r>
            <w:r>
              <w:rPr>
                <w:rFonts w:hint="eastAsia" w:ascii="宋体" w:hAnsi="宋体" w:eastAsia="宋体" w:cs="宋体"/>
                <w:color w:val="auto"/>
                <w:sz w:val="21"/>
                <w:szCs w:val="21"/>
                <w:highlight w:val="none"/>
              </w:rPr>
              <w:t>JTG</w:t>
            </w:r>
          </w:p>
          <w:p>
            <w:pPr>
              <w:spacing w:before="24" w:line="239" w:lineRule="auto"/>
              <w:ind w:left="645" w:right="101" w:hanging="548"/>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w:t>
            </w:r>
            <w:r>
              <w:rPr>
                <w:rFonts w:hint="eastAsia" w:ascii="宋体" w:hAnsi="宋体" w:eastAsia="宋体" w:cs="宋体"/>
                <w:color w:val="auto"/>
                <w:spacing w:val="14"/>
                <w:sz w:val="21"/>
                <w:szCs w:val="21"/>
                <w:highlight w:val="none"/>
              </w:rPr>
              <w:t>60</w:t>
            </w:r>
            <w:r>
              <w:rPr>
                <w:rFonts w:hint="eastAsia" w:ascii="宋体" w:hAnsi="宋体" w:eastAsia="宋体" w:cs="宋体"/>
                <w:color w:val="auto"/>
                <w:spacing w:val="8"/>
                <w:sz w:val="21"/>
                <w:szCs w:val="21"/>
                <w:highlight w:val="none"/>
              </w:rPr>
              <w:t>—</w:t>
            </w:r>
            <w:r>
              <w:rPr>
                <w:rFonts w:hint="eastAsia" w:ascii="宋体" w:hAnsi="宋体" w:eastAsia="宋体" w:cs="宋体"/>
                <w:color w:val="auto"/>
                <w:spacing w:val="7"/>
                <w:sz w:val="21"/>
                <w:szCs w:val="21"/>
                <w:highlight w:val="none"/>
              </w:rPr>
              <w:t>2009) 和《公路隧道施工技术细</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9"/>
                <w:sz w:val="21"/>
                <w:szCs w:val="21"/>
                <w:highlight w:val="none"/>
              </w:rPr>
              <w:t>则</w:t>
            </w:r>
            <w:r>
              <w:rPr>
                <w:rFonts w:hint="eastAsia" w:ascii="宋体" w:hAnsi="宋体" w:eastAsia="宋体" w:cs="宋体"/>
                <w:color w:val="auto"/>
                <w:spacing w:val="14"/>
                <w:sz w:val="21"/>
                <w:szCs w:val="21"/>
                <w:highlight w:val="none"/>
              </w:rPr>
              <w:t>》(</w:t>
            </w:r>
            <w:r>
              <w:rPr>
                <w:rFonts w:hint="eastAsia" w:ascii="宋体" w:hAnsi="宋体" w:eastAsia="宋体" w:cs="宋体"/>
                <w:color w:val="auto"/>
                <w:sz w:val="21"/>
                <w:szCs w:val="21"/>
                <w:highlight w:val="none"/>
              </w:rPr>
              <w:t>JTG</w:t>
            </w:r>
            <w:r>
              <w:rPr>
                <w:rFonts w:hint="eastAsia" w:ascii="宋体" w:hAnsi="宋体" w:eastAsia="宋体" w:cs="宋体"/>
                <w:color w:val="auto"/>
                <w:spacing w:val="14"/>
                <w:sz w:val="21"/>
                <w:szCs w:val="21"/>
                <w:highlight w:val="none"/>
              </w:rPr>
              <w:t>/</w:t>
            </w:r>
            <w:r>
              <w:rPr>
                <w:rFonts w:hint="eastAsia" w:ascii="宋体" w:hAnsi="宋体" w:eastAsia="宋体" w:cs="宋体"/>
                <w:color w:val="auto"/>
                <w:sz w:val="21"/>
                <w:szCs w:val="21"/>
                <w:highlight w:val="none"/>
              </w:rPr>
              <w:t>T</w:t>
            </w:r>
            <w:r>
              <w:rPr>
                <w:rFonts w:hint="eastAsia" w:ascii="宋体" w:hAnsi="宋体" w:eastAsia="宋体" w:cs="宋体"/>
                <w:color w:val="auto"/>
                <w:spacing w:val="14"/>
                <w:sz w:val="21"/>
                <w:szCs w:val="21"/>
                <w:highlight w:val="none"/>
              </w:rPr>
              <w:t xml:space="preserve"> </w:t>
            </w:r>
            <w:r>
              <w:rPr>
                <w:rFonts w:hint="eastAsia" w:ascii="宋体" w:hAnsi="宋体" w:eastAsia="宋体" w:cs="宋体"/>
                <w:color w:val="auto"/>
                <w:sz w:val="21"/>
                <w:szCs w:val="21"/>
                <w:highlight w:val="none"/>
              </w:rPr>
              <w:t>F</w:t>
            </w:r>
            <w:r>
              <w:rPr>
                <w:rFonts w:hint="eastAsia" w:ascii="宋体" w:hAnsi="宋体" w:eastAsia="宋体" w:cs="宋体"/>
                <w:color w:val="auto"/>
                <w:spacing w:val="14"/>
                <w:sz w:val="21"/>
                <w:szCs w:val="21"/>
                <w:highlight w:val="none"/>
              </w:rPr>
              <w:t>60—2009)</w:t>
            </w:r>
          </w:p>
        </w:tc>
        <w:tc>
          <w:tcPr>
            <w:tcW w:w="4159" w:type="dxa"/>
            <w:tcBorders>
              <w:left w:val="single" w:color="000000" w:sz="4" w:space="0"/>
              <w:right w:val="single" w:color="000000" w:sz="10" w:space="0"/>
            </w:tcBorders>
            <w:vAlign w:val="center"/>
          </w:tcPr>
          <w:p>
            <w:pPr>
              <w:spacing w:before="172" w:line="268" w:lineRule="auto"/>
              <w:ind w:left="1374" w:right="353" w:hanging="1000"/>
              <w:jc w:val="both"/>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《公路隧道施工技术规范》(</w:t>
            </w:r>
            <w:r>
              <w:rPr>
                <w:rFonts w:hint="eastAsia" w:ascii="宋体" w:hAnsi="宋体" w:eastAsia="宋体" w:cs="宋体"/>
                <w:color w:val="auto"/>
                <w:sz w:val="21"/>
                <w:szCs w:val="21"/>
                <w:highlight w:val="none"/>
              </w:rPr>
              <w:t>JTG</w:t>
            </w:r>
            <w:r>
              <w:rPr>
                <w:rFonts w:hint="eastAsia" w:ascii="宋体" w:hAnsi="宋体" w:eastAsia="宋体" w:cs="宋体"/>
                <w:color w:val="auto"/>
                <w:spacing w:val="17"/>
                <w:sz w:val="21"/>
                <w:szCs w:val="21"/>
                <w:highlight w:val="none"/>
              </w:rPr>
              <w:t>/</w:t>
            </w:r>
            <w:r>
              <w:rPr>
                <w:rFonts w:hint="eastAsia" w:ascii="宋体" w:hAnsi="宋体" w:eastAsia="宋体" w:cs="宋体"/>
                <w:color w:val="auto"/>
                <w:sz w:val="21"/>
                <w:szCs w:val="21"/>
                <w:highlight w:val="none"/>
              </w:rPr>
              <w:t xml:space="preserve">T </w:t>
            </w:r>
            <w:r>
              <w:rPr>
                <w:rFonts w:hint="eastAsia" w:ascii="宋体" w:hAnsi="宋体" w:eastAsia="宋体" w:cs="宋体"/>
                <w:color w:val="auto"/>
                <w:spacing w:val="5"/>
                <w:sz w:val="21"/>
                <w:szCs w:val="21"/>
                <w:highlight w:val="none"/>
              </w:rPr>
              <w:t>3</w:t>
            </w:r>
            <w:r>
              <w:rPr>
                <w:rFonts w:hint="eastAsia" w:ascii="宋体" w:hAnsi="宋体" w:eastAsia="宋体" w:cs="宋体"/>
                <w:color w:val="auto"/>
                <w:spacing w:val="4"/>
                <w:sz w:val="21"/>
                <w:szCs w:val="21"/>
                <w:highlight w:val="none"/>
              </w:rPr>
              <w:t>660—2020)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7" w:hRule="atLeast"/>
        </w:trPr>
        <w:tc>
          <w:tcPr>
            <w:tcW w:w="1005" w:type="dxa"/>
            <w:tcBorders>
              <w:left w:val="single" w:color="000000" w:sz="10" w:space="0"/>
              <w:right w:val="single" w:color="000000" w:sz="4" w:space="0"/>
            </w:tcBorders>
            <w:vAlign w:val="center"/>
          </w:tcPr>
          <w:p>
            <w:pPr>
              <w:spacing w:before="278" w:line="192" w:lineRule="auto"/>
              <w:ind w:left="515"/>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4031" w:type="dxa"/>
            <w:tcBorders>
              <w:left w:val="single" w:color="000000" w:sz="4" w:space="0"/>
              <w:right w:val="single" w:color="000000" w:sz="4" w:space="0"/>
            </w:tcBorders>
            <w:vAlign w:val="center"/>
          </w:tcPr>
          <w:p>
            <w:pPr>
              <w:spacing w:before="104" w:line="268" w:lineRule="auto"/>
              <w:ind w:left="564" w:right="159" w:hanging="402"/>
              <w:jc w:val="both"/>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《公路工程混凝土结构耐久性技术规</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6"/>
                <w:sz w:val="21"/>
                <w:szCs w:val="21"/>
                <w:highlight w:val="none"/>
              </w:rPr>
              <w:t>范</w:t>
            </w:r>
            <w:r>
              <w:rPr>
                <w:rFonts w:hint="eastAsia" w:ascii="宋体" w:hAnsi="宋体" w:eastAsia="宋体" w:cs="宋体"/>
                <w:color w:val="auto"/>
                <w:spacing w:val="12"/>
                <w:sz w:val="21"/>
                <w:szCs w:val="21"/>
                <w:highlight w:val="none"/>
              </w:rPr>
              <w:t>》(</w:t>
            </w:r>
            <w:r>
              <w:rPr>
                <w:rFonts w:hint="eastAsia" w:ascii="宋体" w:hAnsi="宋体" w:eastAsia="宋体" w:cs="宋体"/>
                <w:color w:val="auto"/>
                <w:sz w:val="21"/>
                <w:szCs w:val="21"/>
                <w:highlight w:val="none"/>
              </w:rPr>
              <w:t>JTG</w:t>
            </w:r>
            <w:r>
              <w:rPr>
                <w:rFonts w:hint="eastAsia" w:ascii="宋体" w:hAnsi="宋体" w:eastAsia="宋体" w:cs="宋体"/>
                <w:color w:val="auto"/>
                <w:spacing w:val="12"/>
                <w:sz w:val="21"/>
                <w:szCs w:val="21"/>
                <w:highlight w:val="none"/>
              </w:rPr>
              <w:t>/</w:t>
            </w:r>
            <w:r>
              <w:rPr>
                <w:rFonts w:hint="eastAsia" w:ascii="宋体" w:hAnsi="宋体" w:eastAsia="宋体" w:cs="宋体"/>
                <w:color w:val="auto"/>
                <w:sz w:val="21"/>
                <w:szCs w:val="21"/>
                <w:highlight w:val="none"/>
              </w:rPr>
              <w:t>T</w:t>
            </w:r>
            <w:r>
              <w:rPr>
                <w:rFonts w:hint="eastAsia" w:ascii="宋体" w:hAnsi="宋体" w:eastAsia="宋体" w:cs="宋体"/>
                <w:color w:val="auto"/>
                <w:spacing w:val="12"/>
                <w:sz w:val="21"/>
                <w:szCs w:val="21"/>
                <w:highlight w:val="none"/>
              </w:rPr>
              <w:t xml:space="preserve"> </w:t>
            </w:r>
            <w:r>
              <w:rPr>
                <w:rFonts w:hint="eastAsia" w:ascii="宋体" w:hAnsi="宋体" w:eastAsia="宋体" w:cs="宋体"/>
                <w:color w:val="auto"/>
                <w:sz w:val="21"/>
                <w:szCs w:val="21"/>
                <w:highlight w:val="none"/>
              </w:rPr>
              <w:t>B</w:t>
            </w:r>
            <w:r>
              <w:rPr>
                <w:rFonts w:hint="eastAsia" w:ascii="宋体" w:hAnsi="宋体" w:eastAsia="宋体" w:cs="宋体"/>
                <w:color w:val="auto"/>
                <w:spacing w:val="12"/>
                <w:sz w:val="21"/>
                <w:szCs w:val="21"/>
                <w:highlight w:val="none"/>
              </w:rPr>
              <w:t>07-01-2006)</w:t>
            </w:r>
          </w:p>
        </w:tc>
        <w:tc>
          <w:tcPr>
            <w:tcW w:w="4159" w:type="dxa"/>
            <w:tcBorders>
              <w:left w:val="single" w:color="000000" w:sz="4" w:space="0"/>
              <w:right w:val="single" w:color="000000" w:sz="10" w:space="0"/>
            </w:tcBorders>
            <w:vAlign w:val="center"/>
          </w:tcPr>
          <w:p>
            <w:pPr>
              <w:spacing w:before="102" w:line="222" w:lineRule="auto"/>
              <w:ind w:left="119"/>
              <w:jc w:val="both"/>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w:t>
            </w:r>
            <w:r>
              <w:rPr>
                <w:rFonts w:hint="eastAsia" w:ascii="宋体" w:hAnsi="宋体" w:eastAsia="宋体" w:cs="宋体"/>
                <w:color w:val="auto"/>
                <w:spacing w:val="11"/>
                <w:sz w:val="21"/>
                <w:szCs w:val="21"/>
                <w:highlight w:val="none"/>
              </w:rPr>
              <w:t>公</w:t>
            </w:r>
            <w:r>
              <w:rPr>
                <w:rFonts w:hint="eastAsia" w:ascii="宋体" w:hAnsi="宋体" w:eastAsia="宋体" w:cs="宋体"/>
                <w:color w:val="auto"/>
                <w:spacing w:val="8"/>
                <w:sz w:val="21"/>
                <w:szCs w:val="21"/>
                <w:highlight w:val="none"/>
              </w:rPr>
              <w:t>路工程混凝土结构耐久性技术规范》</w:t>
            </w:r>
          </w:p>
          <w:p>
            <w:pPr>
              <w:spacing w:line="274" w:lineRule="exact"/>
              <w:ind w:left="1053"/>
              <w:jc w:val="both"/>
              <w:rPr>
                <w:rFonts w:hint="eastAsia" w:ascii="宋体" w:hAnsi="宋体" w:eastAsia="宋体" w:cs="宋体"/>
                <w:color w:val="auto"/>
                <w:sz w:val="21"/>
                <w:szCs w:val="21"/>
                <w:highlight w:val="none"/>
              </w:rPr>
            </w:pPr>
            <w:r>
              <w:rPr>
                <w:rFonts w:hint="eastAsia" w:ascii="宋体" w:hAnsi="宋体" w:eastAsia="宋体" w:cs="宋体"/>
                <w:color w:val="auto"/>
                <w:spacing w:val="16"/>
                <w:position w:val="1"/>
                <w:sz w:val="21"/>
                <w:szCs w:val="21"/>
                <w:highlight w:val="none"/>
              </w:rPr>
              <w:t>(</w:t>
            </w:r>
            <w:r>
              <w:rPr>
                <w:rFonts w:hint="eastAsia" w:ascii="宋体" w:hAnsi="宋体" w:eastAsia="宋体" w:cs="宋体"/>
                <w:color w:val="auto"/>
                <w:position w:val="1"/>
                <w:sz w:val="21"/>
                <w:szCs w:val="21"/>
                <w:highlight w:val="none"/>
              </w:rPr>
              <w:t>JTG</w:t>
            </w:r>
            <w:r>
              <w:rPr>
                <w:rFonts w:hint="eastAsia" w:ascii="宋体" w:hAnsi="宋体" w:eastAsia="宋体" w:cs="宋体"/>
                <w:color w:val="auto"/>
                <w:spacing w:val="12"/>
                <w:position w:val="1"/>
                <w:sz w:val="21"/>
                <w:szCs w:val="21"/>
                <w:highlight w:val="none"/>
              </w:rPr>
              <w:t>/</w:t>
            </w:r>
            <w:r>
              <w:rPr>
                <w:rFonts w:hint="eastAsia" w:ascii="宋体" w:hAnsi="宋体" w:eastAsia="宋体" w:cs="宋体"/>
                <w:color w:val="auto"/>
                <w:position w:val="1"/>
                <w:sz w:val="21"/>
                <w:szCs w:val="21"/>
                <w:highlight w:val="none"/>
              </w:rPr>
              <w:t>T</w:t>
            </w:r>
            <w:r>
              <w:rPr>
                <w:rFonts w:hint="eastAsia" w:ascii="宋体" w:hAnsi="宋体" w:eastAsia="宋体" w:cs="宋体"/>
                <w:color w:val="auto"/>
                <w:spacing w:val="12"/>
                <w:position w:val="1"/>
                <w:sz w:val="21"/>
                <w:szCs w:val="21"/>
                <w:highlight w:val="none"/>
              </w:rPr>
              <w:t xml:space="preserve"> 3310-2019)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6" w:hRule="atLeast"/>
        </w:trPr>
        <w:tc>
          <w:tcPr>
            <w:tcW w:w="1005" w:type="dxa"/>
            <w:tcBorders>
              <w:left w:val="single" w:color="000000" w:sz="10" w:space="0"/>
              <w:right w:val="single" w:color="000000" w:sz="4" w:space="0"/>
            </w:tcBorders>
            <w:vAlign w:val="center"/>
          </w:tcPr>
          <w:p>
            <w:pPr>
              <w:spacing w:before="279" w:line="192" w:lineRule="auto"/>
              <w:ind w:left="511"/>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4031" w:type="dxa"/>
            <w:tcBorders>
              <w:left w:val="single" w:color="000000" w:sz="4" w:space="0"/>
              <w:right w:val="single" w:color="000000" w:sz="4" w:space="0"/>
            </w:tcBorders>
            <w:vAlign w:val="center"/>
          </w:tcPr>
          <w:p>
            <w:pPr>
              <w:spacing w:before="104" w:line="257" w:lineRule="auto"/>
              <w:ind w:left="612" w:right="130" w:hanging="479"/>
              <w:jc w:val="both"/>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《钢筋</w:t>
            </w:r>
            <w:r>
              <w:rPr>
                <w:rFonts w:hint="eastAsia" w:ascii="宋体" w:hAnsi="宋体" w:eastAsia="宋体" w:cs="宋体"/>
                <w:color w:val="auto"/>
                <w:spacing w:val="4"/>
                <w:sz w:val="21"/>
                <w:szCs w:val="21"/>
                <w:highlight w:val="none"/>
              </w:rPr>
              <w:t>混凝土用钢 第 2 部分:  热轧带</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6"/>
                <w:sz w:val="21"/>
                <w:szCs w:val="21"/>
                <w:highlight w:val="none"/>
              </w:rPr>
              <w:t>肋钢筋》(</w:t>
            </w:r>
            <w:r>
              <w:rPr>
                <w:rFonts w:hint="eastAsia" w:ascii="宋体" w:hAnsi="宋体" w:eastAsia="宋体" w:cs="宋体"/>
                <w:color w:val="auto"/>
                <w:sz w:val="21"/>
                <w:szCs w:val="21"/>
                <w:highlight w:val="none"/>
              </w:rPr>
              <w:t>GB</w:t>
            </w:r>
            <w:r>
              <w:rPr>
                <w:rFonts w:hint="eastAsia" w:ascii="宋体" w:hAnsi="宋体" w:eastAsia="宋体" w:cs="宋体"/>
                <w:color w:val="auto"/>
                <w:spacing w:val="6"/>
                <w:sz w:val="21"/>
                <w:szCs w:val="21"/>
                <w:highlight w:val="none"/>
              </w:rPr>
              <w:t xml:space="preserve"> 1499.2-2007)</w:t>
            </w:r>
            <w:r>
              <w:rPr>
                <w:rFonts w:hint="eastAsia" w:ascii="宋体" w:hAnsi="宋体" w:eastAsia="宋体" w:cs="宋体"/>
                <w:color w:val="auto"/>
                <w:spacing w:val="3"/>
                <w:sz w:val="21"/>
                <w:szCs w:val="21"/>
                <w:highlight w:val="none"/>
              </w:rPr>
              <w:t>;</w:t>
            </w:r>
          </w:p>
        </w:tc>
        <w:tc>
          <w:tcPr>
            <w:tcW w:w="4159" w:type="dxa"/>
            <w:tcBorders>
              <w:left w:val="single" w:color="000000" w:sz="4" w:space="0"/>
              <w:right w:val="single" w:color="000000" w:sz="10" w:space="0"/>
            </w:tcBorders>
            <w:vAlign w:val="center"/>
          </w:tcPr>
          <w:p>
            <w:pPr>
              <w:spacing w:before="104" w:line="257" w:lineRule="auto"/>
              <w:ind w:left="993" w:right="99" w:hanging="876"/>
              <w:jc w:val="both"/>
              <w:rPr>
                <w:rFonts w:hint="eastAsia" w:ascii="宋体" w:hAnsi="宋体" w:eastAsia="宋体" w:cs="宋体"/>
                <w:color w:val="auto"/>
                <w:sz w:val="21"/>
                <w:szCs w:val="21"/>
                <w:highlight w:val="none"/>
              </w:rPr>
            </w:pPr>
            <w:r>
              <w:rPr>
                <w:rFonts w:hint="eastAsia" w:ascii="宋体" w:hAnsi="宋体" w:eastAsia="宋体" w:cs="宋体"/>
                <w:color w:val="auto"/>
                <w:spacing w:val="14"/>
                <w:sz w:val="21"/>
                <w:szCs w:val="21"/>
                <w:highlight w:val="none"/>
              </w:rPr>
              <w:t>《</w:t>
            </w:r>
            <w:r>
              <w:rPr>
                <w:rFonts w:hint="eastAsia" w:ascii="宋体" w:hAnsi="宋体" w:eastAsia="宋体" w:cs="宋体"/>
                <w:color w:val="auto"/>
                <w:spacing w:val="11"/>
                <w:sz w:val="21"/>
                <w:szCs w:val="21"/>
                <w:highlight w:val="none"/>
              </w:rPr>
              <w:t>钢</w:t>
            </w:r>
            <w:r>
              <w:rPr>
                <w:rFonts w:hint="eastAsia" w:ascii="宋体" w:hAnsi="宋体" w:eastAsia="宋体" w:cs="宋体"/>
                <w:color w:val="auto"/>
                <w:spacing w:val="7"/>
                <w:sz w:val="21"/>
                <w:szCs w:val="21"/>
                <w:highlight w:val="none"/>
              </w:rPr>
              <w:t>筋混凝土用钢 第2 部分:  热轧带肋钢</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8"/>
                <w:sz w:val="21"/>
                <w:szCs w:val="21"/>
                <w:highlight w:val="none"/>
              </w:rPr>
              <w:t>筋</w:t>
            </w:r>
            <w:r>
              <w:rPr>
                <w:rFonts w:hint="eastAsia" w:ascii="宋体" w:hAnsi="宋体" w:eastAsia="宋体" w:cs="宋体"/>
                <w:color w:val="auto"/>
                <w:spacing w:val="5"/>
                <w:sz w:val="21"/>
                <w:szCs w:val="21"/>
                <w:highlight w:val="none"/>
              </w:rPr>
              <w:t>》(</w:t>
            </w:r>
            <w:r>
              <w:rPr>
                <w:rFonts w:hint="eastAsia" w:ascii="宋体" w:hAnsi="宋体" w:eastAsia="宋体" w:cs="宋体"/>
                <w:color w:val="auto"/>
                <w:sz w:val="21"/>
                <w:szCs w:val="21"/>
                <w:highlight w:val="none"/>
              </w:rPr>
              <w:t>GB</w:t>
            </w:r>
            <w:r>
              <w:rPr>
                <w:rFonts w:hint="eastAsia" w:ascii="宋体" w:hAnsi="宋体" w:eastAsia="宋体" w:cs="宋体"/>
                <w:color w:val="auto"/>
                <w:spacing w:val="5"/>
                <w:sz w:val="21"/>
                <w:szCs w:val="21"/>
                <w:highlight w:val="none"/>
              </w:rPr>
              <w:t xml:space="preserve"> 1499.2-2017);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005" w:type="dxa"/>
            <w:tcBorders>
              <w:left w:val="single" w:color="000000" w:sz="10" w:space="0"/>
              <w:right w:val="single" w:color="000000" w:sz="4" w:space="0"/>
            </w:tcBorders>
            <w:vAlign w:val="center"/>
          </w:tcPr>
          <w:p>
            <w:pPr>
              <w:spacing w:before="277" w:line="192" w:lineRule="auto"/>
              <w:ind w:left="474"/>
              <w:jc w:val="both"/>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1</w:t>
            </w:r>
            <w:r>
              <w:rPr>
                <w:rFonts w:hint="eastAsia" w:ascii="宋体" w:hAnsi="宋体" w:eastAsia="宋体" w:cs="宋体"/>
                <w:color w:val="auto"/>
                <w:spacing w:val="-3"/>
                <w:sz w:val="21"/>
                <w:szCs w:val="21"/>
                <w:highlight w:val="none"/>
              </w:rPr>
              <w:t>0</w:t>
            </w:r>
          </w:p>
        </w:tc>
        <w:tc>
          <w:tcPr>
            <w:tcW w:w="4031" w:type="dxa"/>
            <w:tcBorders>
              <w:left w:val="single" w:color="000000" w:sz="4" w:space="0"/>
              <w:right w:val="single" w:color="000000" w:sz="4" w:space="0"/>
            </w:tcBorders>
            <w:vAlign w:val="center"/>
          </w:tcPr>
          <w:p>
            <w:pPr>
              <w:spacing w:before="117" w:line="209" w:lineRule="auto"/>
              <w:ind w:left="476"/>
              <w:jc w:val="both"/>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《预应力混凝土用螺纹钢筋》</w:t>
            </w:r>
          </w:p>
          <w:p>
            <w:pPr>
              <w:spacing w:line="274" w:lineRule="exact"/>
              <w:ind w:left="1021"/>
              <w:jc w:val="both"/>
              <w:rPr>
                <w:rFonts w:hint="eastAsia" w:ascii="宋体" w:hAnsi="宋体" w:eastAsia="宋体" w:cs="宋体"/>
                <w:color w:val="auto"/>
                <w:sz w:val="21"/>
                <w:szCs w:val="21"/>
                <w:highlight w:val="none"/>
              </w:rPr>
            </w:pPr>
            <w:r>
              <w:rPr>
                <w:rFonts w:hint="eastAsia" w:ascii="宋体" w:hAnsi="宋体" w:eastAsia="宋体" w:cs="宋体"/>
                <w:color w:val="auto"/>
                <w:spacing w:val="10"/>
                <w:position w:val="3"/>
                <w:sz w:val="21"/>
                <w:szCs w:val="21"/>
                <w:highlight w:val="none"/>
              </w:rPr>
              <w:t>(</w:t>
            </w:r>
            <w:r>
              <w:rPr>
                <w:rFonts w:hint="eastAsia" w:ascii="宋体" w:hAnsi="宋体" w:eastAsia="宋体" w:cs="宋体"/>
                <w:color w:val="auto"/>
                <w:position w:val="3"/>
                <w:sz w:val="21"/>
                <w:szCs w:val="21"/>
                <w:highlight w:val="none"/>
              </w:rPr>
              <w:t>GB</w:t>
            </w:r>
            <w:r>
              <w:rPr>
                <w:rFonts w:hint="eastAsia" w:ascii="宋体" w:hAnsi="宋体" w:eastAsia="宋体" w:cs="宋体"/>
                <w:color w:val="auto"/>
                <w:spacing w:val="10"/>
                <w:position w:val="3"/>
                <w:sz w:val="21"/>
                <w:szCs w:val="21"/>
                <w:highlight w:val="none"/>
              </w:rPr>
              <w:t>/</w:t>
            </w:r>
            <w:r>
              <w:rPr>
                <w:rFonts w:hint="eastAsia" w:ascii="宋体" w:hAnsi="宋体" w:eastAsia="宋体" w:cs="宋体"/>
                <w:color w:val="auto"/>
                <w:position w:val="3"/>
                <w:sz w:val="21"/>
                <w:szCs w:val="21"/>
                <w:highlight w:val="none"/>
              </w:rPr>
              <w:t>T</w:t>
            </w:r>
            <w:r>
              <w:rPr>
                <w:rFonts w:hint="eastAsia" w:ascii="宋体" w:hAnsi="宋体" w:eastAsia="宋体" w:cs="宋体"/>
                <w:color w:val="auto"/>
                <w:spacing w:val="5"/>
                <w:position w:val="3"/>
                <w:sz w:val="21"/>
                <w:szCs w:val="21"/>
                <w:highlight w:val="none"/>
              </w:rPr>
              <w:t>20065-2006)</w:t>
            </w:r>
          </w:p>
        </w:tc>
        <w:tc>
          <w:tcPr>
            <w:tcW w:w="4159" w:type="dxa"/>
            <w:tcBorders>
              <w:left w:val="single" w:color="000000" w:sz="4" w:space="0"/>
              <w:right w:val="single" w:color="000000" w:sz="10" w:space="0"/>
            </w:tcBorders>
            <w:vAlign w:val="center"/>
          </w:tcPr>
          <w:p>
            <w:pPr>
              <w:spacing w:before="117" w:line="209" w:lineRule="auto"/>
              <w:ind w:left="645"/>
              <w:jc w:val="both"/>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《预应力混凝土用螺纹钢筋》</w:t>
            </w:r>
          </w:p>
          <w:p>
            <w:pPr>
              <w:spacing w:line="274" w:lineRule="exact"/>
              <w:ind w:left="1190"/>
              <w:jc w:val="both"/>
              <w:rPr>
                <w:rFonts w:hint="eastAsia" w:ascii="宋体" w:hAnsi="宋体" w:eastAsia="宋体" w:cs="宋体"/>
                <w:color w:val="auto"/>
                <w:sz w:val="21"/>
                <w:szCs w:val="21"/>
                <w:highlight w:val="none"/>
              </w:rPr>
            </w:pPr>
            <w:r>
              <w:rPr>
                <w:rFonts w:hint="eastAsia" w:ascii="宋体" w:hAnsi="宋体" w:eastAsia="宋体" w:cs="宋体"/>
                <w:color w:val="auto"/>
                <w:spacing w:val="10"/>
                <w:position w:val="3"/>
                <w:sz w:val="21"/>
                <w:szCs w:val="21"/>
                <w:highlight w:val="none"/>
              </w:rPr>
              <w:t>(</w:t>
            </w:r>
            <w:r>
              <w:rPr>
                <w:rFonts w:hint="eastAsia" w:ascii="宋体" w:hAnsi="宋体" w:eastAsia="宋体" w:cs="宋体"/>
                <w:color w:val="auto"/>
                <w:position w:val="3"/>
                <w:sz w:val="21"/>
                <w:szCs w:val="21"/>
                <w:highlight w:val="none"/>
              </w:rPr>
              <w:t>GB</w:t>
            </w:r>
            <w:r>
              <w:rPr>
                <w:rFonts w:hint="eastAsia" w:ascii="宋体" w:hAnsi="宋体" w:eastAsia="宋体" w:cs="宋体"/>
                <w:color w:val="auto"/>
                <w:spacing w:val="10"/>
                <w:position w:val="3"/>
                <w:sz w:val="21"/>
                <w:szCs w:val="21"/>
                <w:highlight w:val="none"/>
              </w:rPr>
              <w:t>/</w:t>
            </w:r>
            <w:r>
              <w:rPr>
                <w:rFonts w:hint="eastAsia" w:ascii="宋体" w:hAnsi="宋体" w:eastAsia="宋体" w:cs="宋体"/>
                <w:color w:val="auto"/>
                <w:position w:val="3"/>
                <w:sz w:val="21"/>
                <w:szCs w:val="21"/>
                <w:highlight w:val="none"/>
              </w:rPr>
              <w:t>T</w:t>
            </w:r>
            <w:r>
              <w:rPr>
                <w:rFonts w:hint="eastAsia" w:ascii="宋体" w:hAnsi="宋体" w:eastAsia="宋体" w:cs="宋体"/>
                <w:color w:val="auto"/>
                <w:spacing w:val="5"/>
                <w:position w:val="3"/>
                <w:sz w:val="21"/>
                <w:szCs w:val="21"/>
                <w:highlight w:val="none"/>
              </w:rPr>
              <w:t>20065-2016)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1005" w:type="dxa"/>
            <w:tcBorders>
              <w:left w:val="single" w:color="000000" w:sz="10" w:space="0"/>
              <w:right w:val="single" w:color="000000" w:sz="4" w:space="0"/>
            </w:tcBorders>
            <w:vAlign w:val="center"/>
          </w:tcPr>
          <w:p>
            <w:pPr>
              <w:spacing w:before="280" w:line="192" w:lineRule="auto"/>
              <w:ind w:left="479"/>
              <w:jc w:val="both"/>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11</w:t>
            </w:r>
          </w:p>
        </w:tc>
        <w:tc>
          <w:tcPr>
            <w:tcW w:w="4031" w:type="dxa"/>
            <w:tcBorders>
              <w:left w:val="single" w:color="000000" w:sz="4" w:space="0"/>
              <w:right w:val="single" w:color="000000" w:sz="4" w:space="0"/>
            </w:tcBorders>
            <w:vAlign w:val="center"/>
          </w:tcPr>
          <w:p>
            <w:pPr>
              <w:spacing w:before="210" w:line="274" w:lineRule="exact"/>
              <w:ind w:left="186"/>
              <w:jc w:val="both"/>
              <w:rPr>
                <w:rFonts w:hint="eastAsia" w:ascii="宋体" w:hAnsi="宋体" w:eastAsia="宋体" w:cs="宋体"/>
                <w:color w:val="auto"/>
                <w:sz w:val="21"/>
                <w:szCs w:val="21"/>
                <w:highlight w:val="none"/>
              </w:rPr>
            </w:pPr>
            <w:r>
              <w:rPr>
                <w:rFonts w:hint="eastAsia" w:ascii="宋体" w:hAnsi="宋体" w:eastAsia="宋体" w:cs="宋体"/>
                <w:color w:val="auto"/>
                <w:spacing w:val="8"/>
                <w:position w:val="2"/>
                <w:sz w:val="21"/>
                <w:szCs w:val="21"/>
                <w:highlight w:val="none"/>
              </w:rPr>
              <w:t>《优质</w:t>
            </w:r>
            <w:r>
              <w:rPr>
                <w:rFonts w:hint="eastAsia" w:ascii="宋体" w:hAnsi="宋体" w:eastAsia="宋体" w:cs="宋体"/>
                <w:color w:val="auto"/>
                <w:spacing w:val="5"/>
                <w:position w:val="2"/>
                <w:sz w:val="21"/>
                <w:szCs w:val="21"/>
                <w:highlight w:val="none"/>
              </w:rPr>
              <w:t>碳</w:t>
            </w:r>
            <w:r>
              <w:rPr>
                <w:rFonts w:hint="eastAsia" w:ascii="宋体" w:hAnsi="宋体" w:eastAsia="宋体" w:cs="宋体"/>
                <w:color w:val="auto"/>
                <w:spacing w:val="4"/>
                <w:position w:val="2"/>
                <w:sz w:val="21"/>
                <w:szCs w:val="21"/>
                <w:highlight w:val="none"/>
              </w:rPr>
              <w:t>索结构钢》(</w:t>
            </w:r>
            <w:r>
              <w:rPr>
                <w:rFonts w:hint="eastAsia" w:ascii="宋体" w:hAnsi="宋体" w:eastAsia="宋体" w:cs="宋体"/>
                <w:color w:val="auto"/>
                <w:position w:val="2"/>
                <w:sz w:val="21"/>
                <w:szCs w:val="21"/>
                <w:highlight w:val="none"/>
              </w:rPr>
              <w:t>GB</w:t>
            </w:r>
            <w:r>
              <w:rPr>
                <w:rFonts w:hint="eastAsia" w:ascii="宋体" w:hAnsi="宋体" w:eastAsia="宋体" w:cs="宋体"/>
                <w:color w:val="auto"/>
                <w:spacing w:val="4"/>
                <w:position w:val="2"/>
                <w:sz w:val="21"/>
                <w:szCs w:val="21"/>
                <w:highlight w:val="none"/>
              </w:rPr>
              <w:t>/</w:t>
            </w:r>
            <w:r>
              <w:rPr>
                <w:rFonts w:hint="eastAsia" w:ascii="宋体" w:hAnsi="宋体" w:eastAsia="宋体" w:cs="宋体"/>
                <w:color w:val="auto"/>
                <w:position w:val="2"/>
                <w:sz w:val="21"/>
                <w:szCs w:val="21"/>
                <w:highlight w:val="none"/>
              </w:rPr>
              <w:t>T</w:t>
            </w:r>
            <w:r>
              <w:rPr>
                <w:rFonts w:hint="eastAsia" w:ascii="宋体" w:hAnsi="宋体" w:eastAsia="宋体" w:cs="宋体"/>
                <w:color w:val="auto"/>
                <w:spacing w:val="4"/>
                <w:position w:val="2"/>
                <w:sz w:val="21"/>
                <w:szCs w:val="21"/>
                <w:highlight w:val="none"/>
              </w:rPr>
              <w:t>699- 1999)</w:t>
            </w:r>
          </w:p>
        </w:tc>
        <w:tc>
          <w:tcPr>
            <w:tcW w:w="4159" w:type="dxa"/>
            <w:tcBorders>
              <w:left w:val="single" w:color="000000" w:sz="4" w:space="0"/>
              <w:right w:val="single" w:color="000000" w:sz="10" w:space="0"/>
            </w:tcBorders>
            <w:vAlign w:val="center"/>
          </w:tcPr>
          <w:p>
            <w:pPr>
              <w:spacing w:before="210" w:line="274" w:lineRule="exact"/>
              <w:ind w:left="355"/>
              <w:jc w:val="both"/>
              <w:rPr>
                <w:rFonts w:hint="eastAsia" w:ascii="宋体" w:hAnsi="宋体" w:eastAsia="宋体" w:cs="宋体"/>
                <w:color w:val="auto"/>
                <w:sz w:val="21"/>
                <w:szCs w:val="21"/>
                <w:highlight w:val="none"/>
              </w:rPr>
            </w:pPr>
            <w:r>
              <w:rPr>
                <w:rFonts w:hint="eastAsia" w:ascii="宋体" w:hAnsi="宋体" w:eastAsia="宋体" w:cs="宋体"/>
                <w:color w:val="auto"/>
                <w:spacing w:val="14"/>
                <w:position w:val="2"/>
                <w:sz w:val="21"/>
                <w:szCs w:val="21"/>
                <w:highlight w:val="none"/>
              </w:rPr>
              <w:t>《</w:t>
            </w:r>
            <w:r>
              <w:rPr>
                <w:rFonts w:hint="eastAsia" w:ascii="宋体" w:hAnsi="宋体" w:eastAsia="宋体" w:cs="宋体"/>
                <w:color w:val="auto"/>
                <w:spacing w:val="7"/>
                <w:position w:val="2"/>
                <w:sz w:val="21"/>
                <w:szCs w:val="21"/>
                <w:highlight w:val="none"/>
              </w:rPr>
              <w:t>优质碳索结构钢》(</w:t>
            </w:r>
            <w:r>
              <w:rPr>
                <w:rFonts w:hint="eastAsia" w:ascii="宋体" w:hAnsi="宋体" w:eastAsia="宋体" w:cs="宋体"/>
                <w:color w:val="auto"/>
                <w:position w:val="2"/>
                <w:sz w:val="21"/>
                <w:szCs w:val="21"/>
                <w:highlight w:val="none"/>
              </w:rPr>
              <w:t>GB</w:t>
            </w:r>
            <w:r>
              <w:rPr>
                <w:rFonts w:hint="eastAsia" w:ascii="宋体" w:hAnsi="宋体" w:eastAsia="宋体" w:cs="宋体"/>
                <w:color w:val="auto"/>
                <w:spacing w:val="7"/>
                <w:position w:val="2"/>
                <w:sz w:val="21"/>
                <w:szCs w:val="21"/>
                <w:highlight w:val="none"/>
              </w:rPr>
              <w:t>/</w:t>
            </w:r>
            <w:r>
              <w:rPr>
                <w:rFonts w:hint="eastAsia" w:ascii="宋体" w:hAnsi="宋体" w:eastAsia="宋体" w:cs="宋体"/>
                <w:color w:val="auto"/>
                <w:position w:val="2"/>
                <w:sz w:val="21"/>
                <w:szCs w:val="21"/>
                <w:highlight w:val="none"/>
              </w:rPr>
              <w:t>T</w:t>
            </w:r>
            <w:r>
              <w:rPr>
                <w:rFonts w:hint="eastAsia" w:ascii="宋体" w:hAnsi="宋体" w:eastAsia="宋体" w:cs="宋体"/>
                <w:color w:val="auto"/>
                <w:spacing w:val="7"/>
                <w:position w:val="2"/>
                <w:sz w:val="21"/>
                <w:szCs w:val="21"/>
                <w:highlight w:val="none"/>
              </w:rPr>
              <w:t>699-2015)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1005" w:type="dxa"/>
            <w:tcBorders>
              <w:left w:val="single" w:color="000000" w:sz="10" w:space="0"/>
              <w:right w:val="single" w:color="000000" w:sz="4" w:space="0"/>
            </w:tcBorders>
            <w:vAlign w:val="center"/>
          </w:tcPr>
          <w:p>
            <w:pPr>
              <w:spacing w:before="280" w:line="192" w:lineRule="auto"/>
              <w:ind w:left="474"/>
              <w:jc w:val="both"/>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1</w:t>
            </w:r>
            <w:r>
              <w:rPr>
                <w:rFonts w:hint="eastAsia" w:ascii="宋体" w:hAnsi="宋体" w:eastAsia="宋体" w:cs="宋体"/>
                <w:color w:val="auto"/>
                <w:spacing w:val="-3"/>
                <w:sz w:val="21"/>
                <w:szCs w:val="21"/>
                <w:highlight w:val="none"/>
              </w:rPr>
              <w:t>2</w:t>
            </w:r>
          </w:p>
        </w:tc>
        <w:tc>
          <w:tcPr>
            <w:tcW w:w="4031" w:type="dxa"/>
            <w:tcBorders>
              <w:left w:val="single" w:color="000000" w:sz="4" w:space="0"/>
              <w:right w:val="single" w:color="000000" w:sz="4" w:space="0"/>
            </w:tcBorders>
            <w:vAlign w:val="center"/>
          </w:tcPr>
          <w:p>
            <w:pPr>
              <w:spacing w:before="119" w:line="228" w:lineRule="auto"/>
              <w:ind w:left="371"/>
              <w:jc w:val="both"/>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rPr>
              <w:t>《</w:t>
            </w:r>
            <w:r>
              <w:rPr>
                <w:rFonts w:hint="eastAsia" w:ascii="宋体" w:hAnsi="宋体" w:eastAsia="宋体" w:cs="宋体"/>
                <w:color w:val="auto"/>
                <w:spacing w:val="8"/>
                <w:sz w:val="21"/>
                <w:szCs w:val="21"/>
                <w:highlight w:val="none"/>
              </w:rPr>
              <w:t>预应力混凝土用金属波纹管》</w:t>
            </w:r>
          </w:p>
          <w:p>
            <w:pPr>
              <w:spacing w:before="43" w:line="198" w:lineRule="auto"/>
              <w:ind w:left="1249"/>
              <w:jc w:val="both"/>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w:t>
            </w:r>
            <w:r>
              <w:rPr>
                <w:rFonts w:hint="eastAsia" w:ascii="宋体" w:hAnsi="宋体" w:eastAsia="宋体" w:cs="宋体"/>
                <w:color w:val="auto"/>
                <w:sz w:val="21"/>
                <w:szCs w:val="21"/>
                <w:highlight w:val="none"/>
              </w:rPr>
              <w:t>JG</w:t>
            </w:r>
            <w:r>
              <w:rPr>
                <w:rFonts w:hint="eastAsia" w:ascii="宋体" w:hAnsi="宋体" w:eastAsia="宋体" w:cs="宋体"/>
                <w:color w:val="auto"/>
                <w:spacing w:val="5"/>
                <w:sz w:val="21"/>
                <w:szCs w:val="21"/>
                <w:highlight w:val="none"/>
              </w:rPr>
              <w:t>225-2007</w:t>
            </w:r>
            <w:r>
              <w:rPr>
                <w:rFonts w:hint="eastAsia" w:ascii="宋体" w:hAnsi="宋体" w:eastAsia="宋体" w:cs="宋体"/>
                <w:color w:val="auto"/>
                <w:spacing w:val="4"/>
                <w:sz w:val="21"/>
                <w:szCs w:val="21"/>
                <w:highlight w:val="none"/>
              </w:rPr>
              <w:t>)</w:t>
            </w:r>
          </w:p>
        </w:tc>
        <w:tc>
          <w:tcPr>
            <w:tcW w:w="4159" w:type="dxa"/>
            <w:tcBorders>
              <w:left w:val="single" w:color="000000" w:sz="4" w:space="0"/>
              <w:right w:val="single" w:color="000000" w:sz="10" w:space="0"/>
            </w:tcBorders>
            <w:vAlign w:val="center"/>
          </w:tcPr>
          <w:p>
            <w:pPr>
              <w:spacing w:before="119" w:line="228" w:lineRule="auto"/>
              <w:ind w:left="539"/>
              <w:jc w:val="both"/>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rPr>
              <w:t>《</w:t>
            </w:r>
            <w:r>
              <w:rPr>
                <w:rFonts w:hint="eastAsia" w:ascii="宋体" w:hAnsi="宋体" w:eastAsia="宋体" w:cs="宋体"/>
                <w:color w:val="auto"/>
                <w:spacing w:val="8"/>
                <w:sz w:val="21"/>
                <w:szCs w:val="21"/>
                <w:highlight w:val="none"/>
              </w:rPr>
              <w:t>预应力混凝土用金属波纹管》</w:t>
            </w:r>
          </w:p>
          <w:p>
            <w:pPr>
              <w:spacing w:before="43" w:line="198" w:lineRule="auto"/>
              <w:ind w:left="1418"/>
              <w:jc w:val="both"/>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w:t>
            </w:r>
            <w:r>
              <w:rPr>
                <w:rFonts w:hint="eastAsia" w:ascii="宋体" w:hAnsi="宋体" w:eastAsia="宋体" w:cs="宋体"/>
                <w:color w:val="auto"/>
                <w:sz w:val="21"/>
                <w:szCs w:val="21"/>
                <w:highlight w:val="none"/>
              </w:rPr>
              <w:t>JG</w:t>
            </w:r>
            <w:r>
              <w:rPr>
                <w:rFonts w:hint="eastAsia" w:ascii="宋体" w:hAnsi="宋体" w:eastAsia="宋体" w:cs="宋体"/>
                <w:color w:val="auto"/>
                <w:spacing w:val="5"/>
                <w:sz w:val="21"/>
                <w:szCs w:val="21"/>
                <w:highlight w:val="none"/>
              </w:rPr>
              <w:t>225-2020</w:t>
            </w:r>
            <w:r>
              <w:rPr>
                <w:rFonts w:hint="eastAsia" w:ascii="宋体" w:hAnsi="宋体" w:eastAsia="宋体" w:cs="宋体"/>
                <w:color w:val="auto"/>
                <w:spacing w:val="4"/>
                <w:sz w:val="21"/>
                <w:szCs w:val="21"/>
                <w:highlight w:val="none"/>
              </w:rPr>
              <w:t>)</w:t>
            </w:r>
          </w:p>
        </w:tc>
      </w:tr>
    </w:tbl>
    <w:p>
      <w:pPr>
        <w:rPr>
          <w:color w:val="auto"/>
          <w:highlight w:val="none"/>
        </w:rPr>
        <w:sectPr>
          <w:footerReference r:id="rId18" w:type="default"/>
          <w:pgSz w:w="11900" w:h="16840"/>
          <w:pgMar w:top="1160" w:right="1349" w:bottom="1448" w:left="1323" w:header="883" w:footer="1234"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before="289" w:line="320" w:lineRule="exact"/>
        <w:textAlignment w:val="baseline"/>
        <w:rPr>
          <w:rFonts w:hint="eastAsia" w:ascii="宋体" w:hAnsi="宋体" w:eastAsia="宋体" w:cs="宋体"/>
          <w:color w:val="auto"/>
          <w:spacing w:val="14"/>
          <w:sz w:val="11"/>
          <w:szCs w:val="11"/>
          <w:highlight w:val="none"/>
        </w:rPr>
      </w:pPr>
    </w:p>
    <w:p>
      <w:pPr>
        <w:pStyle w:val="2"/>
        <w:rPr>
          <w:rFonts w:hint="eastAsia" w:ascii="宋体" w:hAnsi="宋体" w:eastAsia="宋体" w:cs="宋体"/>
          <w:color w:val="auto"/>
          <w:spacing w:val="14"/>
          <w:sz w:val="11"/>
          <w:szCs w:val="11"/>
          <w:highlight w:val="none"/>
        </w:rPr>
      </w:pPr>
    </w:p>
    <w:p>
      <w:pPr>
        <w:pStyle w:val="2"/>
        <w:rPr>
          <w:rFonts w:hint="eastAsia" w:ascii="宋体" w:hAnsi="宋体" w:eastAsia="宋体" w:cs="宋体"/>
          <w:color w:val="auto"/>
          <w:spacing w:val="14"/>
          <w:sz w:val="11"/>
          <w:szCs w:val="11"/>
          <w:highlight w:val="none"/>
        </w:rPr>
      </w:pPr>
    </w:p>
    <w:p>
      <w:pPr>
        <w:pStyle w:val="2"/>
        <w:rPr>
          <w:rFonts w:hint="eastAsia" w:ascii="宋体" w:hAnsi="宋体" w:eastAsia="宋体" w:cs="宋体"/>
          <w:color w:val="auto"/>
          <w:spacing w:val="14"/>
          <w:sz w:val="11"/>
          <w:szCs w:val="11"/>
          <w:highlight w:val="none"/>
        </w:rPr>
      </w:pPr>
    </w:p>
    <w:p>
      <w:pPr>
        <w:keepNext w:val="0"/>
        <w:keepLines w:val="0"/>
        <w:pageBreakBefore w:val="0"/>
        <w:widowControl/>
        <w:kinsoku w:val="0"/>
        <w:wordWrap/>
        <w:overflowPunct/>
        <w:topLinePunct w:val="0"/>
        <w:autoSpaceDE w:val="0"/>
        <w:autoSpaceDN w:val="0"/>
        <w:bidi w:val="0"/>
        <w:adjustRightInd w:val="0"/>
        <w:snapToGrid w:val="0"/>
        <w:spacing w:before="289" w:line="32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4"/>
          <w:sz w:val="21"/>
          <w:szCs w:val="21"/>
          <w:highlight w:val="none"/>
        </w:rPr>
        <w:t>“</w:t>
      </w:r>
      <w:r>
        <w:rPr>
          <w:rFonts w:hint="eastAsia" w:ascii="宋体" w:hAnsi="宋体" w:eastAsia="宋体" w:cs="宋体"/>
          <w:color w:val="auto"/>
          <w:spacing w:val="12"/>
          <w:sz w:val="21"/>
          <w:szCs w:val="21"/>
          <w:highlight w:val="none"/>
        </w:rPr>
        <w:t>通</w:t>
      </w:r>
      <w:r>
        <w:rPr>
          <w:rFonts w:hint="eastAsia" w:ascii="宋体" w:hAnsi="宋体" w:eastAsia="宋体" w:cs="宋体"/>
          <w:color w:val="auto"/>
          <w:spacing w:val="7"/>
          <w:sz w:val="21"/>
          <w:szCs w:val="21"/>
          <w:highlight w:val="none"/>
        </w:rPr>
        <w:t>用技术规范”中规定与上述更新后的标准与规范不一致的， 以更新后的标准与规范为准。</w:t>
      </w:r>
    </w:p>
    <w:p>
      <w:pPr>
        <w:keepNext w:val="0"/>
        <w:keepLines w:val="0"/>
        <w:pageBreakBefore w:val="0"/>
        <w:widowControl/>
        <w:numPr>
          <w:ilvl w:val="0"/>
          <w:numId w:val="9"/>
        </w:numPr>
        <w:kinsoku w:val="0"/>
        <w:wordWrap/>
        <w:overflowPunct/>
        <w:topLinePunct w:val="0"/>
        <w:autoSpaceDE w:val="0"/>
        <w:autoSpaceDN w:val="0"/>
        <w:bidi w:val="0"/>
        <w:adjustRightInd w:val="0"/>
        <w:snapToGrid w:val="0"/>
        <w:spacing w:before="65" w:line="320" w:lineRule="exact"/>
        <w:ind w:left="0" w:leftChars="0"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 xml:space="preserve"> 本“项目专用技术规范”，在下列章、节对“通用技术规范”进行了补充、删除和修改</w:t>
      </w:r>
      <w:r>
        <w:rPr>
          <w:rFonts w:hint="eastAsia" w:ascii="宋体" w:hAnsi="宋体" w:eastAsia="宋体" w:cs="宋体"/>
          <w:color w:val="auto"/>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color w:val="auto"/>
          <w:highlight w:val="none"/>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bidi="ar"/>
        </w:rPr>
        <w:t xml:space="preserve">第 100 章 总 则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101 节 通 则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102 节 工程管理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103 节 临时工程与设施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105 节 施工标准化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bidi="ar"/>
        </w:rPr>
        <w:t xml:space="preserve">第 200 章 路基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201 节 通 则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203 节 挖方路基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204 节 填方路基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216 节 路基不均匀沉降的防治（补充）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bidi="ar"/>
        </w:rPr>
        <w:t xml:space="preserve">第 300 章 路 面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301 节 通 则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304 节 水泥稳定土底基层、基层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311 节 改性沥青及改性沥青混合料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314 节 路面及中央分隔带排水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bidi="ar"/>
        </w:rPr>
        <w:t xml:space="preserve">第 400 章 桥梁、涵洞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401 节 通 则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403 节 钢 筋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404 节 基础挖方及回填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405 节 钻孔灌注桩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410 节 结构混凝土工程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411 节 预应力混凝土工程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412 节 预制构件的安装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415 节 桥面铺装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416 节 桥梁支座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419 节 圆管涵及倒虹吸管涵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422 节 桥头跳车的防治（补充）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bidi="ar"/>
        </w:rPr>
        <w:t xml:space="preserve">第 500 章 隧 道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501 节 通则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第 502 节 洞口与明洞工程</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503 节 洞身开挖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bidi="ar"/>
        </w:rPr>
        <w:t xml:space="preserve">第 600 章 安全设施及预埋管线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601 节 通 则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602 节 护 栏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left"/>
        <w:textAlignment w:val="baseline"/>
        <w:rPr>
          <w:rFonts w:hint="eastAsia" w:ascii="宋体" w:hAnsi="宋体" w:eastAsia="宋体" w:cs="宋体"/>
          <w:b/>
          <w:bCs/>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bidi="ar"/>
        </w:rPr>
        <w:t xml:space="preserve">第 700 章 绿化及环境保护设施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701 节 通 则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702 节 铺设表土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 xml:space="preserve">第 703 节 撒播草种和铺植草皮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ind w:firstLine="420" w:firstLineChars="200"/>
        <w:jc w:val="both"/>
        <w:textAlignment w:val="baseline"/>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第 704 节 种植乔木、灌木和攀缘植物</w:t>
      </w:r>
    </w:p>
    <w:p>
      <w:pPr>
        <w:rPr>
          <w:color w:val="auto"/>
          <w:highlight w:val="none"/>
        </w:rPr>
        <w:sectPr>
          <w:type w:val="continuous"/>
          <w:pgSz w:w="11900" w:h="16840"/>
          <w:pgMar w:top="1160" w:right="1290" w:bottom="1448" w:left="1363" w:header="883" w:footer="1234" w:gutter="0"/>
          <w:pgNumType w:fmt="decimal"/>
          <w:cols w:equalWidth="0" w:num="1">
            <w:col w:w="9246"/>
          </w:cols>
        </w:sectPr>
      </w:pPr>
    </w:p>
    <w:p>
      <w:pPr>
        <w:rPr>
          <w:color w:val="auto"/>
          <w:highlight w:val="none"/>
        </w:rPr>
        <w:sectPr>
          <w:headerReference r:id="rId19" w:type="default"/>
          <w:footerReference r:id="rId20" w:type="default"/>
          <w:type w:val="continuous"/>
          <w:pgSz w:w="11900" w:h="16840"/>
          <w:pgMar w:top="1160" w:right="1354" w:bottom="1448" w:left="1363" w:header="883" w:footer="1234" w:gutter="0"/>
          <w:pgNumType w:fmt="decimal"/>
          <w:cols w:equalWidth="0" w:num="2">
            <w:col w:w="1749" w:space="100"/>
            <w:col w:w="7335"/>
          </w:cols>
        </w:sectPr>
      </w:pPr>
    </w:p>
    <w:p>
      <w:pPr>
        <w:keepNext w:val="0"/>
        <w:keepLines w:val="0"/>
        <w:pageBreakBefore w:val="0"/>
        <w:widowControl/>
        <w:kinsoku w:val="0"/>
        <w:wordWrap/>
        <w:overflowPunct/>
        <w:topLinePunct w:val="0"/>
        <w:autoSpaceDE w:val="0"/>
        <w:autoSpaceDN w:val="0"/>
        <w:bidi w:val="0"/>
        <w:adjustRightInd w:val="0"/>
        <w:snapToGrid w:val="0"/>
        <w:spacing w:before="322" w:line="600" w:lineRule="exact"/>
        <w:jc w:val="center"/>
        <w:textAlignment w:val="baseline"/>
        <w:outlineLvl w:val="2"/>
        <w:rPr>
          <w:rFonts w:hint="eastAsia" w:ascii="宋体" w:hAnsi="宋体" w:eastAsia="宋体" w:cs="宋体"/>
          <w:b/>
          <w:bCs/>
          <w:color w:val="auto"/>
          <w:spacing w:val="0"/>
          <w:position w:val="0"/>
          <w:sz w:val="43"/>
          <w:szCs w:val="43"/>
          <w:highlight w:val="none"/>
        </w:rPr>
      </w:pPr>
      <w:bookmarkStart w:id="633" w:name="_Toc27242"/>
      <w:r>
        <w:rPr>
          <w:rFonts w:hint="eastAsia" w:ascii="宋体" w:hAnsi="宋体" w:eastAsia="宋体" w:cs="宋体"/>
          <w:b/>
          <w:bCs/>
          <w:color w:val="auto"/>
          <w:spacing w:val="0"/>
          <w:position w:val="0"/>
          <w:sz w:val="43"/>
          <w:szCs w:val="43"/>
          <w:highlight w:val="none"/>
        </w:rPr>
        <w:t>第 100 章  总    则</w:t>
      </w:r>
      <w:bookmarkEnd w:id="633"/>
    </w:p>
    <w:p>
      <w:pPr>
        <w:keepNext w:val="0"/>
        <w:keepLines w:val="0"/>
        <w:pageBreakBefore w:val="0"/>
        <w:widowControl/>
        <w:kinsoku w:val="0"/>
        <w:wordWrap/>
        <w:overflowPunct/>
        <w:topLinePunct w:val="0"/>
        <w:autoSpaceDE w:val="0"/>
        <w:autoSpaceDN w:val="0"/>
        <w:bidi w:val="0"/>
        <w:adjustRightInd w:val="0"/>
        <w:snapToGrid w:val="0"/>
        <w:spacing w:before="101" w:line="600" w:lineRule="exact"/>
        <w:ind w:left="3095"/>
        <w:jc w:val="left"/>
        <w:textAlignment w:val="baseline"/>
        <w:outlineLvl w:val="1"/>
        <w:rPr>
          <w:rFonts w:hint="eastAsia" w:ascii="宋体" w:hAnsi="宋体" w:eastAsia="宋体" w:cs="宋体"/>
          <w:b/>
          <w:bCs/>
          <w:color w:val="auto"/>
          <w:spacing w:val="0"/>
          <w:position w:val="0"/>
          <w:sz w:val="31"/>
          <w:szCs w:val="31"/>
          <w:highlight w:val="none"/>
        </w:rPr>
      </w:pPr>
      <w:bookmarkStart w:id="634" w:name="_Toc1086"/>
      <w:r>
        <w:rPr>
          <w:rFonts w:hint="eastAsia" w:ascii="宋体" w:hAnsi="宋体" w:eastAsia="宋体" w:cs="宋体"/>
          <w:b/>
          <w:bCs/>
          <w:color w:val="auto"/>
          <w:spacing w:val="0"/>
          <w:position w:val="0"/>
          <w:sz w:val="31"/>
          <w:szCs w:val="31"/>
          <w:highlight w:val="none"/>
        </w:rPr>
        <w:t>第 101 节  通 则</w:t>
      </w:r>
      <w:bookmarkEnd w:id="634"/>
    </w:p>
    <w:p>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hint="eastAsia" w:ascii="宋体" w:hAnsi="宋体" w:eastAsia="宋体" w:cs="宋体"/>
          <w:color w:val="auto"/>
          <w:sz w:val="28"/>
          <w:szCs w:val="28"/>
          <w:highlight w:val="none"/>
        </w:rPr>
      </w:pPr>
      <w:r>
        <w:rPr>
          <w:rFonts w:hint="eastAsia" w:ascii="宋体" w:hAnsi="宋体" w:eastAsia="宋体" w:cs="宋体"/>
          <w:color w:val="auto"/>
          <w:spacing w:val="-4"/>
          <w:sz w:val="28"/>
          <w:szCs w:val="28"/>
          <w:highlight w:val="none"/>
        </w:rPr>
        <w:t>101</w:t>
      </w:r>
      <w:r>
        <w:rPr>
          <w:rFonts w:hint="eastAsia" w:ascii="宋体" w:hAnsi="宋体" w:eastAsia="宋体" w:cs="宋体"/>
          <w:color w:val="auto"/>
          <w:spacing w:val="-3"/>
          <w:sz w:val="28"/>
          <w:szCs w:val="28"/>
          <w:highlight w:val="none"/>
        </w:rPr>
        <w:t>.</w:t>
      </w:r>
      <w:r>
        <w:rPr>
          <w:rFonts w:hint="eastAsia" w:ascii="宋体" w:hAnsi="宋体" w:eastAsia="宋体" w:cs="宋体"/>
          <w:color w:val="auto"/>
          <w:spacing w:val="-2"/>
          <w:sz w:val="28"/>
          <w:szCs w:val="28"/>
          <w:highlight w:val="none"/>
        </w:rPr>
        <w:t>01  范围</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08"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第 1 条修改为</w:t>
      </w:r>
      <w:r>
        <w:rPr>
          <w:rFonts w:hint="eastAsia" w:ascii="宋体" w:hAnsi="宋体" w:eastAsia="宋体" w:cs="宋体"/>
          <w:color w:val="auto"/>
          <w:spacing w:val="-2"/>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5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 xml:space="preserve">1 </w:t>
      </w:r>
      <w:r>
        <w:rPr>
          <w:rFonts w:hint="eastAsia" w:ascii="宋体" w:hAnsi="宋体" w:eastAsia="宋体" w:cs="宋体"/>
          <w:color w:val="auto"/>
          <w:spacing w:val="8"/>
          <w:sz w:val="21"/>
          <w:szCs w:val="21"/>
          <w:highlight w:val="none"/>
          <w:lang w:val="en-US" w:eastAsia="zh-CN"/>
        </w:rPr>
        <w:t>.</w:t>
      </w:r>
      <w:r>
        <w:rPr>
          <w:rFonts w:hint="eastAsia" w:ascii="宋体" w:hAnsi="宋体" w:eastAsia="宋体" w:cs="宋体"/>
          <w:color w:val="auto"/>
          <w:spacing w:val="8"/>
          <w:sz w:val="21"/>
          <w:szCs w:val="21"/>
          <w:highlight w:val="none"/>
        </w:rPr>
        <w:t>本“项目专用技术规范”结合本工程特点编写，连同“通用技术规范”</w:t>
      </w:r>
      <w:r>
        <w:rPr>
          <w:rFonts w:hint="eastAsia" w:ascii="宋体" w:hAnsi="宋体" w:eastAsia="宋体" w:cs="宋体"/>
          <w:color w:val="auto"/>
          <w:spacing w:val="8"/>
          <w:sz w:val="21"/>
          <w:szCs w:val="21"/>
          <w:highlight w:val="none"/>
          <w:lang w:eastAsia="zh-CN"/>
        </w:rPr>
        <w:t>，</w:t>
      </w:r>
      <w:r>
        <w:rPr>
          <w:rFonts w:hint="eastAsia" w:ascii="宋体" w:hAnsi="宋体" w:eastAsia="宋体" w:cs="宋体"/>
          <w:color w:val="auto"/>
          <w:spacing w:val="8"/>
          <w:sz w:val="21"/>
          <w:szCs w:val="21"/>
          <w:highlight w:val="none"/>
        </w:rPr>
        <w:t>统称“本规范”</w:t>
      </w:r>
      <w:r>
        <w:rPr>
          <w:rFonts w:hint="eastAsia" w:ascii="宋体" w:hAnsi="宋体" w:eastAsia="宋体" w:cs="宋体"/>
          <w:color w:val="auto"/>
          <w:spacing w:val="8"/>
          <w:sz w:val="21"/>
          <w:szCs w:val="21"/>
          <w:highlight w:val="none"/>
          <w:lang w:eastAsia="zh-CN"/>
        </w:rPr>
        <w:t>，</w:t>
      </w:r>
      <w:r>
        <w:rPr>
          <w:rFonts w:hint="eastAsia" w:ascii="宋体" w:hAnsi="宋体" w:eastAsia="宋体" w:cs="宋体"/>
          <w:color w:val="auto"/>
          <w:spacing w:val="8"/>
          <w:sz w:val="21"/>
          <w:szCs w:val="21"/>
          <w:highlight w:val="none"/>
        </w:rPr>
        <w:t>适用于</w:t>
      </w:r>
      <w:r>
        <w:rPr>
          <w:rFonts w:hint="eastAsia" w:ascii="宋体" w:hAnsi="宋体" w:eastAsia="宋体" w:cs="宋体"/>
          <w:color w:val="auto"/>
          <w:spacing w:val="12"/>
          <w:sz w:val="21"/>
          <w:szCs w:val="21"/>
          <w:highlight w:val="none"/>
        </w:rPr>
        <w:t>公</w:t>
      </w:r>
      <w:r>
        <w:rPr>
          <w:rFonts w:hint="eastAsia" w:ascii="宋体" w:hAnsi="宋体" w:eastAsia="宋体" w:cs="宋体"/>
          <w:color w:val="auto"/>
          <w:spacing w:val="10"/>
          <w:sz w:val="21"/>
          <w:szCs w:val="21"/>
          <w:highlight w:val="none"/>
        </w:rPr>
        <w:t>路</w:t>
      </w:r>
      <w:r>
        <w:rPr>
          <w:rFonts w:hint="eastAsia" w:ascii="宋体" w:hAnsi="宋体" w:eastAsia="宋体" w:cs="宋体"/>
          <w:color w:val="auto"/>
          <w:spacing w:val="6"/>
          <w:sz w:val="21"/>
          <w:szCs w:val="21"/>
          <w:highlight w:val="none"/>
          <w:u w:val="single" w:color="auto"/>
        </w:rPr>
        <w:t xml:space="preserve">    </w:t>
      </w:r>
      <w:r>
        <w:rPr>
          <w:rFonts w:hint="eastAsia" w:ascii="宋体" w:hAnsi="宋体" w:eastAsia="宋体" w:cs="宋体"/>
          <w:color w:val="auto"/>
          <w:spacing w:val="6"/>
          <w:sz w:val="21"/>
          <w:szCs w:val="21"/>
          <w:highlight w:val="none"/>
        </w:rPr>
        <w:t>工程施工与管理。</w:t>
      </w:r>
    </w:p>
    <w:p>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rPr>
        <w:t>1</w:t>
      </w:r>
      <w:r>
        <w:rPr>
          <w:rFonts w:hint="eastAsia" w:ascii="宋体" w:hAnsi="宋体" w:eastAsia="宋体" w:cs="宋体"/>
          <w:color w:val="auto"/>
          <w:spacing w:val="-2"/>
          <w:sz w:val="28"/>
          <w:szCs w:val="28"/>
          <w:highlight w:val="none"/>
        </w:rPr>
        <w:t>01.04  标准与规范</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08"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第4条修改为</w:t>
      </w:r>
      <w:r>
        <w:rPr>
          <w:rFonts w:hint="eastAsia" w:ascii="宋体" w:hAnsi="宋体" w:eastAsia="宋体" w:cs="宋体"/>
          <w:color w:val="auto"/>
          <w:spacing w:val="-2"/>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6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 xml:space="preserve">4 </w:t>
      </w:r>
      <w:r>
        <w:rPr>
          <w:rFonts w:hint="eastAsia" w:ascii="宋体" w:hAnsi="宋体" w:eastAsia="宋体" w:cs="宋体"/>
          <w:color w:val="auto"/>
          <w:spacing w:val="10"/>
          <w:sz w:val="21"/>
          <w:szCs w:val="21"/>
          <w:highlight w:val="none"/>
          <w:lang w:val="en-US" w:eastAsia="zh-CN"/>
        </w:rPr>
        <w:t>.</w:t>
      </w:r>
      <w:r>
        <w:rPr>
          <w:rFonts w:hint="eastAsia" w:ascii="宋体" w:hAnsi="宋体" w:eastAsia="宋体" w:cs="宋体"/>
          <w:color w:val="auto"/>
          <w:spacing w:val="10"/>
          <w:sz w:val="21"/>
          <w:szCs w:val="21"/>
          <w:highlight w:val="none"/>
        </w:rPr>
        <w:t>当适用于工程的几种标准与规范出现意义不明或不一致时，应由监理人作出解释和校正，</w:t>
      </w:r>
      <w:r>
        <w:rPr>
          <w:rFonts w:hint="eastAsia" w:ascii="宋体" w:hAnsi="宋体" w:eastAsia="宋体" w:cs="宋体"/>
          <w:color w:val="auto"/>
          <w:spacing w:val="8"/>
          <w:sz w:val="21"/>
          <w:szCs w:val="21"/>
          <w:highlight w:val="none"/>
        </w:rPr>
        <w:t>并</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6"/>
          <w:sz w:val="21"/>
          <w:szCs w:val="21"/>
          <w:highlight w:val="none"/>
        </w:rPr>
        <w:t>就此</w:t>
      </w:r>
      <w:r>
        <w:rPr>
          <w:rFonts w:hint="eastAsia" w:ascii="宋体" w:hAnsi="宋体" w:eastAsia="宋体" w:cs="宋体"/>
          <w:color w:val="auto"/>
          <w:spacing w:val="12"/>
          <w:sz w:val="21"/>
          <w:szCs w:val="21"/>
          <w:highlight w:val="none"/>
        </w:rPr>
        <w:t>向</w:t>
      </w:r>
      <w:r>
        <w:rPr>
          <w:rFonts w:hint="eastAsia" w:ascii="宋体" w:hAnsi="宋体" w:eastAsia="宋体" w:cs="宋体"/>
          <w:color w:val="auto"/>
          <w:spacing w:val="8"/>
          <w:sz w:val="21"/>
          <w:szCs w:val="21"/>
          <w:highlight w:val="none"/>
        </w:rPr>
        <w:t>承包人发出指令。若在引用的标准或规范发生分歧时，除非本规范另有规定，应按以下顺序优</w:t>
      </w:r>
      <w:r>
        <w:rPr>
          <w:rFonts w:hint="eastAsia" w:ascii="宋体" w:hAnsi="宋体" w:eastAsia="宋体" w:cs="宋体"/>
          <w:color w:val="auto"/>
          <w:spacing w:val="6"/>
          <w:sz w:val="21"/>
          <w:szCs w:val="21"/>
          <w:highlight w:val="none"/>
        </w:rPr>
        <w:t>先</w:t>
      </w:r>
      <w:r>
        <w:rPr>
          <w:rFonts w:hint="eastAsia" w:ascii="宋体" w:hAnsi="宋体" w:eastAsia="宋体" w:cs="宋体"/>
          <w:color w:val="auto"/>
          <w:spacing w:val="4"/>
          <w:sz w:val="21"/>
          <w:szCs w:val="21"/>
          <w:highlight w:val="none"/>
        </w:rPr>
        <w:t>考虑：</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w:t>
      </w:r>
      <w:r>
        <w:rPr>
          <w:rFonts w:hint="eastAsia" w:ascii="宋体" w:hAnsi="宋体" w:eastAsia="宋体" w:cs="宋体"/>
          <w:color w:val="auto"/>
          <w:spacing w:val="4"/>
          <w:sz w:val="21"/>
          <w:szCs w:val="21"/>
          <w:highlight w:val="none"/>
        </w:rPr>
        <w:t xml:space="preserve"> </w:t>
      </w:r>
      <w:r>
        <w:rPr>
          <w:rFonts w:hint="eastAsia" w:ascii="宋体" w:hAnsi="宋体" w:eastAsia="宋体" w:cs="宋体"/>
          <w:color w:val="auto"/>
          <w:spacing w:val="4"/>
          <w:sz w:val="21"/>
          <w:szCs w:val="21"/>
          <w:highlight w:val="none"/>
          <w:lang w:val="en-US" w:eastAsia="zh-CN"/>
        </w:rPr>
        <w:t>.</w:t>
      </w:r>
      <w:r>
        <w:rPr>
          <w:rFonts w:hint="eastAsia" w:ascii="宋体" w:hAnsi="宋体" w:eastAsia="宋体" w:cs="宋体"/>
          <w:color w:val="auto"/>
          <w:spacing w:val="4"/>
          <w:sz w:val="21"/>
          <w:szCs w:val="21"/>
          <w:highlight w:val="none"/>
        </w:rPr>
        <w:t>本“项目专用技术规范”。</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position w:val="1"/>
          <w:sz w:val="21"/>
          <w:szCs w:val="21"/>
          <w:highlight w:val="none"/>
        </w:rPr>
        <w:t>b</w:t>
      </w:r>
      <w:r>
        <w:rPr>
          <w:rFonts w:hint="eastAsia" w:ascii="宋体" w:hAnsi="宋体" w:eastAsia="宋体" w:cs="宋体"/>
          <w:color w:val="auto"/>
          <w:spacing w:val="8"/>
          <w:position w:val="1"/>
          <w:sz w:val="21"/>
          <w:szCs w:val="21"/>
          <w:highlight w:val="none"/>
        </w:rPr>
        <w:t xml:space="preserve"> </w:t>
      </w:r>
      <w:r>
        <w:rPr>
          <w:rFonts w:hint="eastAsia" w:ascii="宋体" w:hAnsi="宋体" w:eastAsia="宋体" w:cs="宋体"/>
          <w:color w:val="auto"/>
          <w:spacing w:val="8"/>
          <w:position w:val="1"/>
          <w:sz w:val="21"/>
          <w:szCs w:val="21"/>
          <w:highlight w:val="none"/>
          <w:lang w:val="en-US" w:eastAsia="zh-CN"/>
        </w:rPr>
        <w:t>.</w:t>
      </w:r>
      <w:r>
        <w:rPr>
          <w:rFonts w:hint="eastAsia" w:ascii="宋体" w:hAnsi="宋体" w:eastAsia="宋体" w:cs="宋体"/>
          <w:color w:val="auto"/>
          <w:spacing w:val="8"/>
          <w:position w:val="1"/>
          <w:sz w:val="21"/>
          <w:szCs w:val="21"/>
          <w:highlight w:val="none"/>
        </w:rPr>
        <w:t>“通用技术</w:t>
      </w:r>
      <w:r>
        <w:rPr>
          <w:rFonts w:hint="eastAsia" w:ascii="宋体" w:hAnsi="宋体" w:eastAsia="宋体" w:cs="宋体"/>
          <w:color w:val="auto"/>
          <w:spacing w:val="4"/>
          <w:position w:val="1"/>
          <w:sz w:val="21"/>
          <w:szCs w:val="21"/>
          <w:highlight w:val="none"/>
        </w:rPr>
        <w:t>规范”( 《公路工程标准施工招标文件》(2018年版·第二册)中的《技术规范》)。</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position w:val="3"/>
          <w:sz w:val="21"/>
          <w:szCs w:val="21"/>
          <w:highlight w:val="none"/>
        </w:rPr>
        <w:t>c</w:t>
      </w:r>
      <w:r>
        <w:rPr>
          <w:rFonts w:hint="eastAsia" w:ascii="宋体" w:hAnsi="宋体" w:eastAsia="宋体" w:cs="宋体"/>
          <w:color w:val="auto"/>
          <w:spacing w:val="6"/>
          <w:position w:val="3"/>
          <w:sz w:val="21"/>
          <w:szCs w:val="21"/>
          <w:highlight w:val="none"/>
        </w:rPr>
        <w:t xml:space="preserve"> </w:t>
      </w:r>
      <w:r>
        <w:rPr>
          <w:rFonts w:hint="eastAsia" w:ascii="宋体" w:hAnsi="宋体" w:eastAsia="宋体" w:cs="宋体"/>
          <w:color w:val="auto"/>
          <w:spacing w:val="6"/>
          <w:position w:val="3"/>
          <w:sz w:val="21"/>
          <w:szCs w:val="21"/>
          <w:highlight w:val="none"/>
          <w:lang w:val="en-US" w:eastAsia="zh-CN"/>
        </w:rPr>
        <w:t>.</w:t>
      </w:r>
      <w:r>
        <w:rPr>
          <w:rFonts w:hint="eastAsia" w:ascii="宋体" w:hAnsi="宋体" w:eastAsia="宋体" w:cs="宋体"/>
          <w:color w:val="auto"/>
          <w:spacing w:val="4"/>
          <w:position w:val="3"/>
          <w:sz w:val="21"/>
          <w:szCs w:val="21"/>
          <w:highlight w:val="none"/>
        </w:rPr>
        <w:t>中</w:t>
      </w:r>
      <w:r>
        <w:rPr>
          <w:rFonts w:hint="eastAsia" w:ascii="宋体" w:hAnsi="宋体" w:eastAsia="宋体" w:cs="宋体"/>
          <w:color w:val="auto"/>
          <w:spacing w:val="3"/>
          <w:position w:val="3"/>
          <w:sz w:val="21"/>
          <w:szCs w:val="21"/>
          <w:highlight w:val="none"/>
        </w:rPr>
        <w:t>华人民共和国国家标准。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position w:val="1"/>
          <w:sz w:val="21"/>
          <w:szCs w:val="21"/>
          <w:highlight w:val="none"/>
        </w:rPr>
        <w:t>d</w:t>
      </w:r>
      <w:r>
        <w:rPr>
          <w:rFonts w:hint="eastAsia" w:ascii="宋体" w:hAnsi="宋体" w:eastAsia="宋体" w:cs="宋体"/>
          <w:color w:val="auto"/>
          <w:spacing w:val="4"/>
          <w:position w:val="1"/>
          <w:sz w:val="21"/>
          <w:szCs w:val="21"/>
          <w:highlight w:val="none"/>
        </w:rPr>
        <w:t xml:space="preserve"> </w:t>
      </w:r>
      <w:r>
        <w:rPr>
          <w:rFonts w:hint="eastAsia" w:ascii="宋体" w:hAnsi="宋体" w:eastAsia="宋体" w:cs="宋体"/>
          <w:color w:val="auto"/>
          <w:spacing w:val="4"/>
          <w:position w:val="1"/>
          <w:sz w:val="21"/>
          <w:szCs w:val="21"/>
          <w:highlight w:val="none"/>
          <w:lang w:val="en-US" w:eastAsia="zh-CN"/>
        </w:rPr>
        <w:t>.</w:t>
      </w:r>
      <w:r>
        <w:rPr>
          <w:rFonts w:hint="eastAsia" w:ascii="宋体" w:hAnsi="宋体" w:eastAsia="宋体" w:cs="宋体"/>
          <w:color w:val="auto"/>
          <w:spacing w:val="4"/>
          <w:position w:val="1"/>
          <w:sz w:val="21"/>
          <w:szCs w:val="21"/>
          <w:highlight w:val="none"/>
        </w:rPr>
        <w:t>有关部门标准与规范</w:t>
      </w:r>
      <w:r>
        <w:rPr>
          <w:rFonts w:hint="eastAsia" w:ascii="宋体" w:hAnsi="宋体" w:eastAsia="宋体" w:cs="宋体"/>
          <w:color w:val="auto"/>
          <w:spacing w:val="2"/>
          <w:position w:val="1"/>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w:t>
      </w:r>
      <w:r>
        <w:rPr>
          <w:rFonts w:hint="eastAsia" w:ascii="宋体" w:hAnsi="宋体" w:eastAsia="宋体" w:cs="宋体"/>
          <w:color w:val="auto"/>
          <w:spacing w:val="-2"/>
          <w:sz w:val="21"/>
          <w:szCs w:val="21"/>
          <w:highlight w:val="none"/>
        </w:rPr>
        <w:t>01.08  税金和保险</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5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本</w:t>
      </w:r>
      <w:r>
        <w:rPr>
          <w:rFonts w:hint="eastAsia" w:ascii="宋体" w:hAnsi="宋体" w:eastAsia="宋体" w:cs="宋体"/>
          <w:color w:val="auto"/>
          <w:spacing w:val="6"/>
          <w:sz w:val="21"/>
          <w:szCs w:val="21"/>
          <w:highlight w:val="none"/>
        </w:rPr>
        <w:t>小节补充：</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68"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4.</w:t>
      </w:r>
      <w:r>
        <w:rPr>
          <w:rFonts w:hint="eastAsia" w:ascii="宋体" w:hAnsi="宋体" w:eastAsia="宋体" w:cs="宋体"/>
          <w:color w:val="auto"/>
          <w:spacing w:val="8"/>
          <w:sz w:val="21"/>
          <w:szCs w:val="21"/>
          <w:highlight w:val="none"/>
        </w:rPr>
        <w:t>保</w:t>
      </w:r>
      <w:r>
        <w:rPr>
          <w:rFonts w:hint="eastAsia" w:ascii="宋体" w:hAnsi="宋体" w:eastAsia="宋体" w:cs="宋体"/>
          <w:color w:val="auto"/>
          <w:spacing w:val="6"/>
          <w:sz w:val="21"/>
          <w:szCs w:val="21"/>
          <w:highlight w:val="none"/>
        </w:rPr>
        <w:t>险替代不了承包人的管理责任，如发生工程事故造成损失，即便发包人为此获得保险赔付</w:t>
      </w:r>
      <w:r>
        <w:rPr>
          <w:rFonts w:hint="eastAsia" w:ascii="宋体" w:hAnsi="宋体" w:eastAsia="宋体" w:cs="宋体"/>
          <w:color w:val="auto"/>
          <w:spacing w:val="6"/>
          <w:sz w:val="21"/>
          <w:szCs w:val="21"/>
          <w:highlight w:val="none"/>
          <w:lang w:eastAsia="zh-CN"/>
        </w:rPr>
        <w:t>，</w:t>
      </w:r>
      <w:r>
        <w:rPr>
          <w:rFonts w:hint="eastAsia" w:ascii="宋体" w:hAnsi="宋体" w:eastAsia="宋体" w:cs="宋体"/>
          <w:color w:val="auto"/>
          <w:spacing w:val="11"/>
          <w:sz w:val="21"/>
          <w:szCs w:val="21"/>
          <w:highlight w:val="none"/>
        </w:rPr>
        <w:t>根</w:t>
      </w:r>
      <w:r>
        <w:rPr>
          <w:rFonts w:hint="eastAsia" w:ascii="宋体" w:hAnsi="宋体" w:eastAsia="宋体" w:cs="宋体"/>
          <w:color w:val="auto"/>
          <w:spacing w:val="6"/>
          <w:sz w:val="21"/>
          <w:szCs w:val="21"/>
          <w:highlight w:val="none"/>
        </w:rPr>
        <w:t>据事故性质，承包人责任大小，发包人仍有权要求承包人承担部分损失。</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101" w:line="400" w:lineRule="exact"/>
        <w:ind w:left="3095"/>
        <w:textAlignment w:val="baseline"/>
        <w:outlineLvl w:val="1"/>
        <w:rPr>
          <w:rFonts w:hint="eastAsia" w:ascii="宋体" w:hAnsi="宋体" w:eastAsia="宋体" w:cs="宋体"/>
          <w:b/>
          <w:bCs/>
          <w:color w:val="auto"/>
          <w:spacing w:val="6"/>
          <w:sz w:val="31"/>
          <w:szCs w:val="31"/>
          <w:highlight w:val="none"/>
        </w:rPr>
      </w:pPr>
      <w:bookmarkStart w:id="635" w:name="_Toc8871"/>
      <w:r>
        <w:rPr>
          <w:rFonts w:hint="eastAsia" w:ascii="宋体" w:hAnsi="宋体" w:eastAsia="宋体" w:cs="宋体"/>
          <w:b/>
          <w:bCs/>
          <w:color w:val="auto"/>
          <w:spacing w:val="6"/>
          <w:sz w:val="31"/>
          <w:szCs w:val="31"/>
          <w:highlight w:val="none"/>
        </w:rPr>
        <w:t>第 102 节  工程管理</w:t>
      </w:r>
      <w:bookmarkEnd w:id="635"/>
    </w:p>
    <w:p>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hint="eastAsia" w:ascii="宋体" w:hAnsi="宋体" w:eastAsia="宋体" w:cs="宋体"/>
          <w:color w:val="auto"/>
          <w:sz w:val="28"/>
          <w:szCs w:val="28"/>
          <w:highlight w:val="none"/>
        </w:rPr>
      </w:pPr>
      <w:r>
        <w:rPr>
          <w:rFonts w:hint="eastAsia" w:ascii="宋体" w:hAnsi="宋体" w:eastAsia="宋体" w:cs="宋体"/>
          <w:color w:val="auto"/>
          <w:spacing w:val="-4"/>
          <w:sz w:val="28"/>
          <w:szCs w:val="28"/>
          <w:highlight w:val="none"/>
        </w:rPr>
        <w:t>1</w:t>
      </w:r>
      <w:r>
        <w:rPr>
          <w:rFonts w:hint="eastAsia" w:ascii="宋体" w:hAnsi="宋体" w:eastAsia="宋体" w:cs="宋体"/>
          <w:color w:val="auto"/>
          <w:spacing w:val="-3"/>
          <w:sz w:val="28"/>
          <w:szCs w:val="28"/>
          <w:highlight w:val="none"/>
        </w:rPr>
        <w:t>0</w:t>
      </w:r>
      <w:r>
        <w:rPr>
          <w:rFonts w:hint="eastAsia" w:ascii="宋体" w:hAnsi="宋体" w:eastAsia="宋体" w:cs="宋体"/>
          <w:color w:val="auto"/>
          <w:spacing w:val="-2"/>
          <w:sz w:val="28"/>
          <w:szCs w:val="28"/>
          <w:highlight w:val="none"/>
        </w:rPr>
        <w:t>2.01  一般要求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2 </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工程报告单</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本条原内容后补充：</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jc w:val="left"/>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提交的各种工程报告单除纸件外还需提供内容相同的电子文件</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文件格式须采用发包人指定</w:t>
      </w:r>
      <w:r>
        <w:rPr>
          <w:rFonts w:hint="eastAsia" w:ascii="宋体" w:hAnsi="宋体" w:eastAsia="宋体" w:cs="宋体"/>
          <w:color w:val="auto"/>
          <w:spacing w:val="0"/>
          <w:position w:val="0"/>
          <w:sz w:val="21"/>
          <w:szCs w:val="21"/>
          <w:highlight w:val="none"/>
          <w:lang w:val="en-US" w:eastAsia="zh-CN"/>
        </w:rPr>
        <w:t>的</w:t>
      </w:r>
      <w:r>
        <w:rPr>
          <w:rFonts w:hint="eastAsia" w:ascii="宋体" w:hAnsi="宋体" w:eastAsia="宋体" w:cs="宋体"/>
          <w:color w:val="auto"/>
          <w:spacing w:val="0"/>
          <w:position w:val="0"/>
          <w:sz w:val="21"/>
          <w:szCs w:val="21"/>
          <w:highlight w:val="none"/>
        </w:rPr>
        <w:t>格式，并按发包人规定的方式进行编码，文件传送方式应符合发包人建立的信息管理系统的要求。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3 </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制定施工进度计划和施工方案说明</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本条第 (1) 款原内容后补充：</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jc w:val="both"/>
        <w:textAlignment w:val="baseline"/>
        <w:rPr>
          <w:rFonts w:hint="eastAsia" w:ascii="宋体" w:hAnsi="宋体" w:eastAsia="宋体" w:cs="宋体"/>
          <w:color w:val="auto"/>
          <w:highlight w:val="none"/>
        </w:rPr>
      </w:pPr>
      <w:r>
        <w:rPr>
          <w:rFonts w:hint="eastAsia" w:ascii="宋体" w:hAnsi="宋体" w:eastAsia="宋体" w:cs="宋体"/>
          <w:color w:val="auto"/>
          <w:spacing w:val="0"/>
          <w:position w:val="0"/>
          <w:sz w:val="21"/>
          <w:szCs w:val="21"/>
          <w:highlight w:val="none"/>
        </w:rPr>
        <w:t>其内容应包括详细的施工组织、现场布置、施工方案、工程进度计划、资源 (劳工、机械设备</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 xml:space="preserve"> </w:t>
      </w:r>
      <w:r>
        <w:rPr>
          <w:rFonts w:hint="eastAsia" w:ascii="宋体" w:hAnsi="宋体" w:eastAsia="宋体" w:cs="宋体"/>
          <w:color w:val="auto"/>
          <w:spacing w:val="0"/>
          <w:position w:val="0"/>
          <w:sz w:val="21"/>
          <w:szCs w:val="21"/>
          <w:highlight w:val="none"/>
          <w:lang w:val="en-US" w:eastAsia="zh-CN"/>
        </w:rPr>
        <w:t>原材</w:t>
      </w:r>
      <w:r>
        <w:rPr>
          <w:rFonts w:hint="eastAsia" w:ascii="宋体" w:hAnsi="宋体" w:eastAsia="宋体" w:cs="宋体"/>
          <w:color w:val="auto"/>
          <w:spacing w:val="0"/>
          <w:position w:val="0"/>
          <w:sz w:val="21"/>
          <w:szCs w:val="21"/>
          <w:highlight w:val="none"/>
        </w:rPr>
        <w:t>料)供应计划</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资金流量计划</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质检体系与质保措施</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安全体系与安全保证措施</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信息管理</w:t>
      </w:r>
      <w:r>
        <w:rPr>
          <w:rFonts w:hint="eastAsia" w:ascii="宋体" w:hAnsi="宋体" w:eastAsia="宋体" w:cs="宋体"/>
          <w:color w:val="auto"/>
          <w:spacing w:val="0"/>
          <w:position w:val="0"/>
          <w:sz w:val="21"/>
          <w:szCs w:val="21"/>
          <w:highlight w:val="none"/>
          <w:lang w:val="en-US" w:eastAsia="zh-CN"/>
        </w:rPr>
        <w:t>体</w:t>
      </w:r>
      <w:r>
        <w:rPr>
          <w:rFonts w:hint="eastAsia" w:ascii="宋体" w:hAnsi="宋体" w:eastAsia="宋体" w:cs="宋体"/>
          <w:color w:val="auto"/>
          <w:spacing w:val="0"/>
          <w:position w:val="0"/>
          <w:sz w:val="21"/>
          <w:szCs w:val="21"/>
          <w:highlight w:val="none"/>
        </w:rPr>
        <w:t>系等等</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经监理人批准后实施</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重大施工方案和施工组织设计要报发包人批准</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如承包人提交的施工组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织计划不符合要求，应退回承包人修改完善，直至符合要求为止。</w:t>
      </w:r>
    </w:p>
    <w:p>
      <w:pPr>
        <w:pStyle w:val="2"/>
        <w:keepNext w:val="0"/>
        <w:keepLines w:val="0"/>
        <w:pageBreakBefore w:val="0"/>
        <w:kinsoku w:val="0"/>
        <w:wordWrap/>
        <w:overflowPunct/>
        <w:topLinePunct w:val="0"/>
        <w:autoSpaceDE w:val="0"/>
        <w:autoSpaceDN w:val="0"/>
        <w:bidi w:val="0"/>
        <w:adjustRightInd w:val="0"/>
        <w:snapToGrid w:val="0"/>
        <w:spacing w:line="400" w:lineRule="exact"/>
        <w:ind w:left="0" w:leftChars="0" w:firstLine="0" w:firstLineChars="0"/>
        <w:textAlignment w:val="baseline"/>
        <w:rPr>
          <w:rFonts w:hint="eastAsia"/>
          <w:color w:val="auto"/>
          <w:highlight w:val="none"/>
        </w:rPr>
        <w:sectPr>
          <w:footerReference r:id="rId21" w:type="default"/>
          <w:pgSz w:w="11900" w:h="16840"/>
          <w:pgMar w:top="1160" w:right="1258" w:bottom="1448" w:left="1363" w:header="883" w:footer="1234" w:gutter="0"/>
          <w:pgNumType w:fmt="decimal"/>
          <w:cols w:space="720" w:num="1"/>
        </w:sectPr>
      </w:pPr>
      <w:bookmarkStart w:id="636" w:name="_bookmark152"/>
      <w:bookmarkEnd w:id="636"/>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(9) 、(10) 、(11)(12) 款：</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lang w:eastAsia="zh-CN"/>
        </w:rPr>
      </w:pPr>
      <w:r>
        <w:rPr>
          <w:rFonts w:hint="eastAsia" w:ascii="宋体" w:hAnsi="宋体" w:eastAsia="宋体" w:cs="宋体"/>
          <w:color w:val="auto"/>
          <w:spacing w:val="0"/>
          <w:position w:val="0"/>
          <w:sz w:val="21"/>
          <w:szCs w:val="21"/>
          <w:highlight w:val="none"/>
        </w:rPr>
        <w:t>(9)承包人必须按照施工组织设计的要求确保投入及时到位，监理人应依据合同条款督促其实施</w:t>
      </w:r>
      <w:r>
        <w:rPr>
          <w:rFonts w:hint="eastAsia" w:ascii="宋体" w:hAnsi="宋体" w:eastAsia="宋体" w:cs="宋体"/>
          <w:color w:val="auto"/>
          <w:spacing w:val="0"/>
          <w:position w:val="0"/>
          <w:sz w:val="21"/>
          <w:szCs w:val="21"/>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right="0" w:firstLine="420" w:firstLineChars="200"/>
        <w:textAlignment w:val="baseline"/>
        <w:rPr>
          <w:rFonts w:hint="eastAsia" w:ascii="宋体" w:hAnsi="宋体" w:eastAsia="宋体" w:cs="宋体"/>
          <w:color w:val="auto"/>
          <w:spacing w:val="0"/>
          <w:position w:val="0"/>
          <w:sz w:val="21"/>
          <w:szCs w:val="21"/>
          <w:highlight w:val="none"/>
          <w:lang w:eastAsia="zh-CN"/>
        </w:rPr>
      </w:pPr>
      <w:r>
        <w:rPr>
          <w:rFonts w:hint="eastAsia" w:ascii="宋体" w:hAnsi="宋体" w:eastAsia="宋体" w:cs="宋体"/>
          <w:color w:val="auto"/>
          <w:spacing w:val="0"/>
          <w:position w:val="0"/>
          <w:sz w:val="21"/>
          <w:szCs w:val="21"/>
          <w:highlight w:val="none"/>
        </w:rPr>
        <w:t>(10)承包人应在施工组织设计中阐明防灾防损防疫及事故紧急处理的预案措施。其主要内容包括</w:t>
      </w:r>
      <w:r>
        <w:rPr>
          <w:rFonts w:hint="eastAsia" w:ascii="宋体" w:hAnsi="宋体" w:eastAsia="宋体" w:cs="宋体"/>
          <w:color w:val="auto"/>
          <w:spacing w:val="0"/>
          <w:position w:val="0"/>
          <w:sz w:val="21"/>
          <w:szCs w:val="21"/>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a.承包人应明确制定施工中风险管理的技术要求。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b.承包人应对施工中的大型施工机械的施工安全制定严格的安全保障措施。</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jc w:val="left"/>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c.承包人应对施工中的大型施工机械制定一机一用的技术操作手册及安全手册</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上岗人员为经过</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专业培训同时具备相应的操作资格的人员。</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394"/>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d.承包人对突发性自然灾害，在发生前应作好预报、预警的防范措施及灾后抢险的应急措施 (包括组织落实措施、物资设备落实措施，抢险技术措施及技术防范改进措施)。</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(11) 承包人编制的施工方案应充分考虑台风、季风、涌潮等不良气候对工程施工的影响。</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0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(12) 承包人编制的本项目的特殊技术、工艺方案需经监理人及发包人批准，一般方案由监理人 批准；技术、工艺方案批准前是否需要专家论证，由发包人决定。同时承包人的施工方案管理应按照 发包人下发的相关规定执行。对于技术难度大，存在重大技术风险的技术、工艺方案，若需进行专家 论证，由承包人组织召开专家评审会。</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lang w:val="en-US" w:eastAsia="zh-CN"/>
        </w:rPr>
      </w:pPr>
      <w:r>
        <w:rPr>
          <w:rFonts w:hint="eastAsia" w:ascii="宋体" w:hAnsi="宋体" w:eastAsia="宋体" w:cs="宋体"/>
          <w:color w:val="auto"/>
          <w:spacing w:val="0"/>
          <w:position w:val="0"/>
          <w:sz w:val="21"/>
          <w:szCs w:val="21"/>
          <w:highlight w:val="none"/>
        </w:rPr>
        <w:t xml:space="preserve">4 </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工程信息化</w:t>
      </w:r>
      <w:r>
        <w:rPr>
          <w:rFonts w:hint="eastAsia" w:ascii="宋体" w:hAnsi="宋体" w:eastAsia="宋体" w:cs="宋体"/>
          <w:color w:val="auto"/>
          <w:spacing w:val="0"/>
          <w:position w:val="0"/>
          <w:sz w:val="21"/>
          <w:szCs w:val="21"/>
          <w:highlight w:val="none"/>
          <w:lang w:val="en-US" w:eastAsia="zh-CN"/>
        </w:rPr>
        <w:t>系统</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(4) 、(5) 款：</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388"/>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工程信息化系统建设依据与内容。发包人根据建设管理的需要，为实现本项目建设信息</w:t>
      </w:r>
      <w:r>
        <w:rPr>
          <w:rFonts w:hint="eastAsia" w:ascii="宋体" w:hAnsi="宋体" w:eastAsia="宋体" w:cs="宋体"/>
          <w:color w:val="auto"/>
          <w:spacing w:val="0"/>
          <w:position w:val="0"/>
          <w:sz w:val="21"/>
          <w:szCs w:val="21"/>
          <w:highlight w:val="none"/>
          <w:lang w:val="en-US" w:eastAsia="zh-CN"/>
        </w:rPr>
        <w:t>化</w:t>
      </w:r>
      <w:r>
        <w:rPr>
          <w:rFonts w:hint="eastAsia" w:ascii="宋体" w:hAnsi="宋体" w:eastAsia="宋体" w:cs="宋体"/>
          <w:color w:val="auto"/>
          <w:spacing w:val="0"/>
          <w:position w:val="0"/>
          <w:sz w:val="21"/>
          <w:szCs w:val="21"/>
          <w:highlight w:val="none"/>
        </w:rPr>
        <w:t>的施工管理而实施的工程信息化建设，应具备数据自动采集和上传功能，并按照“浙江省交通建设管理系统”、“浙路品质”系统的数据接口做好对接。承包人应按照《省交通运输厅关于印发&lt;浙江省公路水运工程项目智慧建设三年专项行动实施意见(2021-2023年)&gt;的通知》(浙交〔2021〕82 号)《省交通运输厅关于加快推进全省交通建设工程视频监控系统安装工作的通知》和《关于深入推进阳光工程建设的意见》等的相关要求，分类分级做好项目智慧建设管理系统应用、物联网数据采集系统等相关配合和设备的系统运行维护，相关数据采集、录入、推送和统计分析等工作，做好专职系统操作人员的配备、培训和相关设施的配置、维护、备份管理等及一切与此有关的工作内容。</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5 条：</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398"/>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 、承包人应按照国家及浙江省交通运输厅公路建设标准化工地管理规定、安全施工管理规定、  美丽公路、“平安工地”、品质工程、施工质量提升、原材料和产品质量管理、“质安文化先进工地”等规定，进行工地标准化、施工标准化、管理标准化建设和安全、文明施工。承包人应按相关要求做到“三集中”。拌合场集中，钢筋加工场集中，预制场集中(包括小型预制构件集中)，“三智能”钢筋数控智能加工设备(含钢筋笼自动加工系统)，智能张拉和压浆系统，砼主要构件智能养护系统，机械臂自动电焊系统及视频监控系统 (发包人统一实施)，及大型桥梁场地门警系统。</w:t>
      </w:r>
    </w:p>
    <w:p>
      <w:pPr>
        <w:keepNext w:val="0"/>
        <w:keepLines w:val="0"/>
        <w:pageBreakBefore w:val="0"/>
        <w:widowControl/>
        <w:kinsoku w:val="0"/>
        <w:wordWrap/>
        <w:overflowPunct/>
        <w:topLinePunct w:val="0"/>
        <w:autoSpaceDE w:val="0"/>
        <w:autoSpaceDN w:val="0"/>
        <w:bidi w:val="0"/>
        <w:snapToGrid w:val="0"/>
        <w:spacing w:before="299" w:line="400" w:lineRule="exact"/>
        <w:textAlignment w:val="baseline"/>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102.05  施工</w:t>
      </w:r>
      <w:r>
        <w:rPr>
          <w:rFonts w:hint="eastAsia" w:ascii="宋体" w:hAnsi="宋体" w:eastAsia="宋体" w:cs="宋体"/>
          <w:color w:val="auto"/>
          <w:spacing w:val="-1"/>
          <w:sz w:val="28"/>
          <w:szCs w:val="28"/>
          <w:highlight w:val="none"/>
        </w:rPr>
        <w:t>方法与质量控制</w:t>
      </w:r>
    </w:p>
    <w:p>
      <w:pPr>
        <w:pStyle w:val="2"/>
        <w:keepNext w:val="0"/>
        <w:keepLines w:val="0"/>
        <w:pageBreakBefore w:val="0"/>
        <w:kinsoku w:val="0"/>
        <w:wordWrap/>
        <w:overflowPunct/>
        <w:topLinePunct w:val="0"/>
        <w:autoSpaceDE w:val="0"/>
        <w:autoSpaceDN w:val="0"/>
        <w:bidi w:val="0"/>
        <w:snapToGrid w:val="0"/>
        <w:spacing w:line="400" w:lineRule="exact"/>
        <w:ind w:left="0" w:leftChars="0" w:firstLine="0" w:firstLineChars="0"/>
        <w:textAlignment w:val="baseline"/>
        <w:rPr>
          <w:rFonts w:hint="eastAsia" w:ascii="宋体" w:hAnsi="宋体" w:eastAsia="宋体" w:cs="宋体"/>
          <w:color w:val="auto"/>
          <w:spacing w:val="0"/>
          <w:position w:val="0"/>
          <w:sz w:val="21"/>
          <w:szCs w:val="21"/>
          <w:highlight w:val="none"/>
        </w:rPr>
      </w:pPr>
    </w:p>
    <w:p>
      <w:pPr>
        <w:pStyle w:val="2"/>
        <w:keepNext w:val="0"/>
        <w:keepLines w:val="0"/>
        <w:pageBreakBefore w:val="0"/>
        <w:kinsoku w:val="0"/>
        <w:wordWrap/>
        <w:overflowPunct/>
        <w:topLinePunct w:val="0"/>
        <w:autoSpaceDE w:val="0"/>
        <w:autoSpaceDN w:val="0"/>
        <w:bidi w:val="0"/>
        <w:snapToGrid w:val="0"/>
        <w:spacing w:line="400" w:lineRule="exact"/>
        <w:ind w:left="0" w:leftChars="0" w:firstLine="0" w:firstLineChars="0"/>
        <w:textAlignment w:val="baseline"/>
        <w:rPr>
          <w:rFonts w:hint="eastAsia" w:ascii="宋体" w:hAnsi="宋体" w:eastAsia="宋体" w:cs="宋体"/>
          <w:color w:val="auto"/>
          <w:spacing w:val="0"/>
          <w:position w:val="0"/>
          <w:sz w:val="21"/>
          <w:szCs w:val="21"/>
          <w:highlight w:val="none"/>
        </w:rPr>
        <w:sectPr>
          <w:headerReference r:id="rId22" w:type="default"/>
          <w:pgSz w:w="11900" w:h="16840"/>
          <w:pgMar w:top="1160" w:right="1144" w:bottom="1448" w:left="1363" w:header="883" w:footer="1234"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4" w:firstLineChars="200"/>
        <w:textAlignment w:val="baseline"/>
        <w:rPr>
          <w:rFonts w:hint="eastAsia" w:ascii="宋体" w:hAnsi="宋体" w:eastAsia="宋体" w:cs="宋体"/>
          <w:color w:val="auto"/>
          <w:spacing w:val="6"/>
          <w:sz w:val="20"/>
          <w:szCs w:val="20"/>
          <w:highlight w:val="none"/>
        </w:rPr>
      </w:pPr>
      <w:bookmarkStart w:id="637" w:name="_bookmark155"/>
      <w:bookmarkEnd w:id="637"/>
      <w:bookmarkStart w:id="638" w:name="_bookmark154"/>
      <w:bookmarkEnd w:id="638"/>
      <w:bookmarkStart w:id="639" w:name="_bookmark153"/>
      <w:bookmarkEnd w:id="639"/>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1 条，原第 1 、2 、3 、4 条改为第 2 、3 、4 、5 条：</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承包人是工程质量责任的主体，应按照规定落实质量岗位责任制，建立健全施工质量保证体</w:t>
      </w:r>
    </w:p>
    <w:p>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系，实行质量责任登记制度。开工前，项目经理部必须建立“横向到边，纵向到底，控制有效”的质量自检体系, 严格执行“三检” (自检、互检、交接检) 制度。</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6 、7 、8 条：</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6 </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承包人应重视质量通病的防治，对高填土不实、软土地基超限沉降、沥青路面早期破损、水 泥路面断板开裂、路面不平、隧道渗漏水、桥面铺装层碎裂、桥梁伸缩缝松动、桥头跳车、防护工程 和结构物表面粗糙、预应力结构管道压浆不饱满等质量通病必须根据技术规范要求制定预控措施。①</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7 </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所有水泥混凝土结构采用的混合料，均应使用混凝土拌和楼拌和、混凝土搅拌运输车运送。 对于混凝土搅拌运输车确实无法到达的涵洞工程、5m3  以下的零星混凝土工程需要采用混凝土搅拌机 就地拌和的，应事先做好试验、明确质量保证措施并报监理人批准后方可实施。所有浆砌工程的水泥 砂浆均采用机拌，严格按批准配合比进行控制。</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8.承包人应当保证施工原材料和产品符合设计文件和合同要求，建立原材料和产品使用追溯机</w:t>
      </w:r>
    </w:p>
    <w:p>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制，应当采购质量合格且无安全隐患的施工原材料和产品，应当立即将不合格情况报送监理单位和发 包人。</w:t>
      </w:r>
    </w:p>
    <w:p>
      <w:pPr>
        <w:keepNext w:val="0"/>
        <w:keepLines w:val="0"/>
        <w:pageBreakBefore w:val="0"/>
        <w:widowControl/>
        <w:kinsoku w:val="0"/>
        <w:wordWrap/>
        <w:overflowPunct/>
        <w:topLinePunct w:val="0"/>
        <w:autoSpaceDE w:val="0"/>
        <w:autoSpaceDN w:val="0"/>
        <w:bidi w:val="0"/>
        <w:snapToGrid w:val="0"/>
        <w:spacing w:line="400" w:lineRule="exact"/>
        <w:ind w:left="30"/>
        <w:textAlignment w:val="baseline"/>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102.08  工程记</w:t>
      </w:r>
      <w:r>
        <w:rPr>
          <w:rFonts w:hint="eastAsia" w:ascii="宋体" w:hAnsi="宋体" w:eastAsia="宋体" w:cs="宋体"/>
          <w:color w:val="auto"/>
          <w:spacing w:val="-1"/>
          <w:sz w:val="28"/>
          <w:szCs w:val="28"/>
          <w:highlight w:val="none"/>
        </w:rPr>
        <w:t>录与竣工文件</w:t>
      </w:r>
    </w:p>
    <w:p>
      <w:pPr>
        <w:keepNext w:val="0"/>
        <w:keepLines w:val="0"/>
        <w:pageBreakBefore w:val="0"/>
        <w:widowControl/>
        <w:kinsoku w:val="0"/>
        <w:wordWrap/>
        <w:overflowPunct/>
        <w:topLinePunct w:val="0"/>
        <w:autoSpaceDE w:val="0"/>
        <w:autoSpaceDN w:val="0"/>
        <w:bidi w:val="0"/>
        <w:adjustRightInd/>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p>
    <w:p>
      <w:pPr>
        <w:keepNext w:val="0"/>
        <w:keepLines w:val="0"/>
        <w:pageBreakBefore w:val="0"/>
        <w:widowControl/>
        <w:kinsoku w:val="0"/>
        <w:wordWrap/>
        <w:overflowPunct/>
        <w:topLinePunct w:val="0"/>
        <w:autoSpaceDE w:val="0"/>
        <w:autoSpaceDN w:val="0"/>
        <w:bidi w:val="0"/>
        <w:adjustRightInd/>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3 条修改为：</w:t>
      </w:r>
    </w:p>
    <w:p>
      <w:pPr>
        <w:keepNext w:val="0"/>
        <w:keepLines w:val="0"/>
        <w:pageBreakBefore w:val="0"/>
        <w:widowControl/>
        <w:kinsoku w:val="0"/>
        <w:wordWrap/>
        <w:overflowPunct/>
        <w:topLinePunct w:val="0"/>
        <w:autoSpaceDE w:val="0"/>
        <w:autoSpaceDN w:val="0"/>
        <w:bidi w:val="0"/>
        <w:adjustRightInd/>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3.承包人应按照交通运输部《公路工程竣 (交) 工验收办法》、《公路工程竣 (交)工验收办法 实施细则》和浙江省交通运输厅交竣工验收相关办法及其他相关规定编制竣工资料。全部工程完工后，在全部工程的交工验收证书签发之前，承包人须按合同条款规定向发包人提交监理人确认完整、合格的竣工文件。在缺陷责任期内，承包人应补充竣工资料，并在缺陷责任期满 45 天之前提交。</w:t>
      </w:r>
    </w:p>
    <w:p>
      <w:pPr>
        <w:keepNext w:val="0"/>
        <w:keepLines w:val="0"/>
        <w:pageBreakBefore w:val="0"/>
        <w:widowControl/>
        <w:kinsoku w:val="0"/>
        <w:wordWrap/>
        <w:overflowPunct/>
        <w:topLinePunct w:val="0"/>
        <w:autoSpaceDE w:val="0"/>
        <w:autoSpaceDN w:val="0"/>
        <w:bidi w:val="0"/>
        <w:adjustRightInd/>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4 、5 、6 、7 条：</w:t>
      </w:r>
    </w:p>
    <w:p>
      <w:pPr>
        <w:keepNext w:val="0"/>
        <w:keepLines w:val="0"/>
        <w:pageBreakBefore w:val="0"/>
        <w:widowControl/>
        <w:kinsoku w:val="0"/>
        <w:wordWrap/>
        <w:overflowPunct/>
        <w:topLinePunct w:val="0"/>
        <w:autoSpaceDE w:val="0"/>
        <w:autoSpaceDN w:val="0"/>
        <w:bidi w:val="0"/>
        <w:adjustRightInd/>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4．本工程的信息发布应按照施工合同文件约定及发包人制定的相关信息发布管理办法规定执行</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有关本工程的情况，承包人不能以任何手段出版任何资料和刊物。承包人应将合同的所有细节作为保密资料对待，未经发包人的事先批准，合同的任何部分或与本工程有关的详细资料不应在任何报纸、商业或技术文献上刊登或披露，包括工程技术详图。承包人不得用工程照片作宣传，除非事先得到发包人书面同意。</w:t>
      </w:r>
    </w:p>
    <w:p>
      <w:pPr>
        <w:keepNext w:val="0"/>
        <w:keepLines w:val="0"/>
        <w:pageBreakBefore w:val="0"/>
        <w:widowControl/>
        <w:kinsoku w:val="0"/>
        <w:wordWrap/>
        <w:overflowPunct/>
        <w:topLinePunct w:val="0"/>
        <w:autoSpaceDE w:val="0"/>
        <w:autoSpaceDN w:val="0"/>
        <w:bidi w:val="0"/>
        <w:adjustRightInd/>
        <w:snapToGrid w:val="0"/>
        <w:spacing w:line="400" w:lineRule="exact"/>
        <w:ind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承包人也不应在现场或施工设施上展示或允许展示任何贸易和商业性广告。在工地现场张贴布告，应事先得到监理人的批准，必要时应得到发包人批准，当监理人或发包人指示撤除时，应立即执行。</w:t>
      </w:r>
    </w:p>
    <w:p>
      <w:pPr>
        <w:keepNext w:val="0"/>
        <w:keepLines w:val="0"/>
        <w:pageBreakBefore w:val="0"/>
        <w:widowControl/>
        <w:kinsoku w:val="0"/>
        <w:wordWrap/>
        <w:overflowPunct/>
        <w:topLinePunct w:val="0"/>
        <w:autoSpaceDE w:val="0"/>
        <w:autoSpaceDN w:val="0"/>
        <w:bidi w:val="0"/>
        <w:snapToGrid w:val="0"/>
        <w:spacing w:line="400" w:lineRule="exact"/>
        <w:ind w:left="40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5 </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交工所需文件应组卷成册，如档案部门另有规定的，除内容按上述文件要求编制外，还应符</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合档案部门的要求。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竣工文件的原始件应单独集中编订在一套内，归发包人所有(留存)。</w:t>
      </w:r>
    </w:p>
    <w:p>
      <w:pPr>
        <w:pStyle w:val="2"/>
        <w:keepNext w:val="0"/>
        <w:keepLines w:val="0"/>
        <w:pageBreakBefore w:val="0"/>
        <w:kinsoku w:val="0"/>
        <w:wordWrap/>
        <w:overflowPunct/>
        <w:topLinePunct w:val="0"/>
        <w:autoSpaceDE w:val="0"/>
        <w:autoSpaceDN w:val="0"/>
        <w:bidi w:val="0"/>
        <w:snapToGrid w:val="0"/>
        <w:spacing w:line="400" w:lineRule="exact"/>
        <w:ind w:left="0" w:leftChars="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 xml:space="preserve">当工程通过缺陷责任期评估后，承包人应提供缺陷责任期的竣工文件资料6套。其内容包括缺陷责任期内所进行的修复、返工或新增的工程项目应具备的资料。该文件资料应在竣工验收 </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102. 13  安全保护与事故报告</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3 </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安全标志</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(4) 款：</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0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承包人应根据《关于在我省政府投资公路水运建设工程中推行安全质量远程视频监控系统 的通知》(浙交〔2013〕120 号) 要求对全线配置安全生产所需的施工安全视频监控系统，并应做到 施工现场监控无盲点，包括设备的配置、安装、维护、储存、备份管理及网络构筑等一切与此相关的作业，发包人不另行计量与支付。</w:t>
      </w:r>
    </w:p>
    <w:p>
      <w:pPr>
        <w:keepNext w:val="0"/>
        <w:keepLines w:val="0"/>
        <w:pageBreakBefore w:val="0"/>
        <w:widowControl/>
        <w:kinsoku w:val="0"/>
        <w:wordWrap/>
        <w:overflowPunct/>
        <w:topLinePunct w:val="0"/>
        <w:autoSpaceDE w:val="0"/>
        <w:autoSpaceDN w:val="0"/>
        <w:bidi w:val="0"/>
        <w:snapToGrid w:val="0"/>
        <w:spacing w:line="320" w:lineRule="exact"/>
        <w:textAlignment w:val="baseline"/>
        <w:rPr>
          <w:rFonts w:hint="eastAsia" w:ascii="宋体" w:hAnsi="宋体" w:eastAsia="宋体" w:cs="宋体"/>
          <w:color w:val="auto"/>
          <w:spacing w:val="0"/>
          <w:position w:val="0"/>
          <w:sz w:val="21"/>
          <w:szCs w:val="21"/>
          <w:highlight w:val="none"/>
        </w:rPr>
        <w:sectPr>
          <w:headerReference r:id="rId23" w:type="default"/>
          <w:pgSz w:w="11900" w:h="16840"/>
          <w:pgMar w:top="1160" w:right="1285" w:bottom="1448" w:left="1363" w:header="883" w:footer="1234"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440" w:lineRule="exact"/>
        <w:ind w:right="0"/>
        <w:jc w:val="center"/>
        <w:textAlignment w:val="baseline"/>
        <w:rPr>
          <w:rFonts w:hint="eastAsia" w:ascii="宋体" w:hAnsi="宋体" w:eastAsia="宋体" w:cs="宋体"/>
          <w:b/>
          <w:bCs/>
          <w:color w:val="auto"/>
          <w:spacing w:val="0"/>
          <w:position w:val="0"/>
          <w:sz w:val="31"/>
          <w:szCs w:val="31"/>
          <w:highlight w:val="none"/>
        </w:rPr>
      </w:pPr>
      <w:bookmarkStart w:id="640" w:name="_bookmark156"/>
      <w:bookmarkEnd w:id="640"/>
      <w:bookmarkStart w:id="641" w:name="_Toc17074"/>
      <w:r>
        <w:rPr>
          <w:rFonts w:hint="eastAsia" w:ascii="宋体" w:hAnsi="宋体" w:eastAsia="宋体" w:cs="宋体"/>
          <w:b/>
          <w:bCs/>
          <w:color w:val="auto"/>
          <w:spacing w:val="0"/>
          <w:position w:val="0"/>
          <w:sz w:val="31"/>
          <w:szCs w:val="31"/>
          <w:highlight w:val="none"/>
        </w:rPr>
        <w:t>第 103 节  临时工程与设施</w:t>
      </w:r>
      <w:bookmarkEnd w:id="641"/>
    </w:p>
    <w:p>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textAlignment w:val="baseline"/>
        <w:rPr>
          <w:rFonts w:hint="eastAsia" w:ascii="宋体" w:hAnsi="宋体" w:eastAsia="宋体" w:cs="宋体"/>
          <w:color w:val="auto"/>
          <w:spacing w:val="0"/>
          <w:position w:val="0"/>
          <w:sz w:val="28"/>
          <w:szCs w:val="28"/>
          <w:highlight w:val="none"/>
        </w:rPr>
      </w:pPr>
    </w:p>
    <w:p>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103.01  一般要求</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8 条：</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398"/>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8 </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承包人应按照《关于开展高速公路施工标准化活动的通知》、《高速公路施工标准化技术指 南》、《浙江省高速公路建设工程标准化工地管理规定》、《浙江省高速公路施工标准化管理实施细则》等规定的要求执行。</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103.04  临时占地</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补充第3条：</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39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如因承包人撤离后未按要求对临时占地进行恢复或虽进行了恢复但未达到使用标准而与当地 发生纠纷，导致发包人发生额外支出时，发包人将从应付给承包人的任何款项内扣除所支出费用。</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pacing w:val="0"/>
          <w:position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101" w:line="440" w:lineRule="exact"/>
        <w:ind w:left="3095"/>
        <w:textAlignment w:val="baseline"/>
        <w:outlineLvl w:val="1"/>
        <w:rPr>
          <w:rFonts w:hint="eastAsia" w:ascii="宋体" w:hAnsi="宋体" w:eastAsia="宋体" w:cs="宋体"/>
          <w:b/>
          <w:bCs/>
          <w:color w:val="auto"/>
          <w:spacing w:val="0"/>
          <w:position w:val="0"/>
          <w:sz w:val="31"/>
          <w:szCs w:val="31"/>
          <w:highlight w:val="none"/>
        </w:rPr>
      </w:pPr>
      <w:bookmarkStart w:id="642" w:name="_Toc29675"/>
      <w:r>
        <w:rPr>
          <w:rFonts w:hint="eastAsia" w:ascii="宋体" w:hAnsi="宋体" w:eastAsia="宋体" w:cs="宋体"/>
          <w:b/>
          <w:bCs/>
          <w:color w:val="auto"/>
          <w:spacing w:val="0"/>
          <w:position w:val="0"/>
          <w:sz w:val="31"/>
          <w:szCs w:val="31"/>
          <w:highlight w:val="none"/>
        </w:rPr>
        <w:t>第 105 节  施工标准化</w:t>
      </w:r>
      <w:bookmarkEnd w:id="642"/>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pacing w:val="0"/>
          <w:position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pacing w:val="0"/>
          <w:position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105.01  一般要求</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5 条、 第 6 条、 第 7 条、 第 8 条：</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20" w:firstLineChars="200"/>
        <w:jc w:val="both"/>
        <w:textAlignment w:val="baseline"/>
        <w:rPr>
          <w:rFonts w:hint="eastAsia" w:ascii="宋体" w:hAnsi="宋体" w:eastAsia="宋体" w:cs="宋体"/>
          <w:color w:val="auto"/>
          <w:spacing w:val="0"/>
          <w:position w:val="0"/>
          <w:sz w:val="21"/>
          <w:szCs w:val="21"/>
          <w:highlight w:val="none"/>
          <w:lang w:eastAsia="zh-CN"/>
        </w:rPr>
      </w:pPr>
      <w:r>
        <w:rPr>
          <w:rFonts w:hint="eastAsia" w:ascii="宋体" w:hAnsi="宋体" w:eastAsia="宋体" w:cs="宋体"/>
          <w:color w:val="auto"/>
          <w:spacing w:val="0"/>
          <w:position w:val="0"/>
          <w:sz w:val="21"/>
          <w:szCs w:val="21"/>
          <w:highlight w:val="none"/>
        </w:rPr>
        <w:t xml:space="preserve">5 </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承包人驻地建设必须按交通运输部及浙江省交通运输厅公路建设工程标准化工地管理规定等 要求进行工地标准化</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工艺标准化和管理标准化建设。承包人应按相关要求在标准化工地建设</w:t>
      </w:r>
      <w:r>
        <w:rPr>
          <w:rFonts w:hint="eastAsia" w:ascii="宋体" w:hAnsi="宋体" w:eastAsia="宋体" w:cs="宋体"/>
          <w:color w:val="auto"/>
          <w:spacing w:val="0"/>
          <w:sz w:val="21"/>
          <w:szCs w:val="21"/>
          <w:highlight w:val="none"/>
        </w:rPr>
        <w:t>过程</w:t>
      </w:r>
      <w:r>
        <w:rPr>
          <w:rFonts w:hint="eastAsia" w:ascii="宋体" w:hAnsi="宋体" w:eastAsia="宋体" w:cs="宋体"/>
          <w:color w:val="auto"/>
          <w:spacing w:val="6"/>
          <w:sz w:val="21"/>
          <w:szCs w:val="21"/>
          <w:highlight w:val="none"/>
        </w:rPr>
        <w:t>中还须配备钢筋数控加工设备、钢筋笼点焊系统、智能张拉和真空压浆系统以及视频监控系统等</w:t>
      </w:r>
      <w:r>
        <w:rPr>
          <w:rFonts w:hint="eastAsia" w:ascii="宋体" w:hAnsi="宋体" w:eastAsia="宋体" w:cs="宋体"/>
          <w:color w:val="auto"/>
          <w:spacing w:val="6"/>
          <w:sz w:val="21"/>
          <w:szCs w:val="21"/>
          <w:highlight w:val="none"/>
          <w:lang w:eastAsia="zh-CN"/>
        </w:rPr>
        <w:t>，</w:t>
      </w:r>
      <w:r>
        <w:rPr>
          <w:rFonts w:hint="eastAsia" w:ascii="宋体" w:hAnsi="宋体" w:eastAsia="宋体" w:cs="宋体"/>
          <w:color w:val="auto"/>
          <w:spacing w:val="6"/>
          <w:sz w:val="21"/>
          <w:szCs w:val="21"/>
          <w:highlight w:val="none"/>
        </w:rPr>
        <w:t>承包</w:t>
      </w:r>
      <w:r>
        <w:rPr>
          <w:rFonts w:hint="eastAsia" w:ascii="宋体" w:hAnsi="宋体" w:eastAsia="宋体" w:cs="宋体"/>
          <w:color w:val="auto"/>
          <w:spacing w:val="0"/>
          <w:position w:val="0"/>
          <w:sz w:val="21"/>
          <w:szCs w:val="21"/>
          <w:highlight w:val="none"/>
        </w:rPr>
        <w:t>人驻地建设实施方案须报经监理人和发包人审核批准后方可实施，承包人应综合考虑各种因素按总额进行报价</w:t>
      </w:r>
      <w:r>
        <w:rPr>
          <w:rFonts w:hint="eastAsia" w:ascii="宋体" w:hAnsi="宋体" w:eastAsia="宋体" w:cs="宋体"/>
          <w:color w:val="auto"/>
          <w:spacing w:val="0"/>
          <w:position w:val="0"/>
          <w:sz w:val="21"/>
          <w:szCs w:val="21"/>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承包人应按相关要求在标准化工地建设过程中还须按照要求对施工区域进行封闭围挡，应按相关要求建设阳光工程动态管理系统、远程视频监控系统，承包人在开工前应根据行业标准化建设有关要求，结合工程特点，按照设计文件和合同文件要求编。</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6 </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施工现场临时搭建的建筑物及其他设施应当符合安全使用要求。</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 承包人驻地建设方案，应经监理人、发包人审批同意后实施。</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 工程交工验收后 60 天，承包人应负责将本合同所有驻地中的一切建筑物及其固定设备和附件全部拆迁完成，同时负责将驻地、临时用地及标段内的施工场地恢复原状；桥下中分带用地按照设计方案进行整修、绿化，达到环保验收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44" w:firstLineChars="200"/>
        <w:textAlignment w:val="baseline"/>
        <w:rPr>
          <w:rFonts w:hint="eastAsia" w:ascii="宋体" w:hAnsi="宋体" w:eastAsia="宋体" w:cs="宋体"/>
          <w:color w:val="auto"/>
          <w:spacing w:val="6"/>
          <w:highlight w:val="none"/>
        </w:rPr>
        <w:sectPr>
          <w:headerReference r:id="rId24" w:type="default"/>
          <w:footerReference r:id="rId25" w:type="default"/>
          <w:pgSz w:w="11900" w:h="16840"/>
          <w:pgMar w:top="1160" w:right="1354" w:bottom="1448" w:left="1363" w:header="883" w:footer="1234" w:gutter="0"/>
          <w:pgNumType w:fmt="decimal"/>
          <w:cols w:space="720" w:num="1"/>
        </w:sectPr>
      </w:pPr>
    </w:p>
    <w:p>
      <w:pPr>
        <w:spacing w:before="334" w:line="226" w:lineRule="auto"/>
        <w:jc w:val="center"/>
        <w:outlineLvl w:val="2"/>
        <w:rPr>
          <w:rFonts w:hint="eastAsia" w:ascii="宋体" w:hAnsi="宋体" w:eastAsia="宋体" w:cs="宋体"/>
          <w:color w:val="auto"/>
          <w:sz w:val="21"/>
          <w:highlight w:val="none"/>
        </w:rPr>
      </w:pPr>
      <w:bookmarkStart w:id="643" w:name="_Toc25249"/>
      <w:r>
        <w:rPr>
          <w:rFonts w:hint="eastAsia" w:ascii="宋体" w:hAnsi="宋体" w:eastAsia="宋体" w:cs="宋体"/>
          <w:b/>
          <w:bCs/>
          <w:color w:val="auto"/>
          <w:spacing w:val="-2"/>
          <w:sz w:val="40"/>
          <w:szCs w:val="40"/>
          <w:highlight w:val="none"/>
        </w:rPr>
        <w:t xml:space="preserve">第 200 章  </w:t>
      </w:r>
      <w:r>
        <w:rPr>
          <w:rFonts w:hint="eastAsia" w:ascii="宋体" w:hAnsi="宋体" w:eastAsia="宋体" w:cs="宋体"/>
          <w:b/>
          <w:bCs/>
          <w:color w:val="auto"/>
          <w:spacing w:val="-2"/>
          <w:sz w:val="40"/>
          <w:szCs w:val="40"/>
          <w:highlight w:val="none"/>
          <w:lang w:val="en-US" w:eastAsia="zh-CN"/>
        </w:rPr>
        <w:t xml:space="preserve"> </w:t>
      </w:r>
      <w:r>
        <w:rPr>
          <w:rFonts w:hint="eastAsia" w:ascii="宋体" w:hAnsi="宋体" w:eastAsia="宋体" w:cs="宋体"/>
          <w:b/>
          <w:bCs/>
          <w:color w:val="auto"/>
          <w:spacing w:val="-2"/>
          <w:sz w:val="40"/>
          <w:szCs w:val="40"/>
          <w:highlight w:val="none"/>
        </w:rPr>
        <w:t xml:space="preserve">路  </w:t>
      </w:r>
      <w:r>
        <w:rPr>
          <w:rFonts w:hint="eastAsia" w:ascii="宋体" w:hAnsi="宋体" w:eastAsia="宋体" w:cs="宋体"/>
          <w:b/>
          <w:bCs/>
          <w:color w:val="auto"/>
          <w:spacing w:val="-2"/>
          <w:sz w:val="40"/>
          <w:szCs w:val="40"/>
          <w:highlight w:val="none"/>
          <w:lang w:val="en-US" w:eastAsia="zh-CN"/>
        </w:rPr>
        <w:t xml:space="preserve"> </w:t>
      </w:r>
      <w:r>
        <w:rPr>
          <w:rFonts w:hint="eastAsia" w:ascii="宋体" w:hAnsi="宋体" w:eastAsia="宋体" w:cs="宋体"/>
          <w:b/>
          <w:bCs/>
          <w:color w:val="auto"/>
          <w:spacing w:val="-2"/>
          <w:sz w:val="40"/>
          <w:szCs w:val="40"/>
          <w:highlight w:val="none"/>
        </w:rPr>
        <w:t xml:space="preserve">  基</w:t>
      </w:r>
      <w:bookmarkEnd w:id="643"/>
    </w:p>
    <w:p>
      <w:pPr>
        <w:spacing w:before="101" w:line="226" w:lineRule="auto"/>
        <w:ind w:left="3095"/>
        <w:outlineLvl w:val="1"/>
        <w:rPr>
          <w:rFonts w:hint="eastAsia" w:ascii="宋体" w:hAnsi="宋体" w:eastAsia="宋体" w:cs="宋体"/>
          <w:b/>
          <w:bCs/>
          <w:color w:val="auto"/>
          <w:spacing w:val="6"/>
          <w:sz w:val="31"/>
          <w:szCs w:val="31"/>
          <w:highlight w:val="none"/>
        </w:rPr>
      </w:pPr>
      <w:bookmarkStart w:id="644" w:name="_bookmark157"/>
      <w:bookmarkEnd w:id="644"/>
      <w:bookmarkStart w:id="645" w:name="_bookmark159"/>
      <w:bookmarkEnd w:id="645"/>
      <w:bookmarkStart w:id="646" w:name="_bookmark158"/>
      <w:bookmarkEnd w:id="646"/>
      <w:bookmarkStart w:id="647" w:name="_bookmark160"/>
      <w:bookmarkEnd w:id="647"/>
      <w:bookmarkStart w:id="648" w:name="_Toc11280"/>
      <w:r>
        <w:rPr>
          <w:rFonts w:hint="eastAsia" w:ascii="宋体" w:hAnsi="宋体" w:eastAsia="宋体" w:cs="宋体"/>
          <w:b/>
          <w:bCs/>
          <w:color w:val="auto"/>
          <w:spacing w:val="6"/>
          <w:sz w:val="31"/>
          <w:szCs w:val="31"/>
          <w:highlight w:val="none"/>
        </w:rPr>
        <w:t>第 201 节  通 则</w:t>
      </w:r>
      <w:bookmarkEnd w:id="648"/>
    </w:p>
    <w:p>
      <w:pPr>
        <w:spacing w:line="255" w:lineRule="auto"/>
        <w:rPr>
          <w:rFonts w:hint="eastAsia" w:ascii="宋体" w:hAnsi="宋体" w:eastAsia="宋体" w:cs="宋体"/>
          <w:color w:val="auto"/>
          <w:sz w:val="21"/>
          <w:highlight w:val="none"/>
        </w:rPr>
      </w:pPr>
    </w:p>
    <w:p>
      <w:pPr>
        <w:spacing w:line="255" w:lineRule="auto"/>
        <w:rPr>
          <w:rFonts w:hint="eastAsia" w:ascii="宋体" w:hAnsi="宋体" w:eastAsia="宋体" w:cs="宋体"/>
          <w:color w:val="auto"/>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textAlignment w:val="baseline"/>
        <w:rPr>
          <w:rFonts w:hint="eastAsia" w:ascii="宋体" w:hAnsi="宋体" w:eastAsia="宋体" w:cs="宋体"/>
          <w:color w:val="auto"/>
          <w:spacing w:val="6"/>
          <w:sz w:val="28"/>
          <w:szCs w:val="28"/>
          <w:highlight w:val="none"/>
        </w:rPr>
      </w:pPr>
      <w:r>
        <w:rPr>
          <w:rFonts w:hint="eastAsia" w:ascii="宋体" w:hAnsi="宋体" w:eastAsia="宋体" w:cs="宋体"/>
          <w:color w:val="auto"/>
          <w:spacing w:val="6"/>
          <w:sz w:val="28"/>
          <w:szCs w:val="28"/>
          <w:highlight w:val="none"/>
        </w:rPr>
        <w:t>201.02  材料</w:t>
      </w:r>
    </w:p>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1 条补充第 (1) 、(2) 、(3) 、(4) 、(5) 、(6) 、(7) 、(8) 、(9) 款：</w:t>
      </w:r>
    </w:p>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土石方</w:t>
      </w:r>
    </w:p>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在公路路基范围以内，除结构物基础开挖以外的所有土石方开挖作业定义为挖土石方。</w:t>
      </w:r>
    </w:p>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弃 方</w:t>
      </w:r>
    </w:p>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39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非适用材料(包括场地清理的淤泥、腐植土、高液限土、生活垃圾和建筑垃圾) 或保证路基及其 它工程利用填筑之后剩余的并经监理人批准可弃的材料，且必须清运到公路用地以外的挖方为弃方。</w:t>
      </w:r>
    </w:p>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利用方</w:t>
      </w:r>
    </w:p>
    <w:p>
      <w:pPr>
        <w:keepNext w:val="0"/>
        <w:keepLines w:val="0"/>
        <w:pageBreakBefore w:val="0"/>
        <w:widowControl/>
        <w:kinsoku w:val="0"/>
        <w:wordWrap/>
        <w:overflowPunct/>
        <w:topLinePunct w:val="0"/>
        <w:autoSpaceDE w:val="0"/>
        <w:autoSpaceDN w:val="0"/>
        <w:bidi w:val="0"/>
        <w:adjustRightInd w:val="0"/>
        <w:snapToGrid w:val="0"/>
        <w:spacing w:line="320" w:lineRule="exact"/>
        <w:ind w:right="0" w:firstLine="420" w:firstLineChars="200"/>
        <w:textAlignment w:val="baseline"/>
        <w:rPr>
          <w:rFonts w:hint="eastAsia" w:ascii="宋体" w:hAnsi="宋体" w:eastAsia="宋体" w:cs="宋体"/>
          <w:color w:val="auto"/>
          <w:spacing w:val="0"/>
          <w:position w:val="0"/>
          <w:sz w:val="21"/>
          <w:szCs w:val="21"/>
          <w:highlight w:val="none"/>
          <w:lang w:eastAsia="zh-CN"/>
        </w:rPr>
      </w:pPr>
      <w:r>
        <w:rPr>
          <w:rFonts w:hint="eastAsia" w:ascii="宋体" w:hAnsi="宋体" w:eastAsia="宋体" w:cs="宋体"/>
          <w:color w:val="auto"/>
          <w:spacing w:val="0"/>
          <w:position w:val="0"/>
          <w:sz w:val="21"/>
          <w:szCs w:val="21"/>
          <w:highlight w:val="none"/>
        </w:rPr>
        <w:t>根据设计要求或监理人指示，路基挖方中的适用材料，用来填筑路基或其它填筑工程的为利用方</w:t>
      </w:r>
      <w:r>
        <w:rPr>
          <w:rFonts w:hint="eastAsia" w:ascii="宋体" w:hAnsi="宋体" w:eastAsia="宋体" w:cs="宋体"/>
          <w:color w:val="auto"/>
          <w:spacing w:val="0"/>
          <w:position w:val="0"/>
          <w:sz w:val="21"/>
          <w:szCs w:val="21"/>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借 方</w:t>
      </w:r>
    </w:p>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39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根据设计要求或监理人的批准，从公路用地范围外的借土场取得的适用材料，用来填筑路基或其 它填筑工程的为借方。</w:t>
      </w:r>
    </w:p>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 土石混合料</w:t>
      </w:r>
    </w:p>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39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用于填方路基，是经开采 (或利用)的，粒径大于 37.5mm 的石块含量大于 30％的土石混合料； 石块的最大粒径要求：路基顶面以下30cm 范围内，最大粒径不大于 50mm；30~ 150cm 范围内，不大 于 150mm；150cm 以下，不大于层厚的 2/3。</w:t>
      </w:r>
    </w:p>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 透水性材料，主要为级配良好的砂砾、碎石和清宕渣等，其主要物性指标符合表 201-3 的要求。</w:t>
      </w:r>
    </w:p>
    <w:p>
      <w:pPr>
        <w:keepNext w:val="0"/>
        <w:keepLines w:val="0"/>
        <w:pageBreakBefore w:val="0"/>
        <w:widowControl/>
        <w:kinsoku w:val="0"/>
        <w:wordWrap/>
        <w:overflowPunct/>
        <w:topLinePunct w:val="0"/>
        <w:autoSpaceDE w:val="0"/>
        <w:autoSpaceDN w:val="0"/>
        <w:bidi w:val="0"/>
        <w:adjustRightInd w:val="0"/>
        <w:snapToGrid w:val="0"/>
        <w:spacing w:before="209" w:line="320" w:lineRule="exact"/>
        <w:ind w:left="339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透水性材料物理力学指标表</w:t>
      </w:r>
    </w:p>
    <w:p>
      <w:pPr>
        <w:keepNext w:val="0"/>
        <w:keepLines w:val="0"/>
        <w:pageBreakBefore w:val="0"/>
        <w:widowControl/>
        <w:kinsoku w:val="0"/>
        <w:wordWrap/>
        <w:overflowPunct/>
        <w:topLinePunct w:val="0"/>
        <w:autoSpaceDE w:val="0"/>
        <w:autoSpaceDN w:val="0"/>
        <w:bidi w:val="0"/>
        <w:adjustRightInd w:val="0"/>
        <w:snapToGrid w:val="0"/>
        <w:spacing w:before="8" w:line="320" w:lineRule="exact"/>
        <w:ind w:left="8044"/>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表 201-3</w:t>
      </w:r>
    </w:p>
    <w:tbl>
      <w:tblPr>
        <w:tblStyle w:val="26"/>
        <w:tblW w:w="9277"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76"/>
        <w:gridCol w:w="3412"/>
        <w:gridCol w:w="2262"/>
        <w:gridCol w:w="242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1176" w:type="dxa"/>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200" w:line="320" w:lineRule="exact"/>
              <w:ind w:left="29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项   次</w:t>
            </w:r>
          </w:p>
        </w:tc>
        <w:tc>
          <w:tcPr>
            <w:tcW w:w="3412" w:type="dxa"/>
            <w:vAlign w:val="top"/>
          </w:tcPr>
          <w:p>
            <w:pPr>
              <w:keepNext w:val="0"/>
              <w:keepLines w:val="0"/>
              <w:pageBreakBefore w:val="0"/>
              <w:widowControl/>
              <w:kinsoku w:val="0"/>
              <w:wordWrap/>
              <w:overflowPunct/>
              <w:topLinePunct w:val="0"/>
              <w:autoSpaceDE w:val="0"/>
              <w:autoSpaceDN w:val="0"/>
              <w:bidi w:val="0"/>
              <w:adjustRightInd w:val="0"/>
              <w:snapToGrid w:val="0"/>
              <w:spacing w:before="200" w:line="320" w:lineRule="exact"/>
              <w:ind w:left="147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项   目</w:t>
            </w:r>
          </w:p>
        </w:tc>
        <w:tc>
          <w:tcPr>
            <w:tcW w:w="2262" w:type="dxa"/>
            <w:vAlign w:val="top"/>
          </w:tcPr>
          <w:p>
            <w:pPr>
              <w:keepNext w:val="0"/>
              <w:keepLines w:val="0"/>
              <w:pageBreakBefore w:val="0"/>
              <w:widowControl/>
              <w:kinsoku w:val="0"/>
              <w:wordWrap/>
              <w:overflowPunct/>
              <w:topLinePunct w:val="0"/>
              <w:autoSpaceDE w:val="0"/>
              <w:autoSpaceDN w:val="0"/>
              <w:bidi w:val="0"/>
              <w:adjustRightInd w:val="0"/>
              <w:snapToGrid w:val="0"/>
              <w:spacing w:before="200" w:line="320" w:lineRule="exact"/>
              <w:ind w:left="82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上路床</w:t>
            </w:r>
          </w:p>
        </w:tc>
        <w:tc>
          <w:tcPr>
            <w:tcW w:w="2427" w:type="dxa"/>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99" w:line="320" w:lineRule="exact"/>
              <w:ind w:left="79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其他部位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176" w:type="dxa"/>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212" w:line="320" w:lineRule="exact"/>
              <w:ind w:left="625"/>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w:t>
            </w:r>
          </w:p>
        </w:tc>
        <w:tc>
          <w:tcPr>
            <w:tcW w:w="3412" w:type="dxa"/>
            <w:vAlign w:val="top"/>
          </w:tcPr>
          <w:p>
            <w:pPr>
              <w:keepNext w:val="0"/>
              <w:keepLines w:val="0"/>
              <w:pageBreakBefore w:val="0"/>
              <w:widowControl/>
              <w:kinsoku w:val="0"/>
              <w:wordWrap/>
              <w:overflowPunct/>
              <w:topLinePunct w:val="0"/>
              <w:autoSpaceDE w:val="0"/>
              <w:autoSpaceDN w:val="0"/>
              <w:bidi w:val="0"/>
              <w:adjustRightInd w:val="0"/>
              <w:snapToGrid w:val="0"/>
              <w:spacing w:before="160" w:line="320" w:lineRule="exact"/>
              <w:ind w:left="152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液  限</w:t>
            </w:r>
          </w:p>
        </w:tc>
        <w:tc>
          <w:tcPr>
            <w:tcW w:w="2262" w:type="dxa"/>
            <w:vAlign w:val="top"/>
          </w:tcPr>
          <w:p>
            <w:pPr>
              <w:keepNext w:val="0"/>
              <w:keepLines w:val="0"/>
              <w:pageBreakBefore w:val="0"/>
              <w:widowControl/>
              <w:kinsoku w:val="0"/>
              <w:wordWrap/>
              <w:overflowPunct/>
              <w:topLinePunct w:val="0"/>
              <w:autoSpaceDE w:val="0"/>
              <w:autoSpaceDN w:val="0"/>
              <w:bidi w:val="0"/>
              <w:adjustRightInd w:val="0"/>
              <w:snapToGrid w:val="0"/>
              <w:spacing w:before="160" w:line="320" w:lineRule="exact"/>
              <w:ind w:left="858"/>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＜28%</w:t>
            </w:r>
          </w:p>
        </w:tc>
        <w:tc>
          <w:tcPr>
            <w:tcW w:w="2427" w:type="dxa"/>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60" w:line="320" w:lineRule="exact"/>
              <w:ind w:left="93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176" w:type="dxa"/>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213" w:line="320" w:lineRule="exact"/>
              <w:ind w:left="605"/>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w:t>
            </w:r>
          </w:p>
        </w:tc>
        <w:tc>
          <w:tcPr>
            <w:tcW w:w="3412" w:type="dxa"/>
            <w:vAlign w:val="top"/>
          </w:tcPr>
          <w:p>
            <w:pPr>
              <w:keepNext w:val="0"/>
              <w:keepLines w:val="0"/>
              <w:pageBreakBefore w:val="0"/>
              <w:widowControl/>
              <w:kinsoku w:val="0"/>
              <w:wordWrap/>
              <w:overflowPunct/>
              <w:topLinePunct w:val="0"/>
              <w:autoSpaceDE w:val="0"/>
              <w:autoSpaceDN w:val="0"/>
              <w:bidi w:val="0"/>
              <w:adjustRightInd w:val="0"/>
              <w:snapToGrid w:val="0"/>
              <w:spacing w:before="158" w:line="320" w:lineRule="exact"/>
              <w:ind w:left="141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塑性指数</w:t>
            </w:r>
          </w:p>
        </w:tc>
        <w:tc>
          <w:tcPr>
            <w:tcW w:w="2262" w:type="dxa"/>
            <w:vAlign w:val="top"/>
          </w:tcPr>
          <w:p>
            <w:pPr>
              <w:keepNext w:val="0"/>
              <w:keepLines w:val="0"/>
              <w:pageBreakBefore w:val="0"/>
              <w:widowControl/>
              <w:kinsoku w:val="0"/>
              <w:wordWrap/>
              <w:overflowPunct/>
              <w:topLinePunct w:val="0"/>
              <w:autoSpaceDE w:val="0"/>
              <w:autoSpaceDN w:val="0"/>
              <w:bidi w:val="0"/>
              <w:adjustRightInd w:val="0"/>
              <w:snapToGrid w:val="0"/>
              <w:spacing w:before="158" w:line="320" w:lineRule="exact"/>
              <w:ind w:left="90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＜9%</w:t>
            </w:r>
          </w:p>
        </w:tc>
        <w:tc>
          <w:tcPr>
            <w:tcW w:w="2427" w:type="dxa"/>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58" w:line="320" w:lineRule="exact"/>
              <w:ind w:left="93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176" w:type="dxa"/>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211" w:line="320" w:lineRule="exact"/>
              <w:ind w:left="60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w:t>
            </w:r>
          </w:p>
        </w:tc>
        <w:tc>
          <w:tcPr>
            <w:tcW w:w="3412" w:type="dxa"/>
            <w:vAlign w:val="top"/>
          </w:tcPr>
          <w:p>
            <w:pPr>
              <w:keepNext w:val="0"/>
              <w:keepLines w:val="0"/>
              <w:pageBreakBefore w:val="0"/>
              <w:widowControl/>
              <w:kinsoku w:val="0"/>
              <w:wordWrap/>
              <w:overflowPunct/>
              <w:topLinePunct w:val="0"/>
              <w:autoSpaceDE w:val="0"/>
              <w:autoSpaceDN w:val="0"/>
              <w:bidi w:val="0"/>
              <w:adjustRightInd w:val="0"/>
              <w:snapToGrid w:val="0"/>
              <w:spacing w:before="158" w:line="320" w:lineRule="exact"/>
              <w:ind w:left="1312"/>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最小干容重</w:t>
            </w:r>
          </w:p>
        </w:tc>
        <w:tc>
          <w:tcPr>
            <w:tcW w:w="2262" w:type="dxa"/>
            <w:vAlign w:val="top"/>
          </w:tcPr>
          <w:p>
            <w:pPr>
              <w:keepNext w:val="0"/>
              <w:keepLines w:val="0"/>
              <w:pageBreakBefore w:val="0"/>
              <w:widowControl/>
              <w:kinsoku w:val="0"/>
              <w:wordWrap/>
              <w:overflowPunct/>
              <w:topLinePunct w:val="0"/>
              <w:autoSpaceDE w:val="0"/>
              <w:autoSpaceDN w:val="0"/>
              <w:bidi w:val="0"/>
              <w:adjustRightInd w:val="0"/>
              <w:snapToGrid w:val="0"/>
              <w:spacing w:before="158" w:line="320" w:lineRule="exact"/>
              <w:ind w:left="922"/>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＞1.9</w:t>
            </w:r>
          </w:p>
        </w:tc>
        <w:tc>
          <w:tcPr>
            <w:tcW w:w="2427" w:type="dxa"/>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58" w:line="320" w:lineRule="exact"/>
              <w:ind w:left="1002"/>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2" w:hRule="atLeast"/>
        </w:trPr>
        <w:tc>
          <w:tcPr>
            <w:tcW w:w="1176" w:type="dxa"/>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212" w:line="320" w:lineRule="exact"/>
              <w:ind w:left="604"/>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w:t>
            </w:r>
          </w:p>
        </w:tc>
        <w:tc>
          <w:tcPr>
            <w:tcW w:w="3412" w:type="dxa"/>
            <w:vAlign w:val="top"/>
          </w:tcPr>
          <w:p>
            <w:pPr>
              <w:keepNext w:val="0"/>
              <w:keepLines w:val="0"/>
              <w:pageBreakBefore w:val="0"/>
              <w:widowControl/>
              <w:kinsoku w:val="0"/>
              <w:wordWrap/>
              <w:overflowPunct/>
              <w:topLinePunct w:val="0"/>
              <w:autoSpaceDE w:val="0"/>
              <w:autoSpaceDN w:val="0"/>
              <w:bidi w:val="0"/>
              <w:adjustRightInd w:val="0"/>
              <w:snapToGrid w:val="0"/>
              <w:spacing w:before="128" w:line="320" w:lineRule="exact"/>
              <w:ind w:left="105"/>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含泥量 (即＞0.075mm 颗粒含量)</w:t>
            </w:r>
          </w:p>
        </w:tc>
        <w:tc>
          <w:tcPr>
            <w:tcW w:w="2262" w:type="dxa"/>
            <w:vAlign w:val="top"/>
          </w:tcPr>
          <w:p>
            <w:pPr>
              <w:keepNext w:val="0"/>
              <w:keepLines w:val="0"/>
              <w:pageBreakBefore w:val="0"/>
              <w:widowControl/>
              <w:kinsoku w:val="0"/>
              <w:wordWrap/>
              <w:overflowPunct/>
              <w:topLinePunct w:val="0"/>
              <w:autoSpaceDE w:val="0"/>
              <w:autoSpaceDN w:val="0"/>
              <w:bidi w:val="0"/>
              <w:adjustRightInd w:val="0"/>
              <w:snapToGrid w:val="0"/>
              <w:spacing w:before="159" w:line="320" w:lineRule="exact"/>
              <w:ind w:left="402"/>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  (＞95%)</w:t>
            </w:r>
          </w:p>
        </w:tc>
        <w:tc>
          <w:tcPr>
            <w:tcW w:w="2427" w:type="dxa"/>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59" w:line="320" w:lineRule="exact"/>
              <w:ind w:left="43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＜10%  (＞90%)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1176" w:type="dxa"/>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218" w:line="320" w:lineRule="exact"/>
              <w:ind w:left="61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w:t>
            </w:r>
          </w:p>
        </w:tc>
        <w:tc>
          <w:tcPr>
            <w:tcW w:w="3412" w:type="dxa"/>
            <w:vAlign w:val="top"/>
          </w:tcPr>
          <w:p>
            <w:pPr>
              <w:keepNext w:val="0"/>
              <w:keepLines w:val="0"/>
              <w:pageBreakBefore w:val="0"/>
              <w:widowControl/>
              <w:kinsoku w:val="0"/>
              <w:wordWrap/>
              <w:overflowPunct/>
              <w:topLinePunct w:val="0"/>
              <w:autoSpaceDE w:val="0"/>
              <w:autoSpaceDN w:val="0"/>
              <w:bidi w:val="0"/>
              <w:adjustRightInd w:val="0"/>
              <w:snapToGrid w:val="0"/>
              <w:spacing w:before="163" w:line="320" w:lineRule="exact"/>
              <w:ind w:left="104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最大粒径 (mm )</w:t>
            </w:r>
          </w:p>
        </w:tc>
        <w:tc>
          <w:tcPr>
            <w:tcW w:w="2262" w:type="dxa"/>
            <w:vAlign w:val="top"/>
          </w:tcPr>
          <w:p>
            <w:pPr>
              <w:keepNext w:val="0"/>
              <w:keepLines w:val="0"/>
              <w:pageBreakBefore w:val="0"/>
              <w:widowControl/>
              <w:kinsoku w:val="0"/>
              <w:wordWrap/>
              <w:overflowPunct/>
              <w:topLinePunct w:val="0"/>
              <w:autoSpaceDE w:val="0"/>
              <w:autoSpaceDN w:val="0"/>
              <w:bidi w:val="0"/>
              <w:adjustRightInd w:val="0"/>
              <w:snapToGrid w:val="0"/>
              <w:spacing w:before="146" w:line="320" w:lineRule="exact"/>
              <w:ind w:left="972"/>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≤50</w:t>
            </w:r>
          </w:p>
        </w:tc>
        <w:tc>
          <w:tcPr>
            <w:tcW w:w="2427" w:type="dxa"/>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46" w:line="320" w:lineRule="exact"/>
              <w:ind w:left="99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100</w:t>
            </w:r>
          </w:p>
        </w:tc>
      </w:tr>
    </w:tbl>
    <w:p>
      <w:pPr>
        <w:keepNext w:val="0"/>
        <w:keepLines w:val="0"/>
        <w:pageBreakBefore w:val="0"/>
        <w:widowControl/>
        <w:kinsoku w:val="0"/>
        <w:wordWrap/>
        <w:overflowPunct/>
        <w:topLinePunct w:val="0"/>
        <w:autoSpaceDE w:val="0"/>
        <w:autoSpaceDN w:val="0"/>
        <w:bidi w:val="0"/>
        <w:adjustRightInd w:val="0"/>
        <w:snapToGrid w:val="0"/>
        <w:spacing w:before="32" w:line="320" w:lineRule="exact"/>
        <w:ind w:left="47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 素土</w:t>
      </w:r>
    </w:p>
    <w:p>
      <w:pPr>
        <w:keepNext w:val="0"/>
        <w:keepLines w:val="0"/>
        <w:pageBreakBefore w:val="0"/>
        <w:widowControl/>
        <w:kinsoku w:val="0"/>
        <w:wordWrap/>
        <w:overflowPunct/>
        <w:topLinePunct w:val="0"/>
        <w:autoSpaceDE w:val="0"/>
        <w:autoSpaceDN w:val="0"/>
        <w:bidi w:val="0"/>
        <w:adjustRightInd w:val="0"/>
        <w:snapToGrid w:val="0"/>
        <w:spacing w:before="161" w:line="320" w:lineRule="exact"/>
        <w:ind w:firstLine="420" w:firstLineChars="200"/>
        <w:textAlignment w:val="baseline"/>
        <w:rPr>
          <w:rFonts w:hint="eastAsia" w:ascii="宋体" w:hAnsi="宋体" w:eastAsia="宋体" w:cs="宋体"/>
          <w:color w:val="auto"/>
          <w:spacing w:val="0"/>
          <w:position w:val="0"/>
          <w:sz w:val="21"/>
          <w:szCs w:val="21"/>
          <w:highlight w:val="none"/>
          <w:lang w:val="en-US" w:eastAsia="zh-CN"/>
        </w:rPr>
      </w:pPr>
      <w:r>
        <w:rPr>
          <w:rFonts w:hint="eastAsia" w:ascii="宋体" w:hAnsi="宋体" w:eastAsia="宋体" w:cs="宋体"/>
          <w:color w:val="auto"/>
          <w:spacing w:val="0"/>
          <w:position w:val="0"/>
          <w:sz w:val="21"/>
          <w:szCs w:val="21"/>
          <w:highlight w:val="none"/>
        </w:rPr>
        <w:t>素土指液限小于 50</w:t>
      </w:r>
      <w:r>
        <w:rPr>
          <w:rFonts w:hint="eastAsia" w:ascii="宋体" w:hAnsi="宋体" w:eastAsia="宋体" w:cs="宋体"/>
          <w:color w:val="auto"/>
          <w:spacing w:val="0"/>
          <w:position w:val="0"/>
          <w:sz w:val="21"/>
          <w:szCs w:val="21"/>
          <w:highlight w:val="none"/>
          <w:lang w:val="en-US" w:eastAsia="zh-CN"/>
        </w:rPr>
        <w:t xml:space="preserve"> </w:t>
      </w:r>
      <w:r>
        <w:rPr>
          <w:rFonts w:hint="eastAsia" w:ascii="宋体" w:hAnsi="宋体" w:eastAsia="宋体" w:cs="宋体"/>
          <w:color w:val="auto"/>
          <w:spacing w:val="0"/>
          <w:position w:val="0"/>
          <w:sz w:val="21"/>
          <w:szCs w:val="21"/>
          <w:highlight w:val="none"/>
        </w:rPr>
        <w:t>% 、塑性指数小于 26 的天然土，要求有机质含量小于 5%，粒径大于 10mm 的颗粒含量不超过全重的 10% 。不得采用地表耕植土、淤泥及淤泥质土、杂填土直接作为素土使用</w:t>
      </w:r>
      <w:r>
        <w:rPr>
          <w:rFonts w:hint="eastAsia" w:ascii="宋体" w:hAnsi="宋体" w:eastAsia="宋体" w:cs="宋体"/>
          <w:color w:val="auto"/>
          <w:spacing w:val="0"/>
          <w:position w:val="0"/>
          <w:sz w:val="21"/>
          <w:szCs w:val="21"/>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before="130" w:line="320" w:lineRule="exact"/>
        <w:ind w:left="462"/>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(8)清宕渣</w:t>
      </w:r>
    </w:p>
    <w:p>
      <w:pPr>
        <w:keepNext w:val="0"/>
        <w:keepLines w:val="0"/>
        <w:pageBreakBefore w:val="0"/>
        <w:widowControl/>
        <w:kinsoku w:val="0"/>
        <w:wordWrap/>
        <w:overflowPunct/>
        <w:topLinePunct w:val="0"/>
        <w:autoSpaceDE w:val="0"/>
        <w:autoSpaceDN w:val="0"/>
        <w:bidi w:val="0"/>
        <w:adjustRightInd w:val="0"/>
        <w:snapToGrid w:val="0"/>
        <w:spacing w:line="340" w:lineRule="exact"/>
        <w:textAlignment w:val="baseline"/>
        <w:rPr>
          <w:rFonts w:hint="eastAsia" w:ascii="宋体" w:hAnsi="宋体" w:eastAsia="宋体" w:cs="宋体"/>
          <w:color w:val="auto"/>
          <w:spacing w:val="0"/>
          <w:position w:val="0"/>
          <w:sz w:val="21"/>
          <w:szCs w:val="21"/>
          <w:highlight w:val="none"/>
        </w:rPr>
        <w:sectPr>
          <w:pgSz w:w="11900" w:h="16840"/>
          <w:pgMar w:top="1160" w:right="1280" w:bottom="1448" w:left="1303" w:header="883" w:footer="1234"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主要用于低填浅挖及养殖塘段换填处理，均采用渗水性良好的清宕渣。用于换填及路基填筑的清宕渣，粒径不大于10cm, 含泥量应不大于8%,石料抗压强度不小于30Mpa ，其余技术指标符合图纸要求。</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(9)级配碎石</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主要用于桥梁台背软土路基填筑、箱涵基底换填材料，最大粒径 53mm，级配应符合图纸要求</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 xml:space="preserve"> </w:t>
      </w:r>
    </w:p>
    <w:p>
      <w:pPr>
        <w:keepNext w:val="0"/>
        <w:keepLines w:val="0"/>
        <w:pageBreakBefore w:val="0"/>
        <w:widowControl/>
        <w:kinsoku w:val="0"/>
        <w:wordWrap/>
        <w:overflowPunct/>
        <w:topLinePunct w:val="0"/>
        <w:autoSpaceDE w:val="0"/>
        <w:autoSpaceDN w:val="0"/>
        <w:bidi w:val="0"/>
        <w:adjustRightInd w:val="0"/>
        <w:snapToGrid w:val="0"/>
        <w:spacing w:line="380" w:lineRule="exact"/>
        <w:ind w:right="0"/>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201.03  一般要求</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4 条：</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小型预制构件</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小型预制构件施工应符合《公路工程小型预制构件施工技术规范》要求。</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jc w:val="center"/>
        <w:textAlignment w:val="baseline"/>
        <w:rPr>
          <w:rFonts w:hint="eastAsia" w:ascii="宋体" w:hAnsi="宋体" w:eastAsia="宋体" w:cs="宋体"/>
          <w:color w:val="auto"/>
          <w:spacing w:val="0"/>
          <w:position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101" w:line="380" w:lineRule="exact"/>
        <w:ind w:left="3095"/>
        <w:textAlignment w:val="baseline"/>
        <w:outlineLvl w:val="1"/>
        <w:rPr>
          <w:rFonts w:hint="eastAsia" w:ascii="宋体" w:hAnsi="宋体" w:eastAsia="宋体" w:cs="宋体"/>
          <w:b/>
          <w:bCs/>
          <w:color w:val="auto"/>
          <w:spacing w:val="0"/>
          <w:position w:val="0"/>
          <w:sz w:val="31"/>
          <w:szCs w:val="31"/>
          <w:highlight w:val="none"/>
        </w:rPr>
      </w:pPr>
      <w:bookmarkStart w:id="649" w:name="_Toc30975"/>
      <w:r>
        <w:rPr>
          <w:rFonts w:hint="eastAsia" w:ascii="宋体" w:hAnsi="宋体" w:eastAsia="宋体" w:cs="宋体"/>
          <w:b/>
          <w:bCs/>
          <w:color w:val="auto"/>
          <w:spacing w:val="0"/>
          <w:position w:val="0"/>
          <w:sz w:val="31"/>
          <w:szCs w:val="31"/>
          <w:highlight w:val="none"/>
        </w:rPr>
        <w:t>第 203 节  挖方路基</w:t>
      </w:r>
      <w:bookmarkEnd w:id="649"/>
    </w:p>
    <w:p>
      <w:pPr>
        <w:keepNext w:val="0"/>
        <w:keepLines w:val="0"/>
        <w:pageBreakBefore w:val="0"/>
        <w:widowControl/>
        <w:kinsoku w:val="0"/>
        <w:wordWrap/>
        <w:overflowPunct/>
        <w:topLinePunct w:val="0"/>
        <w:autoSpaceDE w:val="0"/>
        <w:autoSpaceDN w:val="0"/>
        <w:bidi w:val="0"/>
        <w:adjustRightInd w:val="0"/>
        <w:snapToGrid w:val="0"/>
        <w:spacing w:line="380" w:lineRule="exact"/>
        <w:ind w:right="0"/>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203.03  施工要求</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7 条：</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 ．深挖路堑 (含高边坡)的施工</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(1)深挖路堑(含高边坡)施工是路基工程中制约工期和存在边坡不稳定隐患的关键分项工程, 承</w:t>
      </w:r>
    </w:p>
    <w:p>
      <w:pPr>
        <w:keepNext w:val="0"/>
        <w:keepLines w:val="0"/>
        <w:pageBreakBefore w:val="0"/>
        <w:widowControl/>
        <w:kinsoku w:val="0"/>
        <w:wordWrap/>
        <w:overflowPunct/>
        <w:topLinePunct w:val="0"/>
        <w:autoSpaceDE w:val="0"/>
        <w:autoSpaceDN w:val="0"/>
        <w:bidi w:val="0"/>
        <w:adjustRightInd w:val="0"/>
        <w:snapToGrid w:val="0"/>
        <w:spacing w:line="380" w:lineRule="exact"/>
        <w:ind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包人必须高度重视。</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承包人在深挖路堑 (含高边坡)开工前至少 28d,  应根据路堑深度、长度、边坡高度、地形、地质、开挖断面、土方调配及弃方等情况，制订详细的施工作业计划报监理人批准，否则不得开挖。</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(3)开挖前,承包人应作好排水系统, 包括坡顶的截水沟及路堑两端的排水设施, 防止施工过程 中地表水对边坡的冲刷。</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路堑边坡 (含高边坡) 应严格按图纸施工, 若实际地质与设计有出入,  承包人应在确保边坡稳定的前提下, 及时提出坡率修改意见报监理审批。</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 路堑开挖应采用“横向分层、纵向分段，两端同步、阶梯掘进”的方式施工；运碴通道与掘 进工作面应妥善安排，做到运碴、排水、挖掘互不干扰，以确保开挖顺利进行。</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 石方路堑开挖, 应以小型及松动爆破为主,  严禁过量爆破,  特别对边坡开挖尽可能采用光面爆破, 使边坡符合设计要求, 开挖后边坡上不得留有松石、危石，凹凸尺寸不应大于 100mm ，否则应用人工修凿；边坡上每节的碎落台必须按设计图做足，修凿平整，以确保岩体稳定，外侧亏缺部分应用 30MPa 砼补足并锚固。</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(7)对风化破碎的岩体，为确保边坡稳定，宜采用预裂爆破，再用人工修凿，开挖后边坡防护 要及时跟上，避免岩体长期暴露而坍方。雨季暴露时间不宜大于1个月，其它季节不大于 2 个月。</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 石方路堑的路床顶面标高, 应符合图纸要求, 只可适当超挖,不准高出,以利路床顶面铺设 排水层, 适应路面内部排水需要。</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(9) 承包人要做好与路堑两端接头填土的衔接工作； 利用路堑挖方 (或利用方) 填筑，其粒径</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和填筑工艺应严格按 204.04 第 7 条规定实施， 以防止两端填土发生不均匀沉降。</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(10) 高路堑边坡应加强稳定性观测，确保高边坡施工稳定及运营安全。</w:t>
      </w:r>
    </w:p>
    <w:p>
      <w:pPr>
        <w:pStyle w:val="2"/>
        <w:rPr>
          <w:rFonts w:hint="eastAsia"/>
          <w:color w:val="auto"/>
          <w:highlight w:val="none"/>
        </w:rPr>
        <w:sectPr>
          <w:footerReference r:id="rId26" w:type="default"/>
          <w:pgSz w:w="11900" w:h="16840"/>
          <w:pgMar w:top="1160" w:right="1283" w:bottom="1448" w:left="1363" w:header="883" w:footer="1234"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pacing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101" w:line="400" w:lineRule="exact"/>
        <w:ind w:left="3095"/>
        <w:textAlignment w:val="baseline"/>
        <w:outlineLvl w:val="1"/>
        <w:rPr>
          <w:rFonts w:hint="eastAsia" w:ascii="宋体" w:hAnsi="宋体" w:eastAsia="宋体" w:cs="宋体"/>
          <w:b/>
          <w:bCs/>
          <w:color w:val="auto"/>
          <w:spacing w:val="0"/>
          <w:sz w:val="31"/>
          <w:szCs w:val="31"/>
          <w:highlight w:val="none"/>
        </w:rPr>
      </w:pPr>
      <w:bookmarkStart w:id="650" w:name="_bookmark161"/>
      <w:bookmarkEnd w:id="650"/>
      <w:bookmarkStart w:id="651" w:name="_bookmark162"/>
      <w:bookmarkEnd w:id="651"/>
      <w:bookmarkStart w:id="652" w:name="_bookmark163"/>
      <w:bookmarkEnd w:id="652"/>
      <w:bookmarkStart w:id="653" w:name="_Toc6321"/>
      <w:r>
        <w:rPr>
          <w:rFonts w:hint="eastAsia" w:ascii="宋体" w:hAnsi="宋体" w:eastAsia="宋体" w:cs="宋体"/>
          <w:b/>
          <w:bCs/>
          <w:color w:val="auto"/>
          <w:spacing w:val="0"/>
          <w:sz w:val="31"/>
          <w:szCs w:val="31"/>
          <w:highlight w:val="none"/>
        </w:rPr>
        <w:t>第 204 节  填方路基</w:t>
      </w:r>
      <w:bookmarkEnd w:id="653"/>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204.04  施工要求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补充第 11 条：</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11 、宕渣路基路堤</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(1) 填料最大粒径和最小强度(CBR)值必须满足设计规范及施工图纸的要求。 液限大于 50%，</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398"/>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塑性指数大于 26 的细粒土，不得直接作为路堤填料。泥炭、淤泥、有机质土等，不得直接用于 填筑路基。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 路基填筑前应对原地面土质进行碾压夯实，一般路基其压实度不应小于90%；并对坡度 1： 5 以上地基表层进行开挖台阶处理；路基填筑应严格控制填料的粒径、压实度和均匀性，对每一段路 基均须分层摊铺、分层均匀碾压。不同土质的填料应分层填筑，且应尽量减少层数，每种填料层总厚不得小于 500mm。</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05"/>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(3) 路堤填土宽度每侧应宽于路基设计宽度 30cm ，压实宽度不得小于设计宽度，最后削坡，以 保证修整路基边坡后的路堤边缘有足够的压实度，并及时进行边坡防护，以防雨水冲刷。</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05"/>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(4) 路基填筑时，应分层碾压，每层虚方厚度不大于 30cm ，桥涵、挡墙台后每层虚方厚度不大 于 20cm 厚度，每一水平层均应采用同类填料填筑；上路床填料中0.5~4cm 的颗粒应占到70%以上；涵顶填土 50cm 以内用静压，超过 50cm 后，才能用振动压路机在其上进行碾压。</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pacing w:val="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补充第 216 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pacing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101" w:line="400" w:lineRule="exact"/>
        <w:jc w:val="center"/>
        <w:textAlignment w:val="baseline"/>
        <w:outlineLvl w:val="1"/>
        <w:rPr>
          <w:rFonts w:hint="eastAsia" w:ascii="宋体" w:hAnsi="宋体" w:eastAsia="宋体" w:cs="宋体"/>
          <w:b/>
          <w:bCs/>
          <w:color w:val="auto"/>
          <w:spacing w:val="0"/>
          <w:sz w:val="31"/>
          <w:szCs w:val="31"/>
          <w:highlight w:val="none"/>
        </w:rPr>
      </w:pPr>
      <w:bookmarkStart w:id="654" w:name="_Toc24459"/>
      <w:r>
        <w:rPr>
          <w:rFonts w:hint="eastAsia" w:ascii="宋体" w:hAnsi="宋体" w:eastAsia="宋体" w:cs="宋体"/>
          <w:b/>
          <w:bCs/>
          <w:color w:val="auto"/>
          <w:spacing w:val="0"/>
          <w:sz w:val="31"/>
          <w:szCs w:val="31"/>
          <w:highlight w:val="none"/>
        </w:rPr>
        <w:t>第 216 节  路基不均匀沉降的防治</w:t>
      </w:r>
      <w:bookmarkEnd w:id="654"/>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pacing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216.01  基本要求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1. 路基不均匀沉降是路基施工中存在的通病，主要是由于填层过厚、粒径过大、基底 (软基) 处理不当、压实不足等原因引起，承包人对此必须予以高度重视。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 xml:space="preserve">2 </w:t>
      </w:r>
      <w:r>
        <w:rPr>
          <w:rFonts w:hint="eastAsia" w:ascii="宋体" w:hAnsi="宋体" w:eastAsia="宋体" w:cs="宋体"/>
          <w:color w:val="auto"/>
          <w:spacing w:val="0"/>
          <w:sz w:val="21"/>
          <w:szCs w:val="21"/>
          <w:highlight w:val="none"/>
          <w:lang w:val="en-US" w:eastAsia="zh-CN"/>
        </w:rPr>
        <w:t>.</w:t>
      </w:r>
      <w:r>
        <w:rPr>
          <w:rFonts w:hint="eastAsia" w:ascii="宋体" w:hAnsi="宋体" w:eastAsia="宋体" w:cs="宋体"/>
          <w:color w:val="auto"/>
          <w:spacing w:val="0"/>
          <w:sz w:val="21"/>
          <w:szCs w:val="21"/>
          <w:highlight w:val="none"/>
        </w:rPr>
        <w:t>承包人对标段内易产生不均匀沉降的路基，如横向半填半挖路段、纵向填挖交界路段、填河 (塘)路段及高填土路段等敏感路段的填筑, 必须摸清情况, 针对各路段不同类型, 按照设计要求,  提出切实可行的施工工艺和措施,  报经监理人审查批准后, 认真实施。</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3. 承包人应重视路基填料料源的选择和填筑材料的试验。路基填料的最小强度和最大粒径应符合本规范表 204- 1 要求。材料粒径必须在料场控制，严禁超粒径石块运到工地后再用人工解小。料源(借土场或利用方) 确定后, 应进行填方材料的试验, 并将试验结果报监理人批准。</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4" w:firstLineChars="200"/>
        <w:textAlignment w:val="baseline"/>
        <w:rPr>
          <w:rFonts w:hint="eastAsia" w:ascii="宋体" w:hAnsi="宋体" w:eastAsia="宋体" w:cs="宋体"/>
          <w:color w:val="auto"/>
          <w:spacing w:val="6"/>
          <w:highlight w:val="none"/>
        </w:rPr>
        <w:sectPr>
          <w:footerReference r:id="rId27" w:type="default"/>
          <w:pgSz w:w="11900" w:h="16840"/>
          <w:pgMar w:top="1160" w:right="1298" w:bottom="1448" w:left="1363" w:header="883" w:footer="1234"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340" w:lineRule="exact"/>
        <w:ind w:right="0"/>
        <w:textAlignment w:val="baseline"/>
        <w:rPr>
          <w:rFonts w:hint="eastAsia" w:ascii="宋体" w:hAnsi="宋体" w:eastAsia="宋体" w:cs="宋体"/>
          <w:color w:val="auto"/>
          <w:spacing w:val="6"/>
          <w:sz w:val="28"/>
          <w:szCs w:val="28"/>
          <w:highlight w:val="none"/>
        </w:rPr>
      </w:pPr>
      <w:r>
        <w:rPr>
          <w:rFonts w:hint="eastAsia" w:ascii="宋体" w:hAnsi="宋体" w:eastAsia="宋体" w:cs="宋体"/>
          <w:color w:val="auto"/>
          <w:spacing w:val="6"/>
          <w:sz w:val="28"/>
          <w:szCs w:val="28"/>
          <w:highlight w:val="none"/>
        </w:rPr>
        <w:t>216.02  施工要点</w:t>
      </w:r>
    </w:p>
    <w:p>
      <w:pPr>
        <w:keepNext w:val="0"/>
        <w:keepLines w:val="0"/>
        <w:pageBreakBefore w:val="0"/>
        <w:widowControl/>
        <w:kinsoku w:val="0"/>
        <w:wordWrap/>
        <w:overflowPunct/>
        <w:topLinePunct w:val="0"/>
        <w:autoSpaceDE w:val="0"/>
        <w:autoSpaceDN w:val="0"/>
        <w:bidi w:val="0"/>
        <w:adjustRightInd w:val="0"/>
        <w:snapToGrid w:val="0"/>
        <w:spacing w:line="34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承包人除严格按设计要求和本规范 204.04 小节施工要求进行路堤填筑外,  对下列不同类型路段的 路基填筑更应重视：</w:t>
      </w:r>
    </w:p>
    <w:p>
      <w:pPr>
        <w:keepNext w:val="0"/>
        <w:keepLines w:val="0"/>
        <w:pageBreakBefore w:val="0"/>
        <w:widowControl/>
        <w:kinsoku w:val="0"/>
        <w:wordWrap/>
        <w:overflowPunct/>
        <w:topLinePunct w:val="0"/>
        <w:autoSpaceDE w:val="0"/>
        <w:autoSpaceDN w:val="0"/>
        <w:bidi w:val="0"/>
        <w:adjustRightInd w:val="0"/>
        <w:snapToGrid w:val="0"/>
        <w:spacing w:line="34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1.水塘 (河)地段填方</w:t>
      </w:r>
    </w:p>
    <w:p>
      <w:pPr>
        <w:keepNext w:val="0"/>
        <w:keepLines w:val="0"/>
        <w:pageBreakBefore w:val="0"/>
        <w:widowControl/>
        <w:kinsoku w:val="0"/>
        <w:wordWrap/>
        <w:overflowPunct/>
        <w:topLinePunct w:val="0"/>
        <w:autoSpaceDE w:val="0"/>
        <w:autoSpaceDN w:val="0"/>
        <w:bidi w:val="0"/>
        <w:adjustRightInd w:val="0"/>
        <w:snapToGrid w:val="0"/>
        <w:spacing w:line="340" w:lineRule="exact"/>
        <w:ind w:left="0" w:right="0" w:firstLine="420" w:firstLineChars="200"/>
        <w:textAlignment w:val="baseline"/>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rPr>
        <w:t>(1)要重视水塘 (河)地段的路基填筑，避免因填筑不当，引起路基局部不均匀沉降而开裂沉陷</w:t>
      </w:r>
      <w:r>
        <w:rPr>
          <w:rFonts w:hint="eastAsia" w:ascii="宋体" w:hAnsi="宋体" w:eastAsia="宋体" w:cs="宋体"/>
          <w:color w:val="auto"/>
          <w:spacing w:val="0"/>
          <w:sz w:val="21"/>
          <w:szCs w:val="21"/>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4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 水塘 (河)地段填方施工宜在干燥和雨量较少的季节进行。</w:t>
      </w:r>
    </w:p>
    <w:p>
      <w:pPr>
        <w:keepNext w:val="0"/>
        <w:keepLines w:val="0"/>
        <w:pageBreakBefore w:val="0"/>
        <w:widowControl/>
        <w:kinsoku w:val="0"/>
        <w:wordWrap/>
        <w:overflowPunct/>
        <w:topLinePunct w:val="0"/>
        <w:autoSpaceDE w:val="0"/>
        <w:autoSpaceDN w:val="0"/>
        <w:bidi w:val="0"/>
        <w:adjustRightInd w:val="0"/>
        <w:snapToGrid w:val="0"/>
        <w:spacing w:line="34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(3) 承包人应按图纸或监理人的要求，围堰抽水，清除表层淤泥，并用渗水性良好的材料分层回填压实至常水位以上50cm，然后进行填塘 (河)部分路基的软基处理施工或正常的填筑 (不需进行软基处理)。围堰应至少高出最高水位 30cm, 不得有渗漏现象，同时要保证在整个施工期间处于完好状态。</w:t>
      </w:r>
    </w:p>
    <w:p>
      <w:pPr>
        <w:keepNext w:val="0"/>
        <w:keepLines w:val="0"/>
        <w:pageBreakBefore w:val="0"/>
        <w:widowControl/>
        <w:kinsoku w:val="0"/>
        <w:wordWrap/>
        <w:overflowPunct/>
        <w:topLinePunct w:val="0"/>
        <w:autoSpaceDE w:val="0"/>
        <w:autoSpaceDN w:val="0"/>
        <w:bidi w:val="0"/>
        <w:adjustRightInd w:val="0"/>
        <w:snapToGrid w:val="0"/>
        <w:spacing w:line="34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(4) 若设计采用抛石挤淤方法填筑河、塘时，抛石挤淤应按图纸或监理人的要求进行， 抛填应 从路堤中心成等腰三角形向前抛填，渐次向两侧对称地抛填至全宽，使淤泥向两侧挤出。当是单侧抛挤时，应从高侧向低侧抛投，并在低侧边部多抛填，使低侧边部有不少于2m 的平台顶面。抛石顶面一般需高于常水位 50cm并预留沉降，而后用较小石块和碎石填塞垫平，用重型压路机压实至稳定。</w:t>
      </w:r>
    </w:p>
    <w:p>
      <w:pPr>
        <w:keepNext w:val="0"/>
        <w:keepLines w:val="0"/>
        <w:pageBreakBefore w:val="0"/>
        <w:widowControl/>
        <w:kinsoku w:val="0"/>
        <w:wordWrap/>
        <w:overflowPunct/>
        <w:topLinePunct w:val="0"/>
        <w:autoSpaceDE w:val="0"/>
        <w:autoSpaceDN w:val="0"/>
        <w:bidi w:val="0"/>
        <w:adjustRightInd w:val="0"/>
        <w:snapToGrid w:val="0"/>
        <w:spacing w:line="34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(5) 当遇路基半侧在水塘 (河) 中情况时,  施工应注意拼填部位的填筑质量,  除需清除塘 (河)坎侧的树根杂草外, 还应将表面松土清除, 拼填时随填高要求挖出台阶, 分层压实至设计要求压实度。台阶处可用人工或机夯压实，以保证拼填部位密实稳固。</w:t>
      </w:r>
    </w:p>
    <w:p>
      <w:pPr>
        <w:keepNext w:val="0"/>
        <w:keepLines w:val="0"/>
        <w:pageBreakBefore w:val="0"/>
        <w:widowControl/>
        <w:kinsoku w:val="0"/>
        <w:wordWrap/>
        <w:overflowPunct/>
        <w:topLinePunct w:val="0"/>
        <w:autoSpaceDE w:val="0"/>
        <w:autoSpaceDN w:val="0"/>
        <w:bidi w:val="0"/>
        <w:adjustRightInd w:val="0"/>
        <w:snapToGrid w:val="0"/>
        <w:spacing w:line="34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(6) 沿河路基施工时,  原河道如需拼宽开挖及沿河侧路基防护等河道内作业, 必须在路堤填筑前先行完成, 严禁在路堤填筑期间抽干河中积水进行河道内作业。</w:t>
      </w:r>
    </w:p>
    <w:p>
      <w:pPr>
        <w:keepNext w:val="0"/>
        <w:keepLines w:val="0"/>
        <w:pageBreakBefore w:val="0"/>
        <w:widowControl/>
        <w:kinsoku w:val="0"/>
        <w:wordWrap/>
        <w:overflowPunct/>
        <w:topLinePunct w:val="0"/>
        <w:autoSpaceDE w:val="0"/>
        <w:autoSpaceDN w:val="0"/>
        <w:bidi w:val="0"/>
        <w:adjustRightInd w:val="0"/>
        <w:snapToGrid w:val="0"/>
        <w:spacing w:line="34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(7) 用土工合成材料加固的填河 (塘) 路段, 土工合成材料及铺设层位必须按图纸所指示的要求执行。土工合成材料必须横跨并超出河 (塘) 岸线铺设, 并满足图纸要求的最小锚固长度。</w:t>
      </w:r>
    </w:p>
    <w:p>
      <w:pPr>
        <w:keepNext w:val="0"/>
        <w:keepLines w:val="0"/>
        <w:pageBreakBefore w:val="0"/>
        <w:widowControl/>
        <w:kinsoku w:val="0"/>
        <w:wordWrap/>
        <w:overflowPunct/>
        <w:topLinePunct w:val="0"/>
        <w:autoSpaceDE w:val="0"/>
        <w:autoSpaceDN w:val="0"/>
        <w:bidi w:val="0"/>
        <w:adjustRightInd w:val="0"/>
        <w:snapToGrid w:val="0"/>
        <w:spacing w:line="34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(8) 承包人在水塘 (河)地段填筑时, 应及时设置水平位移和沉降观测标桩, 以便按规定时限进 行观测。观测断面的设置间距不大于50m。</w:t>
      </w:r>
    </w:p>
    <w:p>
      <w:pPr>
        <w:keepNext w:val="0"/>
        <w:keepLines w:val="0"/>
        <w:pageBreakBefore w:val="0"/>
        <w:widowControl/>
        <w:kinsoku w:val="0"/>
        <w:wordWrap/>
        <w:overflowPunct/>
        <w:topLinePunct w:val="0"/>
        <w:autoSpaceDE w:val="0"/>
        <w:autoSpaceDN w:val="0"/>
        <w:bidi w:val="0"/>
        <w:adjustRightInd w:val="0"/>
        <w:snapToGrid w:val="0"/>
        <w:spacing w:line="34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若路基只有一侧在水塘 (河) 中, 则沉降观测标桩应设置在左右路肩和路中心处。靠水塘 (河) 侧水平位移标设置于坡脚、护坡道外缘或监理人指定的位置，另一侧与正常路堤相同。</w:t>
      </w:r>
    </w:p>
    <w:p>
      <w:pPr>
        <w:keepNext w:val="0"/>
        <w:keepLines w:val="0"/>
        <w:pageBreakBefore w:val="0"/>
        <w:widowControl/>
        <w:kinsoku w:val="0"/>
        <w:wordWrap/>
        <w:overflowPunct/>
        <w:topLinePunct w:val="0"/>
        <w:autoSpaceDE w:val="0"/>
        <w:autoSpaceDN w:val="0"/>
        <w:bidi w:val="0"/>
        <w:adjustRightInd w:val="0"/>
        <w:snapToGrid w:val="0"/>
        <w:spacing w:line="34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  高填方路堤</w:t>
      </w:r>
    </w:p>
    <w:p>
      <w:pPr>
        <w:keepNext w:val="0"/>
        <w:keepLines w:val="0"/>
        <w:pageBreakBefore w:val="0"/>
        <w:widowControl/>
        <w:kinsoku w:val="0"/>
        <w:wordWrap/>
        <w:overflowPunct/>
        <w:topLinePunct w:val="0"/>
        <w:autoSpaceDE w:val="0"/>
        <w:autoSpaceDN w:val="0"/>
        <w:bidi w:val="0"/>
        <w:adjustRightInd w:val="0"/>
        <w:snapToGrid w:val="0"/>
        <w:spacing w:line="34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(1) 承包人要重视超过 5m 以上的高填土的填筑, 避免因填筑不当, 压实不足引起路基不均匀沉降而局部开裂、沉陷。要严格按照图纸的要求及本规范 204.04-6 条规定的填方路堤进行填筑。</w:t>
      </w:r>
    </w:p>
    <w:p>
      <w:pPr>
        <w:keepNext w:val="0"/>
        <w:keepLines w:val="0"/>
        <w:pageBreakBefore w:val="0"/>
        <w:widowControl/>
        <w:kinsoku w:val="0"/>
        <w:wordWrap/>
        <w:overflowPunct/>
        <w:topLinePunct w:val="0"/>
        <w:autoSpaceDE w:val="0"/>
        <w:autoSpaceDN w:val="0"/>
        <w:bidi w:val="0"/>
        <w:adjustRightInd w:val="0"/>
        <w:snapToGrid w:val="0"/>
        <w:spacing w:line="34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 高填土填筑除做好原地面的清理工作外，重点要抓住粒径、层厚和压实三个主要环节，要严格控制石料的最大粒径,石料的最大粒径在路堤 (路床底面 1.5m 以下) 不超过层厚的 2/3；应采取措施分层填筑，分层碾压，砂性土层厚不超过 30cm ，土石混合料层厚不超过 40cm ，宕渣层厚不超过 50cm。</w:t>
      </w:r>
    </w:p>
    <w:p>
      <w:pPr>
        <w:keepNext w:val="0"/>
        <w:keepLines w:val="0"/>
        <w:pageBreakBefore w:val="0"/>
        <w:widowControl/>
        <w:kinsoku w:val="0"/>
        <w:wordWrap/>
        <w:overflowPunct/>
        <w:topLinePunct w:val="0"/>
        <w:autoSpaceDE w:val="0"/>
        <w:autoSpaceDN w:val="0"/>
        <w:bidi w:val="0"/>
        <w:adjustRightInd w:val="0"/>
        <w:snapToGrid w:val="0"/>
        <w:spacing w:line="34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(3) 足够的碾压是消除路堤固结形变的最有效方法。高路堤的固结形变历时较长，在固结过程 中高路堤会产生不均匀沉陷，不均匀沉陷对路面是十分有害的。 如路堤土的密实度接近重型击实试验法的最大干密度，则路堤一般不再产生固结形变。因此提高压实能力，完善压实工艺，以高标准进行路基的压实是保证路基应有强度和稳定性的一项最经济有效的技术措施，承包人在高路堤填筑前，必须有详细的作业计划，报监理人批准后认真实施。</w:t>
      </w:r>
    </w:p>
    <w:p>
      <w:pPr>
        <w:keepNext w:val="0"/>
        <w:keepLines w:val="0"/>
        <w:pageBreakBefore w:val="0"/>
        <w:widowControl/>
        <w:kinsoku w:val="0"/>
        <w:wordWrap/>
        <w:overflowPunct/>
        <w:topLinePunct w:val="0"/>
        <w:autoSpaceDE w:val="0"/>
        <w:autoSpaceDN w:val="0"/>
        <w:bidi w:val="0"/>
        <w:adjustRightInd w:val="0"/>
        <w:snapToGrid w:val="0"/>
        <w:spacing w:before="1" w:line="340" w:lineRule="exact"/>
        <w:ind w:left="8" w:firstLine="403"/>
        <w:textAlignment w:val="baseline"/>
        <w:rPr>
          <w:rFonts w:hint="eastAsia" w:ascii="宋体" w:hAnsi="宋体" w:eastAsia="宋体" w:cs="宋体"/>
          <w:color w:val="auto"/>
          <w:highlight w:val="none"/>
        </w:rPr>
        <w:sectPr>
          <w:pgSz w:w="11900" w:h="16840"/>
          <w:pgMar w:top="1160" w:right="1300" w:bottom="1448" w:left="1363" w:header="883" w:footer="1234" w:gutter="0"/>
          <w:pgNumType w:fmt="decimal"/>
          <w:cols w:space="720" w:num="1"/>
        </w:sectPr>
      </w:pPr>
      <w:r>
        <w:rPr>
          <w:rFonts w:hint="eastAsia" w:ascii="宋体" w:hAnsi="宋体" w:eastAsia="宋体" w:cs="宋体"/>
          <w:color w:val="auto"/>
          <w:spacing w:val="0"/>
          <w:sz w:val="21"/>
          <w:szCs w:val="21"/>
          <w:highlight w:val="none"/>
        </w:rPr>
        <w:t>(4) 高填方的宕碴路堤，承包人应选择具有级配的宕渣料源，并根据气候条件组织填筑及碾压， 局部填层表面空隙较大地段，应用碎石、石屑、砂砾等材料填充，以增加路基的密实度和稳定性。</w:t>
      </w:r>
      <w:bookmarkStart w:id="655" w:name="_bookmark165"/>
      <w:bookmarkEnd w:id="655"/>
      <w:bookmarkStart w:id="656" w:name="_bookmark164"/>
      <w:bookmarkEnd w:id="656"/>
      <w:bookmarkStart w:id="657" w:name="_bookmark166"/>
      <w:bookmarkEnd w:id="657"/>
      <w:bookmarkStart w:id="658" w:name="_bookmark167"/>
      <w:bookmarkEnd w:id="658"/>
    </w:p>
    <w:p>
      <w:pPr>
        <w:keepNext w:val="0"/>
        <w:keepLines w:val="0"/>
        <w:pageBreakBefore w:val="0"/>
        <w:kinsoku w:val="0"/>
        <w:wordWrap/>
        <w:overflowPunct/>
        <w:topLinePunct w:val="0"/>
        <w:autoSpaceDE w:val="0"/>
        <w:autoSpaceDN w:val="0"/>
        <w:bidi w:val="0"/>
        <w:adjustRightInd w:val="0"/>
        <w:snapToGrid w:val="0"/>
        <w:spacing w:before="279" w:line="400" w:lineRule="exact"/>
        <w:jc w:val="center"/>
        <w:textAlignment w:val="baseline"/>
        <w:outlineLvl w:val="2"/>
        <w:rPr>
          <w:rFonts w:ascii="黑体" w:hAnsi="黑体" w:eastAsia="黑体" w:cs="黑体"/>
          <w:color w:val="auto"/>
          <w:sz w:val="43"/>
          <w:szCs w:val="43"/>
          <w:highlight w:val="none"/>
        </w:rPr>
      </w:pPr>
      <w:bookmarkStart w:id="659" w:name="_Toc11483"/>
      <w:r>
        <w:rPr>
          <w:rFonts w:ascii="黑体" w:hAnsi="黑体" w:eastAsia="黑体" w:cs="黑体"/>
          <w:color w:val="auto"/>
          <w:spacing w:val="-1"/>
          <w:sz w:val="43"/>
          <w:szCs w:val="43"/>
          <w:highlight w:val="none"/>
        </w:rPr>
        <w:t xml:space="preserve">第 </w:t>
      </w:r>
      <w:r>
        <w:rPr>
          <w:rFonts w:ascii="Times New Roman" w:hAnsi="Times New Roman" w:eastAsia="Times New Roman" w:cs="Times New Roman"/>
          <w:color w:val="auto"/>
          <w:spacing w:val="-1"/>
          <w:sz w:val="43"/>
          <w:szCs w:val="43"/>
          <w:highlight w:val="none"/>
        </w:rPr>
        <w:t xml:space="preserve">300 </w:t>
      </w:r>
      <w:r>
        <w:rPr>
          <w:rFonts w:ascii="黑体" w:hAnsi="黑体" w:eastAsia="黑体" w:cs="黑体"/>
          <w:color w:val="auto"/>
          <w:spacing w:val="-1"/>
          <w:sz w:val="43"/>
          <w:szCs w:val="43"/>
          <w:highlight w:val="none"/>
        </w:rPr>
        <w:t>章  路    面</w:t>
      </w:r>
      <w:bookmarkEnd w:id="659"/>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ascii="Arial"/>
          <w:color w:val="auto"/>
          <w:sz w:val="21"/>
          <w:highlight w:val="none"/>
        </w:rPr>
      </w:pPr>
    </w:p>
    <w:p>
      <w:pPr>
        <w:keepNext w:val="0"/>
        <w:keepLines w:val="0"/>
        <w:pageBreakBefore w:val="0"/>
        <w:kinsoku w:val="0"/>
        <w:wordWrap/>
        <w:overflowPunct/>
        <w:topLinePunct w:val="0"/>
        <w:autoSpaceDE w:val="0"/>
        <w:autoSpaceDN w:val="0"/>
        <w:bidi w:val="0"/>
        <w:adjustRightInd w:val="0"/>
        <w:snapToGrid w:val="0"/>
        <w:spacing w:before="101" w:line="400" w:lineRule="exact"/>
        <w:jc w:val="center"/>
        <w:textAlignment w:val="baseline"/>
        <w:outlineLvl w:val="1"/>
        <w:rPr>
          <w:rFonts w:ascii="宋体" w:hAnsi="宋体" w:eastAsia="宋体" w:cs="宋体"/>
          <w:b/>
          <w:bCs/>
          <w:color w:val="auto"/>
          <w:spacing w:val="6"/>
          <w:sz w:val="31"/>
          <w:szCs w:val="31"/>
          <w:highlight w:val="none"/>
        </w:rPr>
      </w:pPr>
      <w:bookmarkStart w:id="660" w:name="_bookmark168"/>
      <w:bookmarkEnd w:id="660"/>
      <w:bookmarkStart w:id="661" w:name="_Toc25669"/>
      <w:r>
        <w:rPr>
          <w:rFonts w:ascii="宋体" w:hAnsi="宋体" w:eastAsia="宋体" w:cs="宋体"/>
          <w:b/>
          <w:bCs/>
          <w:color w:val="auto"/>
          <w:spacing w:val="6"/>
          <w:sz w:val="31"/>
          <w:szCs w:val="31"/>
          <w:highlight w:val="none"/>
        </w:rPr>
        <w:t>第 301 节  通 则</w:t>
      </w:r>
      <w:bookmarkEnd w:id="661"/>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60" w:firstLineChars="200"/>
        <w:textAlignment w:val="baseline"/>
        <w:rPr>
          <w:rFonts w:ascii="黑体" w:hAnsi="黑体" w:eastAsia="黑体" w:cs="黑体"/>
          <w:color w:val="auto"/>
          <w:spacing w:val="0"/>
          <w:position w:val="0"/>
          <w:sz w:val="28"/>
          <w:szCs w:val="28"/>
          <w:highlight w:val="none"/>
        </w:rPr>
      </w:pPr>
      <w:r>
        <w:rPr>
          <w:rFonts w:ascii="Times New Roman" w:hAnsi="Times New Roman" w:eastAsia="Times New Roman" w:cs="Times New Roman"/>
          <w:color w:val="auto"/>
          <w:spacing w:val="0"/>
          <w:position w:val="0"/>
          <w:sz w:val="28"/>
          <w:szCs w:val="28"/>
          <w:highlight w:val="none"/>
        </w:rPr>
        <w:t xml:space="preserve">301.03  </w:t>
      </w:r>
      <w:r>
        <w:rPr>
          <w:rFonts w:ascii="黑体" w:hAnsi="黑体" w:eastAsia="黑体" w:cs="黑体"/>
          <w:color w:val="auto"/>
          <w:spacing w:val="0"/>
          <w:position w:val="0"/>
          <w:sz w:val="28"/>
          <w:szCs w:val="28"/>
          <w:highlight w:val="none"/>
        </w:rPr>
        <w:t>一般要求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6 条：</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 路面施工应符合《浙江省高速公路沥青路面规范化施工指南》要求。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ascii="Arial"/>
          <w:color w:val="auto"/>
          <w:spacing w:val="0"/>
          <w:position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ascii="Arial"/>
          <w:color w:val="auto"/>
          <w:spacing w:val="0"/>
          <w:position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101" w:line="400" w:lineRule="exact"/>
        <w:jc w:val="center"/>
        <w:textAlignment w:val="baseline"/>
        <w:outlineLvl w:val="1"/>
        <w:rPr>
          <w:rFonts w:ascii="宋体" w:hAnsi="宋体" w:eastAsia="宋体" w:cs="宋体"/>
          <w:b/>
          <w:bCs/>
          <w:color w:val="auto"/>
          <w:spacing w:val="0"/>
          <w:position w:val="0"/>
          <w:sz w:val="31"/>
          <w:szCs w:val="31"/>
          <w:highlight w:val="none"/>
        </w:rPr>
      </w:pPr>
      <w:bookmarkStart w:id="662" w:name="_Toc4391"/>
      <w:r>
        <w:rPr>
          <w:rFonts w:ascii="宋体" w:hAnsi="宋体" w:eastAsia="宋体" w:cs="宋体"/>
          <w:b/>
          <w:bCs/>
          <w:color w:val="auto"/>
          <w:spacing w:val="0"/>
          <w:position w:val="0"/>
          <w:sz w:val="31"/>
          <w:szCs w:val="31"/>
          <w:highlight w:val="none"/>
        </w:rPr>
        <w:t>第 304 节  水泥稳定土底基层、基层</w:t>
      </w:r>
      <w:bookmarkEnd w:id="662"/>
    </w:p>
    <w:p>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ascii="Arial"/>
          <w:color w:val="auto"/>
          <w:spacing w:val="0"/>
          <w:position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删除本节 304.01~304.05 小节内容修改为：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本项目水泥稳定碎石基层及底基层采用振动成型法施工。具体施工按照设计图纸及《公路水泥稳定碎石基层振动成型法施工技术规范》(DB 33/T 836-2011) 进行施工。</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ascii="Arial"/>
          <w:color w:val="auto"/>
          <w:spacing w:val="0"/>
          <w:position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ascii="Arial"/>
          <w:color w:val="auto"/>
          <w:spacing w:val="0"/>
          <w:position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101" w:line="400" w:lineRule="exact"/>
        <w:jc w:val="center"/>
        <w:textAlignment w:val="baseline"/>
        <w:outlineLvl w:val="1"/>
        <w:rPr>
          <w:rFonts w:ascii="宋体" w:hAnsi="宋体" w:eastAsia="宋体" w:cs="宋体"/>
          <w:b/>
          <w:bCs/>
          <w:color w:val="auto"/>
          <w:spacing w:val="0"/>
          <w:position w:val="0"/>
          <w:sz w:val="31"/>
          <w:szCs w:val="31"/>
          <w:highlight w:val="none"/>
        </w:rPr>
      </w:pPr>
      <w:bookmarkStart w:id="663" w:name="_Toc15761"/>
      <w:r>
        <w:rPr>
          <w:rFonts w:ascii="宋体" w:hAnsi="宋体" w:eastAsia="宋体" w:cs="宋体"/>
          <w:b/>
          <w:bCs/>
          <w:color w:val="auto"/>
          <w:spacing w:val="0"/>
          <w:position w:val="0"/>
          <w:sz w:val="31"/>
          <w:szCs w:val="31"/>
          <w:highlight w:val="none"/>
        </w:rPr>
        <w:t>第 311 节  改性沥青及改性沥青混合料</w:t>
      </w:r>
      <w:bookmarkEnd w:id="663"/>
    </w:p>
    <w:p>
      <w:pPr>
        <w:pStyle w:val="2"/>
        <w:keepNext w:val="0"/>
        <w:keepLines w:val="0"/>
        <w:pageBreakBefore w:val="0"/>
        <w:kinsoku w:val="0"/>
        <w:wordWrap/>
        <w:overflowPunct/>
        <w:topLinePunct w:val="0"/>
        <w:autoSpaceDE w:val="0"/>
        <w:autoSpaceDN w:val="0"/>
        <w:bidi w:val="0"/>
        <w:adjustRightInd w:val="0"/>
        <w:snapToGrid w:val="0"/>
        <w:spacing w:line="400" w:lineRule="exact"/>
        <w:textAlignment w:val="baseline"/>
        <w:rPr>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60" w:firstLineChars="200"/>
        <w:textAlignment w:val="baseline"/>
        <w:rPr>
          <w:rFonts w:ascii="黑体" w:hAnsi="黑体" w:eastAsia="黑体" w:cs="黑体"/>
          <w:color w:val="auto"/>
          <w:spacing w:val="0"/>
          <w:position w:val="0"/>
          <w:sz w:val="28"/>
          <w:szCs w:val="28"/>
          <w:highlight w:val="none"/>
        </w:rPr>
      </w:pPr>
      <w:r>
        <w:rPr>
          <w:rFonts w:ascii="Times New Roman" w:hAnsi="Times New Roman" w:eastAsia="Times New Roman" w:cs="Times New Roman"/>
          <w:color w:val="auto"/>
          <w:spacing w:val="0"/>
          <w:position w:val="0"/>
          <w:sz w:val="28"/>
          <w:szCs w:val="28"/>
          <w:highlight w:val="none"/>
        </w:rPr>
        <w:t xml:space="preserve">311.02  </w:t>
      </w:r>
      <w:r>
        <w:rPr>
          <w:rFonts w:ascii="黑体" w:hAnsi="黑体" w:eastAsia="黑体" w:cs="黑体"/>
          <w:color w:val="auto"/>
          <w:spacing w:val="0"/>
          <w:position w:val="0"/>
          <w:sz w:val="28"/>
          <w:szCs w:val="28"/>
          <w:highlight w:val="none"/>
        </w:rPr>
        <w:t>材料</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3.集料与填料</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(1)粗集料</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b 项修改为：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b.粗集料必须采用石质坚硬、洁净、干燥、无风化、无杂质、近正方体、有棱角优质石料颗粒， 必须严格限制集料的针片状颗粒含量， 并且具有足够的强度，足够的耐磨耗性和抗冲击性。</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(2)细集料</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a 项修改为：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a.沥青面层细集料采用坚硬、洁净、干燥、无风化、无杂质并有适当级配的人工轧制的细集料，不能采用石屑。其规格和质量要求，均应符合《公路沥青路面施工技术规范》(JTG F40-2004)第 4.9</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节的有关规定。</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(3)填料</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 c 项：</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c.拌和楼回收的粉料不得用于拌制沥青混合料， 以确保沥青面层的质量。</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44" w:firstLineChars="200"/>
        <w:textAlignment w:val="baseline"/>
        <w:rPr>
          <w:color w:val="auto"/>
          <w:spacing w:val="6"/>
          <w:highlight w:val="none"/>
        </w:rPr>
        <w:sectPr>
          <w:footerReference r:id="rId28" w:type="default"/>
          <w:pgSz w:w="11900" w:h="16840"/>
          <w:pgMar w:top="1160" w:right="1350" w:bottom="1448" w:left="1363" w:header="883" w:footer="1234"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before="101" w:line="400" w:lineRule="exact"/>
        <w:jc w:val="center"/>
        <w:textAlignment w:val="baseline"/>
        <w:outlineLvl w:val="1"/>
        <w:rPr>
          <w:rFonts w:ascii="宋体" w:hAnsi="宋体" w:eastAsia="宋体" w:cs="宋体"/>
          <w:b/>
          <w:bCs/>
          <w:color w:val="auto"/>
          <w:spacing w:val="0"/>
          <w:position w:val="0"/>
          <w:sz w:val="31"/>
          <w:szCs w:val="31"/>
          <w:highlight w:val="none"/>
        </w:rPr>
      </w:pPr>
      <w:bookmarkStart w:id="664" w:name="_bookmark169"/>
      <w:bookmarkEnd w:id="664"/>
      <w:bookmarkStart w:id="665" w:name="_Toc12394"/>
      <w:r>
        <w:rPr>
          <w:rFonts w:ascii="宋体" w:hAnsi="宋体" w:eastAsia="宋体" w:cs="宋体"/>
          <w:b/>
          <w:bCs/>
          <w:color w:val="auto"/>
          <w:spacing w:val="0"/>
          <w:position w:val="0"/>
          <w:sz w:val="31"/>
          <w:szCs w:val="31"/>
          <w:highlight w:val="none"/>
        </w:rPr>
        <w:t>第 314 节  路面及中央分隔带排水</w:t>
      </w:r>
      <w:bookmarkEnd w:id="665"/>
    </w:p>
    <w:p>
      <w:pPr>
        <w:pStyle w:val="2"/>
        <w:keepNext w:val="0"/>
        <w:keepLines w:val="0"/>
        <w:pageBreakBefore w:val="0"/>
        <w:kinsoku w:val="0"/>
        <w:wordWrap/>
        <w:overflowPunct/>
        <w:topLinePunct w:val="0"/>
        <w:autoSpaceDE w:val="0"/>
        <w:autoSpaceDN w:val="0"/>
        <w:bidi w:val="0"/>
        <w:adjustRightInd w:val="0"/>
        <w:snapToGrid w:val="0"/>
        <w:spacing w:line="400" w:lineRule="exact"/>
        <w:textAlignment w:val="baseline"/>
        <w:rPr>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60" w:firstLineChars="200"/>
        <w:textAlignment w:val="baseline"/>
        <w:rPr>
          <w:rFonts w:ascii="黑体" w:hAnsi="黑体" w:eastAsia="黑体" w:cs="黑体"/>
          <w:color w:val="auto"/>
          <w:spacing w:val="0"/>
          <w:position w:val="0"/>
          <w:sz w:val="28"/>
          <w:szCs w:val="28"/>
          <w:highlight w:val="none"/>
        </w:rPr>
      </w:pPr>
      <w:r>
        <w:rPr>
          <w:rFonts w:ascii="Times New Roman" w:hAnsi="Times New Roman" w:eastAsia="Times New Roman" w:cs="Times New Roman"/>
          <w:color w:val="auto"/>
          <w:spacing w:val="0"/>
          <w:position w:val="0"/>
          <w:sz w:val="28"/>
          <w:szCs w:val="28"/>
          <w:highlight w:val="none"/>
        </w:rPr>
        <w:t xml:space="preserve">314.03    </w:t>
      </w:r>
      <w:r>
        <w:rPr>
          <w:rFonts w:ascii="黑体" w:hAnsi="黑体" w:eastAsia="黑体" w:cs="黑体"/>
          <w:color w:val="auto"/>
          <w:spacing w:val="0"/>
          <w:position w:val="0"/>
          <w:sz w:val="28"/>
          <w:szCs w:val="28"/>
          <w:highlight w:val="none"/>
        </w:rPr>
        <w:t>施工要求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7 、8 条：</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7.路面排水设施施工的原材料、模板要求和工作程序还应按《浙江省高速公路沥青路面规范化施工指南》有关规定进行。</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 ．施工现场管理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(1)严格遵守机械安全操作规程，在挖掘过程中禁止人员靠近挖掘半径，工人必须戴好安全帽，辅助做好清理及整平工作。</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(2)开挖完毕后，在所开挖范围设醒目的危险标志标牌，禁止人员、机械进入。</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(3)养生期间，始终保持混凝土充分湿润，养生期至少7天，严禁他物撞击、破坏。</w:t>
      </w:r>
    </w:p>
    <w:p>
      <w:pPr>
        <w:rPr>
          <w:color w:val="auto"/>
          <w:highlight w:val="none"/>
        </w:rPr>
        <w:sectPr>
          <w:pgSz w:w="11900" w:h="16840"/>
          <w:pgMar w:top="1160" w:right="1352" w:bottom="1448" w:left="1363" w:header="883" w:footer="1234"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before="322" w:line="360" w:lineRule="exact"/>
        <w:ind w:left="2447"/>
        <w:textAlignment w:val="baseline"/>
        <w:outlineLvl w:val="2"/>
        <w:rPr>
          <w:rFonts w:hint="eastAsia" w:ascii="宋体" w:hAnsi="宋体" w:eastAsia="宋体" w:cs="宋体"/>
          <w:color w:val="auto"/>
          <w:spacing w:val="0"/>
          <w:position w:val="0"/>
          <w:sz w:val="43"/>
          <w:szCs w:val="43"/>
          <w:highlight w:val="none"/>
        </w:rPr>
      </w:pPr>
      <w:bookmarkStart w:id="666" w:name="_Toc15020"/>
      <w:r>
        <w:rPr>
          <w:rFonts w:hint="eastAsia" w:ascii="宋体" w:hAnsi="宋体" w:eastAsia="宋体" w:cs="宋体"/>
          <w:color w:val="auto"/>
          <w:spacing w:val="0"/>
          <w:position w:val="0"/>
          <w:sz w:val="43"/>
          <w:szCs w:val="43"/>
          <w:highlight w:val="none"/>
        </w:rPr>
        <w:t>第 400 章  桥梁、涵洞</w:t>
      </w:r>
      <w:bookmarkEnd w:id="666"/>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0"/>
          <w:position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101" w:line="360" w:lineRule="exact"/>
        <w:jc w:val="center"/>
        <w:textAlignment w:val="baseline"/>
        <w:outlineLvl w:val="1"/>
        <w:rPr>
          <w:rFonts w:hint="eastAsia" w:ascii="宋体" w:hAnsi="宋体" w:eastAsia="宋体" w:cs="宋体"/>
          <w:b/>
          <w:bCs/>
          <w:color w:val="auto"/>
          <w:spacing w:val="0"/>
          <w:position w:val="0"/>
          <w:sz w:val="31"/>
          <w:szCs w:val="31"/>
          <w:highlight w:val="none"/>
        </w:rPr>
      </w:pPr>
      <w:bookmarkStart w:id="667" w:name="_bookmark170"/>
      <w:bookmarkEnd w:id="667"/>
      <w:bookmarkStart w:id="668" w:name="_Toc352"/>
      <w:r>
        <w:rPr>
          <w:rFonts w:hint="eastAsia" w:ascii="宋体" w:hAnsi="宋体" w:eastAsia="宋体" w:cs="宋体"/>
          <w:b/>
          <w:bCs/>
          <w:color w:val="auto"/>
          <w:spacing w:val="0"/>
          <w:position w:val="0"/>
          <w:sz w:val="31"/>
          <w:szCs w:val="31"/>
          <w:highlight w:val="none"/>
        </w:rPr>
        <w:t>第 401 节  通 则</w:t>
      </w:r>
      <w:bookmarkEnd w:id="668"/>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560" w:firstLineChars="200"/>
        <w:textAlignment w:val="baseline"/>
        <w:rPr>
          <w:rFonts w:hint="eastAsia" w:ascii="宋体" w:hAnsi="宋体" w:eastAsia="宋体" w:cs="宋体"/>
          <w:color w:val="auto"/>
          <w:spacing w:val="0"/>
          <w:position w:val="0"/>
          <w:sz w:val="28"/>
          <w:szCs w:val="28"/>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560" w:firstLineChars="200"/>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 xml:space="preserve">401.02  一般要求  </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1.核对图纸和补充调查 在本条后补充：</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承包人对图纸中提供的桩位坐标必须放样核对，并交监理人确认、核查无误后方可开工。承包人 对图纸中有关墩台顶标高、支座标高、箱梁标高、梁板几何尺寸、预埋件等需核查确认后，方可立模 绑扎钢筋，浇筑构件混凝土。因承包人原因造成的漏设或未按图纸预埋，造成的返工费用，由承包人 承担。</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3 </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复测</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删除本条，修改为：</w:t>
      </w:r>
    </w:p>
    <w:p>
      <w:pPr>
        <w:keepNext w:val="0"/>
        <w:keepLines w:val="0"/>
        <w:pageBreakBefore w:val="0"/>
        <w:widowControl/>
        <w:numPr>
          <w:ilvl w:val="0"/>
          <w:numId w:val="10"/>
        </w:numPr>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承包人应在开工前对桥梁中心位置桩、三角网基点桩、水准基点桩及其他测量资料进行核对</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、复测。若桩志不足或不符合要求时，应按 《公路桥涵施工技术规范》(JTG/T3650-2020) 第 3 章 “施工准备和施工测量”有关要求重新补测，并将复测或补测结果报监理人认可。在合同工程的整个施工期间，承包人应对测量基准点进行妥善保护，并根据需要对控制网进行加密，直至工程竣工验收。</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平面控制网宜采用 GPS 测量与 RTK 技术相结合作业模式，并采用三角测量检测 GPS 的定 位结果。测量等级应采用 《公路桥涵施工技术规范》(JGT/T3650-2020  ) 中表 3.2.5- 1.3.2.5-2  及表 3.2.5.5 中规定的最高等级，并符合相应技术指标要求。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( 3 ) 高程控制水准测量等级及相应 的主要技术要求应符合《 公路桥涵施工技术规范 》 (JTG/T3650-2020) 第 3.2.6 条的有关规定。</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施工过程中对结构的变形过程进行随时监测和记录，做到测量成果具有可追溯性，原始记 录本分类归档保存，测量成果及时报告给监理人。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 承包人应对桥梁中心位置桩、三角网基点桩、水准基点桩等控制标志加以妥善保护，直至 工程竣工验收。</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 承包人的测量仪器、设备、组织程序和测量方法等应满足施工控制的要求。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 ．安全技术措施 第(1)款修改为：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承包人施工大型临时工程、机械设备等均应满足 30 年一遇气象条件和 20 年一遇水文条件的安全要求，桥梁施工前，应对施工现场、机具设备及安全防护设施等进行全面检查，建立安全管理台帐，并经有关部门检查认证，确认符合安全要求后方可施工。承包人在施工全过程中应始终认真贯彻执行《建设工程安全生产管理条例》的规定。</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 (8) 、(9) 、(10) 款：</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(8)在桥梁基础施工前，承包人应结合设计阶段管线调查资料，进一步做好管线调查、探查工 作，在施工阶段进一步做好对跨越管线施工的专项论证，落实做好对管线的安全防护工作，确保各种 管线安全。施工过程中新的公共设施管线和其他物品等一经发现，立即停止施工。承包人负责做好现 场管线探明及现场保护、标识工作。处置方案未明确前不得施工。</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44" w:firstLineChars="200"/>
        <w:textAlignment w:val="baseline"/>
        <w:rPr>
          <w:rFonts w:hint="eastAsia" w:ascii="宋体" w:hAnsi="宋体" w:eastAsia="宋体" w:cs="宋体"/>
          <w:color w:val="auto"/>
          <w:spacing w:val="6"/>
          <w:highlight w:val="none"/>
        </w:rPr>
      </w:pPr>
    </w:p>
    <w:p>
      <w:pPr>
        <w:pStyle w:val="2"/>
        <w:ind w:left="0" w:leftChars="0" w:firstLine="0" w:firstLineChars="0"/>
        <w:rPr>
          <w:rFonts w:hint="eastAsia"/>
          <w:color w:val="auto"/>
          <w:highlight w:val="none"/>
        </w:rPr>
        <w:sectPr>
          <w:footerReference r:id="rId29" w:type="default"/>
          <w:pgSz w:w="11900" w:h="16840"/>
          <w:pgMar w:top="1160" w:right="1333" w:bottom="1448" w:left="1323" w:header="883" w:footer="1234"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bookmarkStart w:id="669" w:name="_bookmark171"/>
      <w:bookmarkEnd w:id="669"/>
      <w:r>
        <w:rPr>
          <w:rFonts w:hint="eastAsia" w:ascii="宋体" w:hAnsi="宋体" w:eastAsia="宋体" w:cs="宋体"/>
          <w:color w:val="auto"/>
          <w:spacing w:val="0"/>
          <w:position w:val="0"/>
          <w:sz w:val="21"/>
          <w:szCs w:val="21"/>
          <w:highlight w:val="none"/>
        </w:rPr>
        <w:t>(9) 临近公路、堤坝、管道及其他构筑物的施工， 承包人应根据相关行业标准采取安全防护措 施，编制专项施工方案，提交监理人审查，并取得相关部门施工许可。</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(10) 场地恢复</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桥下场地在下部结构等各工序施工结束后应及时进行整平恢复。</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9 、10 、11、12 条：</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9．环保要求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在桥梁施工期间，应严格执行本技术规范 102. 11 有关环境保护的要求。 为防止本公路在施工期和营运期对当地水质造成不良影响，应根据当地及相关部门要求，从技术角度提出和做好相关工程的水污染防治措施， 将本工程对当地水质的影响降到最低。</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施工人员生活污水</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施工营地应集中合理布置，施工人员的临时居住地生活污水需进行集中收集处理， 并委托当地环卫部门进行定期清运。对施工人员应加强管理和环保意识教育，对生活垃圾不准随意抛弃，应集中收集并外运处置。</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施工生产废水</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a.对施工生产废水，如砂石料筛分、混凝土拌和废水以及施工泥浆水，应设置沉淀池处理， 对施工机械、车辆维修、冲洗含油废水设置隔油池处理。各类施工生产废水处理需通过集水沟进行收集，经沉淀池净化处理后，可作为施工场地和便道的洒水降尘及边坡绿化养护用水，严禁排入就近河道。</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b. 地表开挖和填筑工程， 应尽量避开雨季。</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c.对施工场地、砂石料堆场等周围应设置集水沟和沉砂池，防止水土流失。施工结束后，对上述场地及时清理并复绿。</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d.施工中产生的废油、废沥青和其他固体废物不得堆放在水体旁，应及时清运。</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e.含有害物质的建材如沥青不得堆放在水体附近，并应设蓬盖，防止雨水冲刷入水体。</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f.合理设置施工便道，控制新开辟施工便道数量， 尽可能利用现有道路扩建后使用。</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桥梁施工</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a.桥梁施工应加强对施工机械和施工人员的管理，严禁漏油洒落水体，排污工作规范到位并满足相关部门的要求；钻孔灌注桩施工时，承包人应设置专用沉淀池、泥浆池，并采用切实可行的施工辅助措施，挖出的钻渣和泥浆水不得弃入水体，钻渣应上岸处置，干化后外运处置，干化场地四周设集水沟和沉砂池，钻渣排水经处理达标后由专用车运送至指定地方处置和排放。</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b.在桥梁施工期间，特别是钻孔灌注桩施工时，承包人有责任保护所在区域、河流不受污染，在处理建筑垃圾时应按照有关部门的要求进行处理，在处理钻孔灌注桩泥浆时应使用泥浆分离器，同时不能随意排放、废弃。</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10 ．防腐要求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钢结构桥梁及桥梁所有外露的金属预埋件和构件 (包括护栏、灯柱、通信管道、排水设施等) ，应按图纸及说明要求进行防腐处理，以保证整个桥梁的耐久性和营运过程中的美观。</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40" w:firstLineChars="200"/>
        <w:textAlignment w:val="baseline"/>
        <w:rPr>
          <w:rFonts w:hint="eastAsia" w:ascii="宋体" w:hAnsi="宋体" w:eastAsia="宋体" w:cs="宋体"/>
          <w:color w:val="auto"/>
          <w:spacing w:val="0"/>
          <w:position w:val="0"/>
          <w:sz w:val="22"/>
          <w:szCs w:val="22"/>
          <w:highlight w:val="none"/>
        </w:rPr>
      </w:pPr>
      <w:r>
        <w:rPr>
          <w:rFonts w:hint="eastAsia" w:ascii="宋体" w:hAnsi="宋体" w:eastAsia="宋体" w:cs="宋体"/>
          <w:color w:val="auto"/>
          <w:spacing w:val="0"/>
          <w:position w:val="0"/>
          <w:sz w:val="22"/>
          <w:szCs w:val="22"/>
          <w:highlight w:val="none"/>
        </w:rPr>
        <w:t>11 ．标准化施工工艺</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firstLine="440" w:firstLineChars="200"/>
        <w:textAlignment w:val="baseline"/>
        <w:rPr>
          <w:rFonts w:hint="eastAsia" w:ascii="宋体" w:hAnsi="宋体" w:eastAsia="宋体" w:cs="宋体"/>
          <w:color w:val="auto"/>
          <w:spacing w:val="0"/>
          <w:position w:val="0"/>
          <w:sz w:val="22"/>
          <w:szCs w:val="22"/>
          <w:highlight w:val="none"/>
        </w:rPr>
      </w:pPr>
      <w:r>
        <w:rPr>
          <w:rFonts w:hint="eastAsia" w:ascii="宋体" w:hAnsi="宋体" w:eastAsia="宋体" w:cs="宋体"/>
          <w:color w:val="auto"/>
          <w:spacing w:val="0"/>
          <w:position w:val="0"/>
          <w:sz w:val="22"/>
          <w:szCs w:val="22"/>
          <w:highlight w:val="none"/>
        </w:rPr>
        <w:t>根据交通运输部、浙江省交通运输厅、项目所在地相关部门关于标准化建设的相关规定，以及发包人相关管理办法，承包人应尽量对各构件的施工采取标准化、工厂化的生产工艺，须与设计人沟通标准化施工过程中的关键技术问题，并制定标准化管理实施细则。</w:t>
      </w:r>
    </w:p>
    <w:p>
      <w:pPr>
        <w:pStyle w:val="2"/>
        <w:keepNext w:val="0"/>
        <w:keepLines w:val="0"/>
        <w:pageBreakBefore w:val="0"/>
        <w:kinsoku w:val="0"/>
        <w:wordWrap/>
        <w:overflowPunct/>
        <w:topLinePunct w:val="0"/>
        <w:autoSpaceDE w:val="0"/>
        <w:autoSpaceDN w:val="0"/>
        <w:bidi w:val="0"/>
        <w:adjustRightInd w:val="0"/>
        <w:snapToGrid w:val="0"/>
        <w:spacing w:line="360" w:lineRule="exact"/>
        <w:ind w:left="0" w:leftChars="0" w:firstLine="0" w:firstLineChars="0"/>
        <w:textAlignment w:val="baseline"/>
        <w:rPr>
          <w:rFonts w:hint="eastAsia"/>
          <w:color w:val="auto"/>
          <w:highlight w:val="none"/>
        </w:rPr>
        <w:sectPr>
          <w:footerReference r:id="rId30" w:type="default"/>
          <w:pgSz w:w="11900" w:h="16840"/>
          <w:pgMar w:top="1160" w:right="1333" w:bottom="1448" w:left="1363" w:header="883" w:footer="1234"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12.  其他要求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桥梁施工应符合《公路工程小型预制构件施工技术规范》、《公路桥梁后张法预应力施工技术规范》、《公路中小跨径钢板组合梁桥施工质量控制指南》要求。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560" w:firstLineChars="200"/>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401.05  地质情况变化时的处理</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删除本小节原内容，修改为：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．桥梁基础在施工过程中，若地质情况有变化，承包人应及时报告监理人并提出处理意见，经设计人认可、监理人批准后实施。</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560" w:firstLineChars="200"/>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401.06  开放交通</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4 条：</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施工期间，应严格控制施工荷载对桥梁的影响，包括架梁设备及其荷载，尤其在桥面浇筑期间，更应严格控制运料车、碾压机械的荷载作用，避免结构早期出现工程病害。同时承包人应综合考虑本项目多次上跨等级公路和地方道路的特殊性，按照相关部门的意见及要求，服从发包人、交警等部门的管理和指挥，做好施工期间的临时保通和临时交通设施设置等工作，有序进行交通流的转换。</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0"/>
          <w:position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0"/>
          <w:position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101" w:line="360" w:lineRule="exact"/>
        <w:jc w:val="center"/>
        <w:textAlignment w:val="baseline"/>
        <w:outlineLvl w:val="1"/>
        <w:rPr>
          <w:rFonts w:hint="eastAsia" w:ascii="宋体" w:hAnsi="宋体" w:eastAsia="宋体" w:cs="宋体"/>
          <w:b/>
          <w:bCs/>
          <w:color w:val="auto"/>
          <w:spacing w:val="0"/>
          <w:position w:val="0"/>
          <w:sz w:val="31"/>
          <w:szCs w:val="31"/>
          <w:highlight w:val="none"/>
        </w:rPr>
      </w:pPr>
      <w:bookmarkStart w:id="670" w:name="_Toc3724"/>
      <w:r>
        <w:rPr>
          <w:rFonts w:hint="eastAsia" w:ascii="宋体" w:hAnsi="宋体" w:eastAsia="宋体" w:cs="宋体"/>
          <w:b/>
          <w:bCs/>
          <w:color w:val="auto"/>
          <w:spacing w:val="0"/>
          <w:position w:val="0"/>
          <w:sz w:val="31"/>
          <w:szCs w:val="31"/>
          <w:highlight w:val="none"/>
        </w:rPr>
        <w:t>第 403 节  钢  筋</w:t>
      </w:r>
      <w:bookmarkEnd w:id="670"/>
    </w:p>
    <w:p>
      <w:pPr>
        <w:keepNext w:val="0"/>
        <w:keepLines w:val="0"/>
        <w:pageBreakBefore w:val="0"/>
        <w:widowControl/>
        <w:kinsoku w:val="0"/>
        <w:wordWrap/>
        <w:overflowPunct/>
        <w:topLinePunct w:val="0"/>
        <w:autoSpaceDE w:val="0"/>
        <w:autoSpaceDN w:val="0"/>
        <w:bidi w:val="0"/>
        <w:adjustRightInd w:val="0"/>
        <w:snapToGrid w:val="0"/>
        <w:spacing w:before="237" w:line="360" w:lineRule="exact"/>
        <w:ind w:left="2"/>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403.02  材料</w:t>
      </w:r>
    </w:p>
    <w:p>
      <w:pPr>
        <w:keepNext w:val="0"/>
        <w:keepLines w:val="0"/>
        <w:pageBreakBefore w:val="0"/>
        <w:widowControl/>
        <w:kinsoku w:val="0"/>
        <w:wordWrap/>
        <w:overflowPunct/>
        <w:topLinePunct w:val="0"/>
        <w:autoSpaceDE w:val="0"/>
        <w:autoSpaceDN w:val="0"/>
        <w:bidi w:val="0"/>
        <w:adjustRightInd w:val="0"/>
        <w:snapToGrid w:val="0"/>
        <w:spacing w:before="194" w:line="360" w:lineRule="exact"/>
        <w:ind w:left="418"/>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．一般要求</w:t>
      </w:r>
    </w:p>
    <w:p>
      <w:pPr>
        <w:keepNext w:val="0"/>
        <w:keepLines w:val="0"/>
        <w:pageBreakBefore w:val="0"/>
        <w:widowControl/>
        <w:kinsoku w:val="0"/>
        <w:wordWrap/>
        <w:overflowPunct/>
        <w:topLinePunct w:val="0"/>
        <w:autoSpaceDE w:val="0"/>
        <w:autoSpaceDN w:val="0"/>
        <w:bidi w:val="0"/>
        <w:adjustRightInd w:val="0"/>
        <w:snapToGrid w:val="0"/>
        <w:spacing w:before="140" w:line="360" w:lineRule="exact"/>
        <w:ind w:left="40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(1) 款修改为：</w:t>
      </w:r>
    </w:p>
    <w:p>
      <w:pPr>
        <w:keepNext w:val="0"/>
        <w:keepLines w:val="0"/>
        <w:pageBreakBefore w:val="0"/>
        <w:widowControl/>
        <w:kinsoku w:val="0"/>
        <w:wordWrap/>
        <w:overflowPunct/>
        <w:topLinePunct w:val="0"/>
        <w:autoSpaceDE w:val="0"/>
        <w:autoSpaceDN w:val="0"/>
        <w:bidi w:val="0"/>
        <w:adjustRightInd w:val="0"/>
        <w:snapToGrid w:val="0"/>
        <w:spacing w:before="164" w:line="360" w:lineRule="exact"/>
        <w:ind w:left="41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HPB300 钢筋应符合《钢筋混凝土用钢第 1 部分：热轧光圆钢筋》(GB1499. 1-2017)的规</w:t>
      </w:r>
    </w:p>
    <w:p>
      <w:pPr>
        <w:keepNext w:val="0"/>
        <w:keepLines w:val="0"/>
        <w:pageBreakBefore w:val="0"/>
        <w:widowControl/>
        <w:kinsoku w:val="0"/>
        <w:wordWrap/>
        <w:overflowPunct/>
        <w:topLinePunct w:val="0"/>
        <w:autoSpaceDE w:val="0"/>
        <w:autoSpaceDN w:val="0"/>
        <w:bidi w:val="0"/>
        <w:adjustRightInd w:val="0"/>
        <w:snapToGrid w:val="0"/>
        <w:spacing w:before="159" w:line="360" w:lineRule="exact"/>
        <w:ind w:right="4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定，HRB400 钢筋应符合《钢筋混凝土用钢第 2 部分：热轧带肋钢筋》(GB1499.2-2018)的规定。 钢筋的主要力学性能、工艺性能见表 403- 1。</w:t>
      </w:r>
    </w:p>
    <w:p>
      <w:pPr>
        <w:keepNext w:val="0"/>
        <w:keepLines w:val="0"/>
        <w:pageBreakBefore w:val="0"/>
        <w:widowControl/>
        <w:kinsoku w:val="0"/>
        <w:wordWrap/>
        <w:overflowPunct/>
        <w:topLinePunct w:val="0"/>
        <w:autoSpaceDE w:val="0"/>
        <w:autoSpaceDN w:val="0"/>
        <w:bidi w:val="0"/>
        <w:adjustRightInd w:val="0"/>
        <w:snapToGrid w:val="0"/>
        <w:spacing w:before="1" w:line="360" w:lineRule="exact"/>
        <w:ind w:left="3108"/>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14:textOutline w14:w="3788" w14:cap="flat" w14:cmpd="sng">
            <w14:solidFill>
              <w14:srgbClr w14:val="000000"/>
            </w14:solidFill>
            <w14:prstDash w14:val="solid"/>
            <w14:miter w14:val="0"/>
          </w14:textOutline>
        </w:rPr>
        <w:t>表</w:t>
      </w:r>
      <w:r>
        <w:rPr>
          <w:rFonts w:hint="eastAsia" w:ascii="宋体" w:hAnsi="宋体" w:eastAsia="宋体" w:cs="宋体"/>
          <w:color w:val="auto"/>
          <w:spacing w:val="0"/>
          <w:position w:val="0"/>
          <w:sz w:val="21"/>
          <w:szCs w:val="21"/>
          <w:highlight w:val="none"/>
        </w:rPr>
        <w:t xml:space="preserve"> </w:t>
      </w:r>
      <w:r>
        <w:rPr>
          <w:rFonts w:hint="eastAsia" w:ascii="宋体" w:hAnsi="宋体" w:eastAsia="宋体" w:cs="宋体"/>
          <w:b/>
          <w:bCs/>
          <w:color w:val="auto"/>
          <w:spacing w:val="0"/>
          <w:position w:val="0"/>
          <w:sz w:val="21"/>
          <w:szCs w:val="21"/>
          <w:highlight w:val="none"/>
        </w:rPr>
        <w:t>403-1</w:t>
      </w:r>
      <w:r>
        <w:rPr>
          <w:rFonts w:hint="eastAsia" w:ascii="宋体" w:hAnsi="宋体" w:eastAsia="宋体" w:cs="宋体"/>
          <w:color w:val="auto"/>
          <w:spacing w:val="0"/>
          <w:position w:val="0"/>
          <w:sz w:val="21"/>
          <w:szCs w:val="21"/>
          <w:highlight w:val="none"/>
        </w:rPr>
        <w:t xml:space="preserve">  </w:t>
      </w:r>
      <w:r>
        <w:rPr>
          <w:rFonts w:hint="eastAsia" w:ascii="宋体" w:hAnsi="宋体" w:eastAsia="宋体" w:cs="宋体"/>
          <w:color w:val="auto"/>
          <w:spacing w:val="0"/>
          <w:position w:val="0"/>
          <w:sz w:val="21"/>
          <w:szCs w:val="21"/>
          <w:highlight w:val="none"/>
          <w14:textOutline w14:w="3788" w14:cap="flat" w14:cmpd="sng">
            <w14:solidFill>
              <w14:srgbClr w14:val="000000"/>
            </w14:solidFill>
            <w14:prstDash w14:val="solid"/>
            <w14:miter w14:val="0"/>
          </w14:textOutline>
        </w:rPr>
        <w:t>钢筋的主要力学、工艺性能</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0"/>
          <w:position w:val="0"/>
          <w:sz w:val="21"/>
          <w:szCs w:val="21"/>
          <w:highlight w:val="none"/>
        </w:rPr>
      </w:pPr>
    </w:p>
    <w:tbl>
      <w:tblPr>
        <w:tblStyle w:val="26"/>
        <w:tblW w:w="8368" w:type="dxa"/>
        <w:tblInd w:w="5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54"/>
        <w:gridCol w:w="1700"/>
        <w:gridCol w:w="1"/>
        <w:gridCol w:w="1460"/>
        <w:gridCol w:w="96"/>
        <w:gridCol w:w="1276"/>
        <w:gridCol w:w="88"/>
        <w:gridCol w:w="119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2554" w:type="dxa"/>
            <w:tcBorders>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36" w:line="360" w:lineRule="exact"/>
              <w:ind w:left="86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钢筋种类</w:t>
            </w:r>
          </w:p>
        </w:tc>
        <w:tc>
          <w:tcPr>
            <w:tcW w:w="1701" w:type="dxa"/>
            <w:gridSpan w:val="2"/>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58" w:line="360" w:lineRule="exact"/>
              <w:ind w:left="485"/>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HPB300</w:t>
            </w:r>
          </w:p>
        </w:tc>
        <w:tc>
          <w:tcPr>
            <w:tcW w:w="4113" w:type="dxa"/>
            <w:gridSpan w:val="5"/>
            <w:tcBorders>
              <w:lef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58" w:line="360" w:lineRule="exact"/>
              <w:ind w:left="1678"/>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HRB400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2554" w:type="dxa"/>
            <w:tcBorders>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40" w:line="360" w:lineRule="exact"/>
              <w:ind w:left="111" w:leftChars="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钢筋直径 (mm )</w:t>
            </w:r>
          </w:p>
        </w:tc>
        <w:tc>
          <w:tcPr>
            <w:tcW w:w="1701" w:type="dxa"/>
            <w:gridSpan w:val="2"/>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64" w:line="360" w:lineRule="exact"/>
              <w:ind w:left="639" w:leftChars="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6~22</w:t>
            </w:r>
          </w:p>
        </w:tc>
        <w:tc>
          <w:tcPr>
            <w:tcW w:w="1460" w:type="dxa"/>
            <w:tcBorders>
              <w:lef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64" w:line="360" w:lineRule="exact"/>
              <w:ind w:left="569" w:leftChars="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6~25</w:t>
            </w:r>
          </w:p>
        </w:tc>
        <w:tc>
          <w:tcPr>
            <w:tcW w:w="1460" w:type="dxa"/>
            <w:gridSpan w:val="3"/>
            <w:tcBorders>
              <w:lef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64" w:line="360" w:lineRule="exact"/>
              <w:ind w:left="373" w:leftChars="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28~40</w:t>
            </w:r>
          </w:p>
        </w:tc>
        <w:tc>
          <w:tcPr>
            <w:tcW w:w="1193" w:type="dxa"/>
            <w:tcBorders>
              <w:lef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60" w:lineRule="exact"/>
              <w:ind w:left="313" w:leftChars="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&gt;40~50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2554" w:type="dxa"/>
            <w:tcBorders>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33" w:line="360" w:lineRule="exact"/>
              <w:ind w:left="116" w:leftChars="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最小屈服强度 (MPa)</w:t>
            </w:r>
          </w:p>
        </w:tc>
        <w:tc>
          <w:tcPr>
            <w:tcW w:w="1701" w:type="dxa"/>
            <w:gridSpan w:val="2"/>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56" w:line="360" w:lineRule="exact"/>
              <w:ind w:left="694" w:leftChars="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300</w:t>
            </w:r>
          </w:p>
        </w:tc>
        <w:tc>
          <w:tcPr>
            <w:tcW w:w="4113" w:type="dxa"/>
            <w:gridSpan w:val="5"/>
            <w:tcBorders>
              <w:lef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56" w:line="360" w:lineRule="exact"/>
              <w:ind w:left="1895" w:leftChars="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2554" w:type="dxa"/>
            <w:tcBorders>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34" w:line="360" w:lineRule="exact"/>
              <w:ind w:left="116" w:leftChars="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最小抗拉强度 (MPa)</w:t>
            </w:r>
          </w:p>
        </w:tc>
        <w:tc>
          <w:tcPr>
            <w:tcW w:w="1701" w:type="dxa"/>
            <w:gridSpan w:val="2"/>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58" w:line="360" w:lineRule="exact"/>
              <w:ind w:left="689" w:leftChars="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420</w:t>
            </w:r>
          </w:p>
        </w:tc>
        <w:tc>
          <w:tcPr>
            <w:tcW w:w="4113" w:type="dxa"/>
            <w:gridSpan w:val="5"/>
            <w:tcBorders>
              <w:lef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58" w:line="360" w:lineRule="exact"/>
              <w:ind w:left="1902" w:leftChars="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540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2554" w:type="dxa"/>
            <w:tcBorders>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5" w:line="360" w:lineRule="exact"/>
              <w:ind w:left="114" w:leftChars="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延伸率 (%)</w:t>
            </w:r>
          </w:p>
        </w:tc>
        <w:tc>
          <w:tcPr>
            <w:tcW w:w="1701" w:type="dxa"/>
            <w:gridSpan w:val="2"/>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60" w:line="360" w:lineRule="exact"/>
              <w:ind w:left="742" w:leftChars="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25</w:t>
            </w:r>
          </w:p>
        </w:tc>
        <w:tc>
          <w:tcPr>
            <w:tcW w:w="4113" w:type="dxa"/>
            <w:gridSpan w:val="5"/>
            <w:tcBorders>
              <w:lef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60" w:line="360" w:lineRule="exact"/>
              <w:ind w:left="1969" w:leftChars="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2554" w:type="dxa"/>
            <w:tcBorders>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37" w:line="360" w:lineRule="exact"/>
              <w:ind w:left="12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180°冷弯弯芯内径</w:t>
            </w:r>
          </w:p>
        </w:tc>
        <w:tc>
          <w:tcPr>
            <w:tcW w:w="1700"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60" w:lineRule="exact"/>
              <w:ind w:left="798"/>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d</w:t>
            </w:r>
          </w:p>
        </w:tc>
        <w:tc>
          <w:tcPr>
            <w:tcW w:w="1557" w:type="dxa"/>
            <w:gridSpan w:val="3"/>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57" w:line="360" w:lineRule="exact"/>
              <w:ind w:left="67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4d</w:t>
            </w:r>
          </w:p>
        </w:tc>
        <w:tc>
          <w:tcPr>
            <w:tcW w:w="1276"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57" w:line="360" w:lineRule="exact"/>
              <w:ind w:left="53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5d</w:t>
            </w:r>
          </w:p>
        </w:tc>
        <w:tc>
          <w:tcPr>
            <w:tcW w:w="1281" w:type="dxa"/>
            <w:gridSpan w:val="2"/>
            <w:tcBorders>
              <w:lef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57" w:line="360" w:lineRule="exact"/>
              <w:ind w:left="53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6d</w:t>
            </w:r>
          </w:p>
        </w:tc>
      </w:tr>
    </w:tbl>
    <w:p>
      <w:pPr>
        <w:keepNext w:val="0"/>
        <w:keepLines w:val="0"/>
        <w:pageBreakBefore w:val="0"/>
        <w:widowControl/>
        <w:kinsoku w:val="0"/>
        <w:wordWrap/>
        <w:overflowPunct/>
        <w:topLinePunct w:val="0"/>
        <w:autoSpaceDE w:val="0"/>
        <w:autoSpaceDN w:val="0"/>
        <w:bidi w:val="0"/>
        <w:adjustRightInd w:val="0"/>
        <w:snapToGrid w:val="0"/>
        <w:spacing w:line="360" w:lineRule="exact"/>
        <w:ind w:left="40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注：“d”为钢筋公称直径。</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0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(4) 款：</w:t>
      </w:r>
    </w:p>
    <w:p>
      <w:pPr>
        <w:keepNext w:val="0"/>
        <w:keepLines w:val="0"/>
        <w:pageBreakBefore w:val="0"/>
        <w:widowControl/>
        <w:kinsoku w:val="0"/>
        <w:wordWrap/>
        <w:overflowPunct/>
        <w:topLinePunct w:val="0"/>
        <w:autoSpaceDE w:val="0"/>
        <w:autoSpaceDN w:val="0"/>
        <w:bidi w:val="0"/>
        <w:adjustRightInd w:val="0"/>
        <w:snapToGrid w:val="0"/>
        <w:spacing w:before="161" w:line="360" w:lineRule="exact"/>
        <w:ind w:left="22" w:right="97" w:firstLine="38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钢筋产品的质量必须符合国家有关标准及本项设计人提出的设计要求。 如国家有新标准出台，则应符合国家所颁发的最新版本的质量和技术标准。</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0"/>
          <w:position w:val="0"/>
          <w:sz w:val="21"/>
          <w:szCs w:val="21"/>
          <w:highlight w:val="none"/>
        </w:rPr>
        <w:sectPr>
          <w:footerReference r:id="rId31" w:type="default"/>
          <w:pgSz w:w="11900" w:h="16840"/>
          <w:pgMar w:top="1160" w:right="1333" w:bottom="1448" w:left="1363" w:header="883" w:footer="1234"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pacing w:val="0"/>
          <w:position w:val="0"/>
          <w:sz w:val="28"/>
          <w:szCs w:val="28"/>
          <w:highlight w:val="none"/>
        </w:rPr>
      </w:pPr>
      <w:bookmarkStart w:id="671" w:name="_bookmark172"/>
      <w:bookmarkEnd w:id="671"/>
      <w:r>
        <w:rPr>
          <w:rFonts w:hint="eastAsia" w:ascii="宋体" w:hAnsi="宋体" w:eastAsia="宋体" w:cs="宋体"/>
          <w:color w:val="auto"/>
          <w:spacing w:val="0"/>
          <w:position w:val="0"/>
          <w:sz w:val="28"/>
          <w:szCs w:val="28"/>
          <w:highlight w:val="none"/>
        </w:rPr>
        <w:t>403.03  试样及试验</w:t>
      </w:r>
    </w:p>
    <w:p>
      <w:pPr>
        <w:keepNext w:val="0"/>
        <w:keepLines w:val="0"/>
        <w:pageBreakBefore w:val="0"/>
        <w:widowControl/>
        <w:kinsoku w:val="0"/>
        <w:wordWrap/>
        <w:overflowPunct/>
        <w:topLinePunct w:val="0"/>
        <w:autoSpaceDE w:val="0"/>
        <w:autoSpaceDN w:val="0"/>
        <w:bidi w:val="0"/>
        <w:adjustRightInd w:val="0"/>
        <w:snapToGrid w:val="0"/>
        <w:spacing w:before="196" w:line="380" w:lineRule="exact"/>
        <w:ind w:left="418"/>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．一般要求</w:t>
      </w:r>
    </w:p>
    <w:p>
      <w:pPr>
        <w:keepNext w:val="0"/>
        <w:keepLines w:val="0"/>
        <w:pageBreakBefore w:val="0"/>
        <w:widowControl/>
        <w:kinsoku w:val="0"/>
        <w:wordWrap/>
        <w:overflowPunct/>
        <w:topLinePunct w:val="0"/>
        <w:autoSpaceDE w:val="0"/>
        <w:autoSpaceDN w:val="0"/>
        <w:bidi w:val="0"/>
        <w:adjustRightInd w:val="0"/>
        <w:snapToGrid w:val="0"/>
        <w:spacing w:before="110" w:line="380" w:lineRule="exact"/>
        <w:ind w:left="40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(1) 、(2)、 (3)款修改为：</w:t>
      </w:r>
    </w:p>
    <w:p>
      <w:pPr>
        <w:keepNext w:val="0"/>
        <w:keepLines w:val="0"/>
        <w:pageBreakBefore w:val="0"/>
        <w:widowControl/>
        <w:kinsoku w:val="0"/>
        <w:wordWrap/>
        <w:overflowPunct/>
        <w:topLinePunct w:val="0"/>
        <w:autoSpaceDE w:val="0"/>
        <w:autoSpaceDN w:val="0"/>
        <w:bidi w:val="0"/>
        <w:adjustRightInd w:val="0"/>
        <w:snapToGrid w:val="0"/>
        <w:spacing w:before="135" w:line="380" w:lineRule="exact"/>
        <w:ind w:left="4" w:firstLine="40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钢筋应按 《金属材料拉伸试验第 1 部分：室温试验方法》(GB/T228. 1-2010)、《钢及钢 产品力学性能试验取样位置及试样制备》(GB/T2975-2018)、《金属材料弯曲试验方法》(GB/T232-2010)及《焊接接头冲击试验方法》(GB/T2650-2008)、《焊接接头拉伸试验方法》(GB/T2651-2008)的规定进行屈服点、抗拉强度、延伸量和冷弯试验及焊接性能试验，或经监理人批准，采用相应的国际上采用的标准。</w:t>
      </w:r>
    </w:p>
    <w:p>
      <w:pPr>
        <w:keepNext w:val="0"/>
        <w:keepLines w:val="0"/>
        <w:pageBreakBefore w:val="0"/>
        <w:widowControl/>
        <w:kinsoku w:val="0"/>
        <w:wordWrap/>
        <w:overflowPunct/>
        <w:topLinePunct w:val="0"/>
        <w:autoSpaceDE w:val="0"/>
        <w:autoSpaceDN w:val="0"/>
        <w:bidi w:val="0"/>
        <w:adjustRightInd w:val="0"/>
        <w:snapToGrid w:val="0"/>
        <w:spacing w:before="20" w:line="380" w:lineRule="exact"/>
        <w:ind w:left="5" w:right="89" w:firstLine="40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钢筋必须按不同钢种、等级、牌号、规格及生产厂分批验收，分别堆存，且应立牌标明“已检合格区、待检区、不合格区”以便于识别。钢筋应入库存放，不准露天堆放，短期露天堆放应备有防雨覆盖物，并应建立钢材进出调拨台帐以备追溯查询。</w:t>
      </w:r>
    </w:p>
    <w:p>
      <w:pPr>
        <w:keepNext w:val="0"/>
        <w:keepLines w:val="0"/>
        <w:pageBreakBefore w:val="0"/>
        <w:widowControl/>
        <w:kinsoku w:val="0"/>
        <w:wordWrap/>
        <w:overflowPunct/>
        <w:topLinePunct w:val="0"/>
        <w:autoSpaceDE w:val="0"/>
        <w:autoSpaceDN w:val="0"/>
        <w:bidi w:val="0"/>
        <w:adjustRightInd w:val="0"/>
        <w:snapToGrid w:val="0"/>
        <w:spacing w:before="1" w:line="380" w:lineRule="exact"/>
        <w:ind w:left="41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所有钢筋试验必须在具有相应资质并取得监理人同意的试验室进行。</w:t>
      </w:r>
    </w:p>
    <w:p>
      <w:pPr>
        <w:keepNext w:val="0"/>
        <w:keepLines w:val="0"/>
        <w:pageBreakBefore w:val="0"/>
        <w:widowControl/>
        <w:kinsoku w:val="0"/>
        <w:wordWrap/>
        <w:overflowPunct/>
        <w:topLinePunct w:val="0"/>
        <w:autoSpaceDE w:val="0"/>
        <w:autoSpaceDN w:val="0"/>
        <w:bidi w:val="0"/>
        <w:adjustRightInd w:val="0"/>
        <w:snapToGrid w:val="0"/>
        <w:spacing w:before="164" w:line="380" w:lineRule="exact"/>
        <w:ind w:left="400" w:right="5885" w:hanging="4"/>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403.04  钢筋的储存、加工与安装 第 2 条修改为：</w:t>
      </w:r>
    </w:p>
    <w:p>
      <w:pPr>
        <w:keepNext w:val="0"/>
        <w:keepLines w:val="0"/>
        <w:pageBreakBefore w:val="0"/>
        <w:widowControl/>
        <w:kinsoku w:val="0"/>
        <w:wordWrap/>
        <w:overflowPunct/>
        <w:topLinePunct w:val="0"/>
        <w:autoSpaceDE w:val="0"/>
        <w:autoSpaceDN w:val="0"/>
        <w:bidi w:val="0"/>
        <w:adjustRightInd w:val="0"/>
        <w:snapToGrid w:val="0"/>
        <w:spacing w:before="163" w:line="380" w:lineRule="exact"/>
        <w:ind w:left="397"/>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钢筋整直</w:t>
      </w:r>
    </w:p>
    <w:p>
      <w:pPr>
        <w:keepNext w:val="0"/>
        <w:keepLines w:val="0"/>
        <w:pageBreakBefore w:val="0"/>
        <w:widowControl/>
        <w:kinsoku w:val="0"/>
        <w:wordWrap/>
        <w:overflowPunct/>
        <w:topLinePunct w:val="0"/>
        <w:autoSpaceDE w:val="0"/>
        <w:autoSpaceDN w:val="0"/>
        <w:bidi w:val="0"/>
        <w:adjustRightInd w:val="0"/>
        <w:snapToGrid w:val="0"/>
        <w:spacing w:before="160" w:line="380" w:lineRule="exact"/>
        <w:ind w:left="9" w:right="87" w:firstLine="392"/>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盘筋和弯曲的钢筋，采用冷拉方法调直钢筋时，HPB300 钢筋的冷拉率不宜大于2%；HRB400 钢 筋的冷拉率不宜大于 1%。</w:t>
      </w:r>
    </w:p>
    <w:p>
      <w:pPr>
        <w:keepNext w:val="0"/>
        <w:keepLines w:val="0"/>
        <w:pageBreakBefore w:val="0"/>
        <w:widowControl/>
        <w:kinsoku w:val="0"/>
        <w:wordWrap/>
        <w:overflowPunct/>
        <w:topLinePunct w:val="0"/>
        <w:autoSpaceDE w:val="0"/>
        <w:autoSpaceDN w:val="0"/>
        <w:bidi w:val="0"/>
        <w:adjustRightInd w:val="0"/>
        <w:snapToGrid w:val="0"/>
        <w:spacing w:before="1" w:line="380" w:lineRule="exact"/>
        <w:ind w:left="401" w:right="6884"/>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．钢筋的截断及弯曲 第 (1) 款修改为</w:t>
      </w:r>
      <w:r>
        <w:rPr>
          <w:rFonts w:hint="eastAsia" w:ascii="宋体" w:hAnsi="宋体" w:eastAsia="宋体" w:cs="宋体"/>
          <w:color w:val="auto"/>
          <w:spacing w:val="0"/>
          <w:position w:val="0"/>
          <w:sz w:val="21"/>
          <w:szCs w:val="21"/>
          <w:highlight w:val="none"/>
          <w:lang w:val="en-US" w:eastAsia="zh-CN"/>
        </w:rPr>
        <w:t xml:space="preserve"> ：</w:t>
      </w:r>
    </w:p>
    <w:p>
      <w:pPr>
        <w:keepNext w:val="0"/>
        <w:keepLines w:val="0"/>
        <w:pageBreakBefore w:val="0"/>
        <w:widowControl/>
        <w:kinsoku w:val="0"/>
        <w:wordWrap/>
        <w:overflowPunct/>
        <w:topLinePunct w:val="0"/>
        <w:autoSpaceDE w:val="0"/>
        <w:autoSpaceDN w:val="0"/>
        <w:bidi w:val="0"/>
        <w:adjustRightInd w:val="0"/>
        <w:snapToGrid w:val="0"/>
        <w:spacing w:before="161" w:line="380" w:lineRule="exact"/>
        <w:ind w:left="4" w:right="97" w:firstLine="40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除监理人书面指示外，所有钢筋的截断及弯曲工作均应在工地的加工场内进行， 钢筋加工 场地应搭设加工工棚，地面用素混凝土硬化，做好排水沟。</w:t>
      </w:r>
    </w:p>
    <w:p>
      <w:pPr>
        <w:keepNext w:val="0"/>
        <w:keepLines w:val="0"/>
        <w:pageBreakBefore w:val="0"/>
        <w:widowControl/>
        <w:kinsoku w:val="0"/>
        <w:wordWrap/>
        <w:overflowPunct/>
        <w:topLinePunct w:val="0"/>
        <w:autoSpaceDE w:val="0"/>
        <w:autoSpaceDN w:val="0"/>
        <w:bidi w:val="0"/>
        <w:adjustRightInd w:val="0"/>
        <w:snapToGrid w:val="0"/>
        <w:spacing w:before="1" w:line="380" w:lineRule="exact"/>
        <w:ind w:left="2"/>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403.05  钢筋接头</w:t>
      </w:r>
    </w:p>
    <w:p>
      <w:pPr>
        <w:keepNext w:val="0"/>
        <w:keepLines w:val="0"/>
        <w:pageBreakBefore w:val="0"/>
        <w:widowControl/>
        <w:kinsoku w:val="0"/>
        <w:wordWrap/>
        <w:overflowPunct/>
        <w:topLinePunct w:val="0"/>
        <w:autoSpaceDE w:val="0"/>
        <w:autoSpaceDN w:val="0"/>
        <w:bidi w:val="0"/>
        <w:adjustRightInd w:val="0"/>
        <w:snapToGrid w:val="0"/>
        <w:spacing w:before="197" w:line="380" w:lineRule="exact"/>
        <w:ind w:left="418"/>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1</w:t>
      </w:r>
      <w:r>
        <w:rPr>
          <w:rFonts w:hint="eastAsia" w:ascii="宋体" w:hAnsi="宋体" w:eastAsia="宋体" w:cs="宋体"/>
          <w:color w:val="auto"/>
          <w:spacing w:val="3"/>
          <w:sz w:val="21"/>
          <w:szCs w:val="21"/>
          <w:highlight w:val="none"/>
        </w:rPr>
        <w:t>.一般要求</w:t>
      </w:r>
    </w:p>
    <w:p>
      <w:pPr>
        <w:keepNext w:val="0"/>
        <w:keepLines w:val="0"/>
        <w:pageBreakBefore w:val="0"/>
        <w:widowControl/>
        <w:kinsoku w:val="0"/>
        <w:wordWrap/>
        <w:overflowPunct/>
        <w:topLinePunct w:val="0"/>
        <w:autoSpaceDE w:val="0"/>
        <w:autoSpaceDN w:val="0"/>
        <w:bidi w:val="0"/>
        <w:adjustRightInd w:val="0"/>
        <w:snapToGrid w:val="0"/>
        <w:spacing w:before="161" w:line="380" w:lineRule="exact"/>
        <w:ind w:left="401"/>
        <w:textAlignment w:val="baseline"/>
        <w:rPr>
          <w:rFonts w:hint="eastAsia" w:ascii="宋体" w:hAnsi="宋体" w:eastAsia="宋体" w:cs="宋体"/>
          <w:color w:val="auto"/>
          <w:spacing w:val="12"/>
          <w:sz w:val="21"/>
          <w:szCs w:val="21"/>
          <w:highlight w:val="none"/>
        </w:rPr>
      </w:pPr>
      <w:r>
        <w:rPr>
          <w:rFonts w:hint="eastAsia" w:ascii="宋体" w:hAnsi="宋体" w:eastAsia="宋体" w:cs="宋体"/>
          <w:color w:val="auto"/>
          <w:spacing w:val="21"/>
          <w:sz w:val="21"/>
          <w:szCs w:val="21"/>
          <w:highlight w:val="none"/>
        </w:rPr>
        <w:t>补</w:t>
      </w:r>
      <w:r>
        <w:rPr>
          <w:rFonts w:hint="eastAsia" w:ascii="宋体" w:hAnsi="宋体" w:eastAsia="宋体" w:cs="宋体"/>
          <w:color w:val="auto"/>
          <w:spacing w:val="12"/>
          <w:sz w:val="21"/>
          <w:szCs w:val="21"/>
          <w:highlight w:val="none"/>
        </w:rPr>
        <w:t>充第 (4) 、(5) 款</w:t>
      </w:r>
    </w:p>
    <w:p>
      <w:pPr>
        <w:keepNext w:val="0"/>
        <w:keepLines w:val="0"/>
        <w:pageBreakBefore w:val="0"/>
        <w:widowControl/>
        <w:tabs>
          <w:tab w:val="left" w:pos="115"/>
        </w:tabs>
        <w:kinsoku w:val="0"/>
        <w:wordWrap/>
        <w:overflowPunct/>
        <w:topLinePunct w:val="0"/>
        <w:autoSpaceDE w:val="0"/>
        <w:autoSpaceDN w:val="0"/>
        <w:bidi w:val="0"/>
        <w:adjustRightInd w:val="0"/>
        <w:snapToGrid w:val="0"/>
        <w:spacing w:line="380" w:lineRule="exact"/>
        <w:ind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桩基竖向钢筋全部采用机械连接接长：对于墩身钢筋，直径大于等于 25 毫米的HRB400 钢 筋采用机械连接接长 。钢筋接头等级为 I 级 ，其技术标准应符合《钢筋机械连接技术规程》 (JGJ107-2016) 及《钢筋机械连接用套筒》(JG/T163-2013)的有关规定。 直径&lt;25mm 的钢筋除图纸中有明确要求者除外，宜按规范要求焊接连接，焊缝长度、质量满足规范要求。</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(5)在施工过程中，应严格按照《钢筋焊接及验收规程》(JGJ18-2012) 规定的钢筋焊接的接 头形式、焊接方法、适用范围或图纸中明确的焊接方式进行钢筋的连接。钢筋接头型式应符合下列要 求：</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a ．轴心受拉和小偏心受拉构件中的钢筋接头，不宜采用绑扎；</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b ．钢筋的纵向焊接应采用闪光对焊。当缺乏条件时，可采用电弧焊、 电渣压力焊、气压焊；</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c ．钢筋的交叉连接，无电阻电焊机时，可采用手工电弧焊；</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d ．电渣压力焊只适用于竖向钢筋的连接，不能做水平钢筋和斜筋的连接；</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jc w:val="both"/>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e ．钢筋接头采用搭接或帮条电弧焊时，宜采用双面焊缝。当双面焊缝无法实施时</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方可采用单面焊缝；</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f．钢筋接头采用帮条电弧焊时，帮条应采用与主筋同级别的钢筋，其总截面面积不应小于被焊 钢筋的截面积；</w:t>
      </w:r>
    </w:p>
    <w:p>
      <w:pPr>
        <w:keepNext w:val="0"/>
        <w:keepLines w:val="0"/>
        <w:pageBreakBefore w:val="0"/>
        <w:widowControl/>
        <w:kinsoku w:val="0"/>
        <w:wordWrap/>
        <w:overflowPunct/>
        <w:topLinePunct w:val="0"/>
        <w:autoSpaceDE w:val="0"/>
        <w:autoSpaceDN w:val="0"/>
        <w:bidi w:val="0"/>
        <w:adjustRightInd w:val="0"/>
        <w:snapToGrid w:val="0"/>
        <w:spacing w:line="380" w:lineRule="exact"/>
        <w:ind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2.焊接接头</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(3) 款修改为：</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钢筋的纵向焊接，应采用闪光对焊；当缺乏闪光对焊条件时，可采用电弧焊 (帮条焊、搭 接焊)。 钢筋焊接接头应符合《钢筋焊接及验收规程》(JGJ18－2012)的规定。</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(6) 款 c 项修改为：</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c.  如钢筋种类和直径有变动，或焊工有变换，应对建立的焊接参数进行校核，其方法是取两根钢 筋试样进行 90°冷弯试验。90°冷弯围绕一固定的梢进行， HPB300 钢筋冷弯直径为 2 倍钢筋直径， HRB400 钢筋为 5 倍钢筋直径。当钢筋直径大于 25mm 时，冷弯直径增加一个钢筋直径。对焊接头弯 曲试验时，应将受压面的金属毛刺和因焊接而增厚部分削除，且与母材的外表齐平， 焊缝应处于弯曲中心。</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(6) 款补充第 d 、e 项：</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d ．各种焊条在运输和存放中， 应采取防止受潮变质的措施， 存放在干燥的库房内。焊接中不得 使用受潮变质的焊条，雨雪天气不能露天焊接，平时应保持焊接工作区域内环境干燥清洁。当采用低 氢型碱性焊条时，使用前应按说明书的要求烘焙，干燥后放入保温桶内保温使用； 采用酸性焊条时， 如受潮，在使用前应烘培后再使用。</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e ．必须严格按设计要求选择焊接的焊条、 焊剂，确保焊条的型号、 材质性能、适用范围与钢筋 规格种类相匹配。</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绑扎搭接接头</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(1) 款修改为：</w:t>
      </w:r>
    </w:p>
    <w:p>
      <w:pPr>
        <w:pStyle w:val="2"/>
        <w:keepNext w:val="0"/>
        <w:keepLines w:val="0"/>
        <w:pageBreakBefore w:val="0"/>
        <w:kinsoku w:val="0"/>
        <w:wordWrap/>
        <w:overflowPunct/>
        <w:topLinePunct w:val="0"/>
        <w:autoSpaceDE w:val="0"/>
        <w:autoSpaceDN w:val="0"/>
        <w:bidi w:val="0"/>
        <w:adjustRightInd w:val="0"/>
        <w:snapToGrid w:val="0"/>
        <w:spacing w:line="380" w:lineRule="exact"/>
        <w:textAlignment w:val="baseline"/>
        <w:rPr>
          <w:rFonts w:hint="eastAsia" w:ascii="宋体" w:hAnsi="宋体" w:eastAsia="宋体" w:cs="宋体"/>
          <w:color w:val="auto"/>
          <w:spacing w:val="0"/>
          <w:position w:val="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380" w:lineRule="exact"/>
        <w:ind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绑扎搭接，除图纸所示或监理人同意(当无焊接及机械接头条件时，且钢筋直径≤25mm) 外， 一般不宜采用。绑扎搭接长度不应小于表 403-3  的规定。在受拉区，光圆钢筋绑扎接头末端应设 180°弯钩，带肋钢筋的绑扎接头末端可不做弯钩。受压带肋钢筋绑扎接头的搭接长度，应取受拉钢筋绑扎 接头搭接长度的0.7 倍。</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jc w:val="center"/>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14:textOutline w14:w="3788" w14:cap="flat" w14:cmpd="sng">
            <w14:solidFill>
              <w14:srgbClr w14:val="000000"/>
            </w14:solidFill>
            <w14:prstDash w14:val="solid"/>
            <w14:miter w14:val="0"/>
          </w14:textOutline>
        </w:rPr>
        <w:t>受拉钢筋绑扎接头的搭接长度</w:t>
      </w:r>
      <w:r>
        <w:rPr>
          <w:rFonts w:hint="eastAsia" w:ascii="宋体" w:hAnsi="宋体" w:eastAsia="宋体" w:cs="宋体"/>
          <w:color w:val="auto"/>
          <w:spacing w:val="0"/>
          <w:position w:val="0"/>
          <w:sz w:val="21"/>
          <w:szCs w:val="21"/>
          <w:highlight w:val="none"/>
        </w:rPr>
        <w:t xml:space="preserve"> </w:t>
      </w:r>
      <w:r>
        <w:rPr>
          <w:rFonts w:hint="eastAsia" w:ascii="宋体" w:hAnsi="宋体" w:eastAsia="宋体" w:cs="宋体"/>
          <w:color w:val="auto"/>
          <w:spacing w:val="0"/>
          <w:position w:val="0"/>
          <w:sz w:val="21"/>
          <w:szCs w:val="21"/>
          <w:highlight w:val="none"/>
          <w14:textOutline w14:w="3788" w14:cap="flat" w14:cmpd="sng">
            <w14:solidFill>
              <w14:srgbClr w14:val="000000"/>
            </w14:solidFill>
            <w14:prstDash w14:val="solid"/>
            <w14:miter w14:val="0"/>
          </w14:textOutline>
        </w:rPr>
        <w:t>表</w:t>
      </w:r>
      <w:r>
        <w:rPr>
          <w:rFonts w:hint="eastAsia" w:ascii="宋体" w:hAnsi="宋体" w:eastAsia="宋体" w:cs="宋体"/>
          <w:color w:val="auto"/>
          <w:spacing w:val="0"/>
          <w:position w:val="0"/>
          <w:sz w:val="21"/>
          <w:szCs w:val="21"/>
          <w:highlight w:val="none"/>
        </w:rPr>
        <w:t xml:space="preserve"> </w:t>
      </w:r>
      <w:r>
        <w:rPr>
          <w:rFonts w:hint="eastAsia" w:ascii="宋体" w:hAnsi="宋体" w:eastAsia="宋体" w:cs="宋体"/>
          <w:b/>
          <w:bCs/>
          <w:color w:val="auto"/>
          <w:spacing w:val="0"/>
          <w:position w:val="0"/>
          <w:sz w:val="21"/>
          <w:szCs w:val="21"/>
          <w:highlight w:val="none"/>
        </w:rPr>
        <w:t>403-3</w:t>
      </w:r>
    </w:p>
    <w:tbl>
      <w:tblPr>
        <w:tblStyle w:val="26"/>
        <w:tblW w:w="7766" w:type="dxa"/>
        <w:tblInd w:w="4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13"/>
        <w:gridCol w:w="1842"/>
        <w:gridCol w:w="1698"/>
        <w:gridCol w:w="181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2413" w:type="dxa"/>
            <w:tcBorders>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钢筋类型</w:t>
            </w:r>
          </w:p>
        </w:tc>
        <w:tc>
          <w:tcPr>
            <w:tcW w:w="3540" w:type="dxa"/>
            <w:gridSpan w:val="2"/>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HPB300</w:t>
            </w:r>
          </w:p>
        </w:tc>
        <w:tc>
          <w:tcPr>
            <w:tcW w:w="1813" w:type="dxa"/>
            <w:tcBorders>
              <w:lef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HRB400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2413" w:type="dxa"/>
            <w:tcBorders>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混凝土强度等级</w:t>
            </w:r>
          </w:p>
        </w:tc>
        <w:tc>
          <w:tcPr>
            <w:tcW w:w="184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C25</w:t>
            </w:r>
          </w:p>
        </w:tc>
        <w:tc>
          <w:tcPr>
            <w:tcW w:w="1698"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≥30</w:t>
            </w:r>
          </w:p>
        </w:tc>
        <w:tc>
          <w:tcPr>
            <w:tcW w:w="1813" w:type="dxa"/>
            <w:tcBorders>
              <w:lef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2413" w:type="dxa"/>
            <w:tcBorders>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搭接长度 (mm )</w:t>
            </w:r>
          </w:p>
        </w:tc>
        <w:tc>
          <w:tcPr>
            <w:tcW w:w="184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40d</w:t>
            </w:r>
          </w:p>
        </w:tc>
        <w:tc>
          <w:tcPr>
            <w:tcW w:w="1698"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35d</w:t>
            </w:r>
          </w:p>
        </w:tc>
        <w:tc>
          <w:tcPr>
            <w:tcW w:w="1813" w:type="dxa"/>
            <w:tcBorders>
              <w:lef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45d</w:t>
            </w:r>
          </w:p>
        </w:tc>
      </w:tr>
    </w:tbl>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注：①表中d 为钢筋直径。</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②当带肋钢筋直径 d 大于 25mm 时，其受拉钢筋的搭接长度应按表中值增加 5d 采用； 当带肋钢 筋直径 d 小于或等于 25mm 时，其受拉钢筋的搭接长度可按表中值减少5d 采用。</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③当混凝土在凝固过程中受力钢筋易受扰动时，其搭接长度应增加 5d。</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④在任何情况下，纵向受拉钢筋的搭接长度应不小于 300mm ，受压钢筋的搭接长度应不小于 200mm。</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⑤环氧树脂涂层钢筋的绑扎接头搭接长度，受拉钢筋按表值的 1.5 倍采用。</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⑥两根不同直径钢筋的搭接长度， 以较细的钢筋直径计算。</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．钢筋机械连接接头 (简称机械接头)</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一般规定</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a 、d 、f 项修改为：</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a.使用机械接头时宜采用套简挤压接头、滚轧直螺纹接头和镦粗直螺纹接头，应符合《钢筋机械</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连接技术规程》(JGJ107-2016)的规定。</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d.钢筋机械连接接头的等级应选用I 级或Ⅱ级，接头的性能指标应符合 《公路桥涵施工技术规范》 (JTG/T3650-2020) 附录 B 的规定。</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f.钢筋连接件的混凝土保护层厚度应满足本规范第 410 节规定的最小厚度的要求，且不得小于 20mm 。连接件之间的横向净距不宜小于 25mm。</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镦粗直螺纹钢筋接头</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b.丝头</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(b) 目修改为：</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(b)钢筋丝头的螺纹应与连接套筒的螺纹相匹配，公差带应符合《普通螺纹公差》(GB/T197-2018) 的规定，螺纹精度可选用6f 级。</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 滚轧直螺纹钢筋连接接头</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a.连接套筒及螺母</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(b) 目修改为：</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color w:val="auto"/>
          <w:highlight w:val="none"/>
        </w:rPr>
      </w:pPr>
      <w:r>
        <w:rPr>
          <w:rFonts w:hint="eastAsia" w:ascii="宋体" w:hAnsi="宋体" w:eastAsia="宋体" w:cs="宋体"/>
          <w:color w:val="auto"/>
          <w:spacing w:val="0"/>
          <w:position w:val="0"/>
          <w:sz w:val="21"/>
          <w:szCs w:val="21"/>
          <w:highlight w:val="none"/>
        </w:rPr>
        <w:t>(b)连接套筒的尺寸、螺纹规格应符合产品设计要求及《钢筋机械连接用套筒》(JG/T 163-2013)</w:t>
      </w:r>
      <w:r>
        <w:rPr>
          <w:rFonts w:hint="eastAsia" w:ascii="宋体" w:hAnsi="宋体" w:eastAsia="宋体" w:cs="宋体"/>
          <w:color w:val="auto"/>
          <w:spacing w:val="0"/>
          <w:position w:val="0"/>
          <w:sz w:val="21"/>
          <w:szCs w:val="21"/>
          <w:highlight w:val="none"/>
          <w:lang w:eastAsia="zh-CN"/>
        </w:rPr>
        <w:t>、</w:t>
      </w:r>
      <w:bookmarkStart w:id="672" w:name="_bookmark173"/>
      <w:bookmarkEnd w:id="672"/>
      <w:bookmarkStart w:id="673" w:name="_bookmark174"/>
      <w:bookmarkEnd w:id="673"/>
      <w:bookmarkStart w:id="674" w:name="_bookmark175"/>
      <w:bookmarkEnd w:id="674"/>
      <w:r>
        <w:rPr>
          <w:rFonts w:hint="eastAsia" w:ascii="宋体" w:hAnsi="宋体" w:eastAsia="宋体" w:cs="宋体"/>
          <w:color w:val="auto"/>
          <w:spacing w:val="0"/>
          <w:position w:val="0"/>
          <w:sz w:val="21"/>
          <w:szCs w:val="21"/>
          <w:highlight w:val="none"/>
        </w:rPr>
        <w:t>《普通螺纹基本尺寸》(GB/T 196-2003)的相关规定； 螺纹中径公差应符合《普通螺纹公差》 (GB/T197-2018)中 6H 级精度规定的要求。</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403.06  钢筋骨架和钢筋网 第 2 、3 、4 条修改为：</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．预制成的钢筋骨架，必须具有足够的刚度和稳定性，以便在运送、吊装和浇筑混凝土时不致 松散、移位、变形，必要时可在钢筋骨架的某些连接点处加以焊接或增设加强钢筋。吊装钢筋骨架时，采用多吊点起吊，吊点间距要均匀分布，为防止吊装时钢筋骨架局部产生过大变形，钢筋骨架上应设置专用吊架。</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．钢筋骨架的焊接拼装应在坚固的工作台上进行，操作应按《公路桥涵施工技术规范》</w:t>
      </w:r>
    </w:p>
    <w:p>
      <w:pPr>
        <w:keepNext w:val="0"/>
        <w:keepLines w:val="0"/>
        <w:pageBreakBefore w:val="0"/>
        <w:widowControl/>
        <w:kinsoku w:val="0"/>
        <w:wordWrap/>
        <w:overflowPunct/>
        <w:topLinePunct w:val="0"/>
        <w:autoSpaceDE w:val="0"/>
        <w:autoSpaceDN w:val="0"/>
        <w:bidi w:val="0"/>
        <w:adjustRightInd w:val="0"/>
        <w:snapToGrid w:val="0"/>
        <w:spacing w:line="380" w:lineRule="exact"/>
        <w:ind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(JTG/T3650-2020) 第 4.4.5  条的规定执行。</w:t>
      </w:r>
    </w:p>
    <w:p>
      <w:pPr>
        <w:keepNext w:val="0"/>
        <w:keepLines w:val="0"/>
        <w:pageBreakBefore w:val="0"/>
        <w:widowControl/>
        <w:kinsoku w:val="0"/>
        <w:wordWrap/>
        <w:overflowPunct/>
        <w:topLinePunct w:val="0"/>
        <w:autoSpaceDE w:val="0"/>
        <w:autoSpaceDN w:val="0"/>
        <w:bidi w:val="0"/>
        <w:adjustRightInd w:val="0"/>
        <w:snapToGrid w:val="0"/>
        <w:spacing w:line="38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．钢筋网的焊接应按《公路桥涵施工技术规范》(JTG/T 3650-2020) 第 4.4.6 条规定执行。若采用定型钢筋焊接网时，其技术要求、试验方法、检验规则及质量证明书等应符合《钢筋混凝土用钢筋焊接网》(GB/T 1499.3-2010)的规定。</w:t>
      </w:r>
    </w:p>
    <w:p>
      <w:pPr>
        <w:pStyle w:val="2"/>
        <w:rPr>
          <w:rFonts w:hint="eastAsia"/>
          <w:color w:val="auto"/>
          <w:highlight w:val="none"/>
        </w:rPr>
        <w:sectPr>
          <w:headerReference r:id="rId32" w:type="default"/>
          <w:footerReference r:id="rId33" w:type="default"/>
          <w:pgSz w:w="11900" w:h="16840"/>
          <w:pgMar w:top="1160" w:right="1261" w:bottom="1448" w:left="1363" w:header="883" w:footer="1234"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before="101" w:line="360" w:lineRule="exact"/>
        <w:jc w:val="center"/>
        <w:textAlignment w:val="baseline"/>
        <w:outlineLvl w:val="1"/>
        <w:rPr>
          <w:rFonts w:hint="eastAsia" w:ascii="宋体" w:hAnsi="宋体" w:eastAsia="宋体" w:cs="宋体"/>
          <w:b/>
          <w:bCs/>
          <w:color w:val="auto"/>
          <w:spacing w:val="6"/>
          <w:sz w:val="31"/>
          <w:szCs w:val="31"/>
          <w:highlight w:val="none"/>
        </w:rPr>
      </w:pPr>
      <w:bookmarkStart w:id="675" w:name="_bookmark176"/>
      <w:bookmarkEnd w:id="675"/>
      <w:bookmarkStart w:id="676" w:name="_Toc20005"/>
      <w:r>
        <w:rPr>
          <w:rFonts w:hint="eastAsia" w:ascii="宋体" w:hAnsi="宋体" w:eastAsia="宋体" w:cs="宋体"/>
          <w:b/>
          <w:bCs/>
          <w:color w:val="auto"/>
          <w:spacing w:val="6"/>
          <w:sz w:val="31"/>
          <w:szCs w:val="31"/>
          <w:highlight w:val="none"/>
        </w:rPr>
        <w:t>第 404 节  基础挖方及回填</w:t>
      </w:r>
      <w:bookmarkEnd w:id="676"/>
    </w:p>
    <w:p>
      <w:pPr>
        <w:keepNext w:val="0"/>
        <w:keepLines w:val="0"/>
        <w:pageBreakBefore w:val="0"/>
        <w:widowControl/>
        <w:kinsoku w:val="0"/>
        <w:wordWrap/>
        <w:overflowPunct/>
        <w:topLinePunct w:val="0"/>
        <w:autoSpaceDE w:val="0"/>
        <w:autoSpaceDN w:val="0"/>
        <w:bidi w:val="0"/>
        <w:adjustRightInd w:val="0"/>
        <w:snapToGrid w:val="0"/>
        <w:spacing w:before="240" w:line="360" w:lineRule="exact"/>
        <w:ind w:left="2"/>
        <w:textAlignment w:val="baseline"/>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404.</w:t>
      </w:r>
      <w:r>
        <w:rPr>
          <w:rFonts w:hint="eastAsia" w:ascii="宋体" w:hAnsi="宋体" w:eastAsia="宋体" w:cs="宋体"/>
          <w:color w:val="auto"/>
          <w:sz w:val="28"/>
          <w:szCs w:val="28"/>
          <w:highlight w:val="none"/>
        </w:rPr>
        <w:t>02  施工要求</w:t>
      </w:r>
    </w:p>
    <w:p>
      <w:pPr>
        <w:keepNext w:val="0"/>
        <w:keepLines w:val="0"/>
        <w:pageBreakBefore w:val="0"/>
        <w:widowControl/>
        <w:kinsoku w:val="0"/>
        <w:wordWrap/>
        <w:overflowPunct/>
        <w:topLinePunct w:val="0"/>
        <w:autoSpaceDE w:val="0"/>
        <w:autoSpaceDN w:val="0"/>
        <w:bidi w:val="0"/>
        <w:adjustRightInd w:val="0"/>
        <w:snapToGrid w:val="0"/>
        <w:spacing w:before="201" w:line="360" w:lineRule="exact"/>
        <w:ind w:left="397"/>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．开挖</w:t>
      </w:r>
    </w:p>
    <w:p>
      <w:pPr>
        <w:keepNext w:val="0"/>
        <w:keepLines w:val="0"/>
        <w:pageBreakBefore w:val="0"/>
        <w:widowControl/>
        <w:kinsoku w:val="0"/>
        <w:wordWrap/>
        <w:overflowPunct/>
        <w:topLinePunct w:val="0"/>
        <w:autoSpaceDE w:val="0"/>
        <w:autoSpaceDN w:val="0"/>
        <w:bidi w:val="0"/>
        <w:adjustRightInd w:val="0"/>
        <w:snapToGrid w:val="0"/>
        <w:spacing w:before="110" w:line="360" w:lineRule="exact"/>
        <w:ind w:left="40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(11)、 ( 12)、( 13)、(14)款</w:t>
      </w:r>
    </w:p>
    <w:p>
      <w:pPr>
        <w:keepNext w:val="0"/>
        <w:keepLines w:val="0"/>
        <w:pageBreakBefore w:val="0"/>
        <w:widowControl/>
        <w:kinsoku w:val="0"/>
        <w:wordWrap/>
        <w:overflowPunct/>
        <w:topLinePunct w:val="0"/>
        <w:autoSpaceDE w:val="0"/>
        <w:autoSpaceDN w:val="0"/>
        <w:bidi w:val="0"/>
        <w:adjustRightInd w:val="0"/>
        <w:snapToGrid w:val="0"/>
        <w:spacing w:before="163" w:line="360" w:lineRule="exact"/>
        <w:ind w:left="5" w:right="56" w:firstLine="40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(11)基坑开挖时现场要有专人指挥，陆域及一般河沟处基坑均需采用钢板桩进行支护，同时基 坑需边开挖边检查坑壁安全，基坑深度超过 2 米以上且坑壁陡立时应设供人员上下的爬梯，坑顶四周设高度不小于 1.2m 的防护栏杆。</w:t>
      </w:r>
    </w:p>
    <w:p>
      <w:pPr>
        <w:keepNext w:val="0"/>
        <w:keepLines w:val="0"/>
        <w:pageBreakBefore w:val="0"/>
        <w:widowControl/>
        <w:kinsoku w:val="0"/>
        <w:wordWrap/>
        <w:overflowPunct/>
        <w:topLinePunct w:val="0"/>
        <w:autoSpaceDE w:val="0"/>
        <w:autoSpaceDN w:val="0"/>
        <w:bidi w:val="0"/>
        <w:adjustRightInd w:val="0"/>
        <w:snapToGrid w:val="0"/>
        <w:spacing w:before="2" w:line="360" w:lineRule="exact"/>
        <w:ind w:left="5" w:right="53" w:firstLine="40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(12) 采用机械开挖基础时不能直接挖至设计基础的底标高， 必须预留 0.3m~0.5m 由人工开挖 修整，并应严格控制欠挖。</w:t>
      </w:r>
    </w:p>
    <w:p>
      <w:pPr>
        <w:keepNext w:val="0"/>
        <w:keepLines w:val="0"/>
        <w:pageBreakBefore w:val="0"/>
        <w:widowControl/>
        <w:kinsoku w:val="0"/>
        <w:wordWrap/>
        <w:overflowPunct/>
        <w:topLinePunct w:val="0"/>
        <w:autoSpaceDE w:val="0"/>
        <w:autoSpaceDN w:val="0"/>
        <w:bidi w:val="0"/>
        <w:adjustRightInd w:val="0"/>
        <w:snapToGrid w:val="0"/>
        <w:spacing w:before="1" w:line="360" w:lineRule="exact"/>
        <w:ind w:left="5" w:right="34" w:firstLine="40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(13) 桥梁在施工时在河道管理范围内堆放施工器材、工具、修建围堤、围墙、阻水道路或者修 筑施工围堰等临时设施时均会降低河道行洪排涝能力，建议尽量将施工期安排在非汛期，汛期来临前清理一切阻水建筑物， 以保证河道原有的过水能力，涉河施工方案应报水行政主管部门批准并备案。</w:t>
      </w:r>
    </w:p>
    <w:p>
      <w:pPr>
        <w:keepNext w:val="0"/>
        <w:keepLines w:val="0"/>
        <w:pageBreakBefore w:val="0"/>
        <w:widowControl/>
        <w:kinsoku w:val="0"/>
        <w:wordWrap/>
        <w:overflowPunct/>
        <w:topLinePunct w:val="0"/>
        <w:autoSpaceDE w:val="0"/>
        <w:autoSpaceDN w:val="0"/>
        <w:bidi w:val="0"/>
        <w:adjustRightInd w:val="0"/>
        <w:snapToGrid w:val="0"/>
        <w:spacing w:before="3" w:line="360" w:lineRule="exact"/>
        <w:ind w:left="4" w:right="56" w:firstLine="40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(14) 桥墩布置于河道堤防上或距堤防工程较近的，会对现有河道护岸、堤坝等水利设施结构造 成不利影响的，桥梁下部结构施工前，工程方案经监理人同意后，上报工程所在地的县 (市) 区水行政主管部门审查并批准。需要对现状堤防进行破除，基础施工完成后需进行原状恢复，为降低对护岸边坡稳定的影响，应做好护岸护砌措施。</w:t>
      </w:r>
    </w:p>
    <w:p>
      <w:pPr>
        <w:keepNext w:val="0"/>
        <w:keepLines w:val="0"/>
        <w:pageBreakBefore w:val="0"/>
        <w:widowControl/>
        <w:kinsoku w:val="0"/>
        <w:wordWrap/>
        <w:overflowPunct/>
        <w:topLinePunct w:val="0"/>
        <w:autoSpaceDE w:val="0"/>
        <w:autoSpaceDN w:val="0"/>
        <w:bidi w:val="0"/>
        <w:adjustRightInd w:val="0"/>
        <w:snapToGrid w:val="0"/>
        <w:spacing w:before="101" w:line="360" w:lineRule="exact"/>
        <w:jc w:val="center"/>
        <w:textAlignment w:val="baseline"/>
        <w:outlineLvl w:val="1"/>
        <w:rPr>
          <w:rFonts w:hint="eastAsia" w:ascii="宋体" w:hAnsi="宋体" w:eastAsia="宋体" w:cs="宋体"/>
          <w:b/>
          <w:bCs/>
          <w:color w:val="auto"/>
          <w:spacing w:val="6"/>
          <w:sz w:val="31"/>
          <w:szCs w:val="31"/>
          <w:highlight w:val="none"/>
        </w:rPr>
      </w:pPr>
    </w:p>
    <w:p>
      <w:pPr>
        <w:keepNext w:val="0"/>
        <w:keepLines w:val="0"/>
        <w:pageBreakBefore w:val="0"/>
        <w:widowControl/>
        <w:kinsoku w:val="0"/>
        <w:wordWrap/>
        <w:overflowPunct/>
        <w:topLinePunct w:val="0"/>
        <w:autoSpaceDE w:val="0"/>
        <w:autoSpaceDN w:val="0"/>
        <w:bidi w:val="0"/>
        <w:adjustRightInd w:val="0"/>
        <w:snapToGrid w:val="0"/>
        <w:spacing w:before="101" w:line="360" w:lineRule="exact"/>
        <w:jc w:val="center"/>
        <w:textAlignment w:val="baseline"/>
        <w:outlineLvl w:val="1"/>
        <w:rPr>
          <w:rFonts w:hint="eastAsia" w:ascii="宋体" w:hAnsi="宋体" w:eastAsia="宋体" w:cs="宋体"/>
          <w:b/>
          <w:bCs/>
          <w:color w:val="auto"/>
          <w:spacing w:val="6"/>
          <w:sz w:val="31"/>
          <w:szCs w:val="31"/>
          <w:highlight w:val="none"/>
        </w:rPr>
      </w:pPr>
      <w:r>
        <w:rPr>
          <w:rFonts w:hint="eastAsia" w:ascii="宋体" w:hAnsi="宋体" w:eastAsia="宋体" w:cs="宋体"/>
          <w:b/>
          <w:bCs/>
          <w:color w:val="auto"/>
          <w:spacing w:val="6"/>
          <w:sz w:val="31"/>
          <w:szCs w:val="31"/>
          <w:highlight w:val="none"/>
        </w:rPr>
        <w:t>第 405 节  钻孔灌注桩</w:t>
      </w:r>
    </w:p>
    <w:p>
      <w:pPr>
        <w:pStyle w:val="2"/>
        <w:keepNext w:val="0"/>
        <w:keepLines w:val="0"/>
        <w:pageBreakBefore w:val="0"/>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405.03  材料及水下混凝土</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第 2 条第 (3) 款内容修改为：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(3) 粗集料的最大粒径不应大于导管内径的 1/8~1/6 和钢筋最小净距的 1/4 ， 同时不得大于</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37.5mm。</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405.04  钻孔</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第 2 条第 (3) 款内容修改为：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(3) 护筒高度宜高出地面 0.3m 或水面 1.0~2.0m ，同时应高于桩顶设计高程 1m。</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405.05  固孔</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第 4 条修改为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4 ．胶泥应用清水彻底拌和成悬浮体，使在灌注混凝土时及至施工完成保持钻孔孔壁的稳定。 泥浆的性能指标按《公路桥梁施工技术规范》(JTG/T 3650-2020) 第 9.2.6 条执行，施工时除相对密度和黏度应进行试验外，如果监理人要求，其他指标也应予以抽检。</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桩基施工时建议成孔时将泥浆粘度调至 20s 以上，使保证不塌孔。</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405.06  钻 (挖) 孔工序</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补充第 5 、6 条：</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5 ．钻孔至设计深度后，要加密取渣频率， 以正确判定地质变化，确定持力层土层性质， 并在施工过程中报地质工程师及监理等相关人员确认。</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6 ．同一承台下的相邻桩不得同时进行施工， 应等相邻桩水下混凝土灌注完毕满 36 小时后才能开工。桩净距在 4 倍桩径以上可不受此条约束。</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405.07  清孔</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第 3 条修改为：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3 ．清孔后孔底沉淀物厚度应按图纸规定值进行检查，不得采用加深钻孔深度的方式代替清孔。对于砂层较厚的地层，确保二次清孔采用反循环并用空压机配合，以缩短清孔时间，争取在最短时间将孔底沉渣清到设计要求厚度。</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405.09  钢筋骨架</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第 2 、3 条内容修改为：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 ．钢筋骨架焊接应严格按照《钢筋焊接及验收规程》(JGJ18-2012) 执行。钢筋骨架应有足够的强劲内撑架，图纸无规定时，螺旋筋与主筋宜采用交叉点焊固定，防止钢筋骨架在运输和就位时变形，在钢筋骨架顶面应采取有效方法进行固定，防止混凝土灌注过程中钢筋骨架上升。支承系统应对准中线防止钢筋骨架倾斜和移动。</w:t>
      </w:r>
      <w:bookmarkStart w:id="677" w:name="_bookmark177"/>
      <w:bookmarkEnd w:id="677"/>
      <w:bookmarkStart w:id="678" w:name="_bookmark178"/>
      <w:bookmarkEnd w:id="678"/>
    </w:p>
    <w:p>
      <w:pPr>
        <w:keepNext w:val="0"/>
        <w:keepLines w:val="0"/>
        <w:pageBreakBefore w:val="0"/>
        <w:widowControl/>
        <w:kinsoku w:val="0"/>
        <w:wordWrap/>
        <w:overflowPunct/>
        <w:topLinePunct w:val="0"/>
        <w:autoSpaceDE w:val="0"/>
        <w:autoSpaceDN w:val="0"/>
        <w:bidi w:val="0"/>
        <w:adjustRightInd w:val="0"/>
        <w:snapToGrid w:val="0"/>
        <w:spacing w:line="360" w:lineRule="exact"/>
        <w:ind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3 ．钢筋骨架上应事先安设控制钢筋骨架与孔壁净距满足图纸要求的混凝土垫块，这些垫块应可靠地以等距离绑在钢筋骨架周径上，其沿桩长方向的间距不超过2m </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横向圆周不得少于 4 处。但图示者除外。混凝土垫块的形状应做成中心留孔的预制圆板，便于穿挂在骨架的箍筋上；或者采用其他有效方法以保证图纸要求的保护层得到满足。钢筋骨架底面高程允许偏差为±50mm。</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5 条：</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 ．桩基钢筋骨架入孔前应严格自检、报检，每节骨架均应有半成品标志牌，标明墩号、 桩号</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节号，仔细检查每节钢筋骨架的各项指标： 直径、根数、间距、长度、焊接质量等；两节以上钢筋骨架入孔时，每次骨架连接好后必须通知监理人验收合格后才能继续下道工序。钢筋骨架对接时应采用机械连接，各类接头的性能均应符合现行行业标准《钢筋机械连接技术规程》(JGJ107)的规定，同时需满足《公路桥涵施工技术规范》(JTG/T 3650-2020)的相关规定。</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405. 13 小节：</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405. 13  声测管</w:t>
      </w:r>
    </w:p>
    <w:p>
      <w:pPr>
        <w:keepNext w:val="0"/>
        <w:keepLines w:val="0"/>
        <w:pageBreakBefore w:val="0"/>
        <w:widowControl/>
        <w:tabs>
          <w:tab w:val="left" w:pos="115"/>
        </w:tabs>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为了确保桩基的质量， 声测管必须按图纸要求进行埋设。 声测管的埋设按 《公路工程基桩检测技术规程》(JTG/T 3512-2020 ) 的有关要求 ， 并采用符合《混凝土灌注桩用高强钢塑声测管》 (JT/T871-2013)等其它行业标准中性能可靠的材料。当桩径不大于 1.5m 时，埋设 3 根声测管， 当桩径大于 1.5m 时，埋设 4 根声测管。声测管应牢固绑扎在钢筋笼内侧，随钢筋笼分段安装，管与管互相平行、定位准确，并埋设至桩底。</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声测管高出基桩顶面 50cm 以上，下端焊接钢板来保证密封，要求不漏水。声测管接头应密封好，顶部用木塞封闭，防止砂浆、杂物堵塞管道。底部每埋设一节应向管内加注清水。混凝土浇筑前应用塞子堵死管口，避免杂物进入，声测管采用相应直径的套管对焊接长。</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对声测管总体的要求：接头牢固不脱开，密封不漏浆；管壁平整无弯折、变形；管体竖直；管内畅通。</w:t>
      </w:r>
    </w:p>
    <w:p>
      <w:pPr>
        <w:pStyle w:val="2"/>
        <w:rPr>
          <w:rFonts w:hint="eastAsia" w:ascii="宋体" w:hAnsi="宋体" w:eastAsia="宋体" w:cs="宋体"/>
          <w:color w:val="auto"/>
          <w:spacing w:val="0"/>
          <w:sz w:val="21"/>
          <w:szCs w:val="21"/>
          <w:highlight w:val="none"/>
        </w:rPr>
        <w:sectPr>
          <w:footerReference r:id="rId34" w:type="default"/>
          <w:pgSz w:w="11900" w:h="16840"/>
          <w:pgMar w:top="1160" w:right="1300" w:bottom="1448" w:left="1363" w:header="883" w:footer="1234"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44" w:firstLineChars="200"/>
        <w:textAlignment w:val="baseline"/>
        <w:rPr>
          <w:rFonts w:hint="eastAsia" w:ascii="宋体" w:hAnsi="宋体" w:eastAsia="宋体" w:cs="宋体"/>
          <w:color w:val="auto"/>
          <w:spacing w:val="6"/>
          <w:sz w:val="21"/>
          <w:highlight w:val="none"/>
        </w:rPr>
      </w:pPr>
      <w:bookmarkStart w:id="679" w:name="_bookmark179"/>
      <w:bookmarkEnd w:id="679"/>
    </w:p>
    <w:p>
      <w:pPr>
        <w:keepNext w:val="0"/>
        <w:keepLines w:val="0"/>
        <w:pageBreakBefore w:val="0"/>
        <w:widowControl/>
        <w:kinsoku w:val="0"/>
        <w:wordWrap/>
        <w:overflowPunct/>
        <w:topLinePunct w:val="0"/>
        <w:autoSpaceDE w:val="0"/>
        <w:autoSpaceDN w:val="0"/>
        <w:bidi w:val="0"/>
        <w:adjustRightInd w:val="0"/>
        <w:snapToGrid w:val="0"/>
        <w:spacing w:before="101" w:line="360" w:lineRule="exact"/>
        <w:jc w:val="center"/>
        <w:textAlignment w:val="baseline"/>
        <w:outlineLvl w:val="1"/>
        <w:rPr>
          <w:rFonts w:hint="eastAsia" w:ascii="宋体" w:hAnsi="宋体" w:eastAsia="宋体" w:cs="宋体"/>
          <w:b/>
          <w:bCs/>
          <w:color w:val="auto"/>
          <w:spacing w:val="6"/>
          <w:sz w:val="31"/>
          <w:szCs w:val="31"/>
          <w:highlight w:val="none"/>
        </w:rPr>
      </w:pPr>
      <w:bookmarkStart w:id="680" w:name="_Toc7424"/>
      <w:r>
        <w:rPr>
          <w:rFonts w:hint="eastAsia" w:ascii="宋体" w:hAnsi="宋体" w:eastAsia="宋体" w:cs="宋体"/>
          <w:b/>
          <w:bCs/>
          <w:color w:val="auto"/>
          <w:spacing w:val="6"/>
          <w:sz w:val="31"/>
          <w:szCs w:val="31"/>
          <w:highlight w:val="none"/>
        </w:rPr>
        <w:t>第 410 节  结构混凝土工程</w:t>
      </w:r>
      <w:bookmarkEnd w:id="680"/>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6"/>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6"/>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6"/>
          <w:sz w:val="28"/>
          <w:szCs w:val="28"/>
          <w:highlight w:val="none"/>
        </w:rPr>
      </w:pPr>
      <w:r>
        <w:rPr>
          <w:rFonts w:hint="eastAsia" w:ascii="宋体" w:hAnsi="宋体" w:eastAsia="宋体" w:cs="宋体"/>
          <w:color w:val="auto"/>
          <w:spacing w:val="6"/>
          <w:sz w:val="28"/>
          <w:szCs w:val="28"/>
          <w:highlight w:val="none"/>
        </w:rPr>
        <w:t>410.02  集料</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．细集料</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(1) 款修改为：</w:t>
      </w:r>
    </w:p>
    <w:p>
      <w:pPr>
        <w:keepNext w:val="0"/>
        <w:keepLines w:val="0"/>
        <w:pageBreakBefore w:val="0"/>
        <w:widowControl/>
        <w:numPr>
          <w:ilvl w:val="0"/>
          <w:numId w:val="11"/>
        </w:numPr>
        <w:tabs>
          <w:tab w:val="left" w:pos="115"/>
        </w:tabs>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细集料应由颗粒坚硬、强度高、耐风化的天然砂构成， 天然砂云母含量小于 2% 。除此之外，经发包人、监理人批准允许采用硬质岩石加工的机制砂 ，机制砂应符合国标《建设用砂》 (GB/T14684-2011)、 《浙江省交通建设工程机制砂生产 (干法) 及机制砂混凝土技术指南》  (浙江 省交通运输厅 2016 年 1 月) 和《公路桥涵施工技术规范》(JTG/T 3650-2020)的Ⅱ类砂技术要求。 严禁使用海砂、山砂及风化严重的多孔砂。</w:t>
      </w:r>
    </w:p>
    <w:p>
      <w:pPr>
        <w:pStyle w:val="2"/>
        <w:keepNext w:val="0"/>
        <w:keepLines w:val="0"/>
        <w:pageBreakBefore w:val="0"/>
        <w:widowControl w:val="0"/>
        <w:numPr>
          <w:ilvl w:val="0"/>
          <w:numId w:val="0"/>
        </w:numPr>
        <w:suppressLineNumbers w:val="0"/>
        <w:kinsoku w:val="0"/>
        <w:wordWrap/>
        <w:overflowPunct/>
        <w:topLinePunct w:val="0"/>
        <w:autoSpaceDE w:val="0"/>
        <w:autoSpaceDN w:val="0"/>
        <w:bidi w:val="0"/>
        <w:adjustRightInd w:val="0"/>
        <w:snapToGrid w:val="0"/>
        <w:spacing w:before="0" w:beforeAutospacing="0" w:after="120" w:afterLines="0" w:afterAutospacing="0" w:line="360" w:lineRule="exact"/>
        <w:ind w:right="0" w:rightChars="0"/>
        <w:jc w:val="both"/>
        <w:textAlignment w:val="baseline"/>
        <w:rPr>
          <w:rFonts w:hint="eastAsia"/>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(3) 款修改为：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细集料的级配范围、坚固性、杂质的最大含量应符合《公路桥涵施工技术规范》(JTG/T 3650-2020) 中 6.3 节要求，试验应按《公路工程集料试验规程》(JTG E42-2005) 进行。”</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．粗集料</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(1) 、(2) 、(3) 、(4) 款修改为：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粗集料应由符合《公路桥涵施工技术规范》(JTG/T 3650-2020) 表 6.4.3 级配的坚硬碎石组成。C30 及 C30 以上的混凝土应采用反击式破碎机生产的粒径不大于 25mm连续级配碎石。大体积混凝土宜选用线胀系数较小的集料。C50 及以上混凝土粗集料宜水洗。</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粗集料宜采用连续级配。</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粗集料的有害物质含量及技术要求，应符合 《公路桥涵施工技术规范》(JTG/T 3650-2020) 表 6.4.1 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粗集料最大粒径应满足《公路桥涵施工技术规范》(JTG/T 3650-2020) 第 6.4.4 条要求。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410.05  外加剂及混合材料</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．外加剂</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(4) 款修改为：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混凝土外加剂应满足《公路桥涵施工技术规范》(JTG/T 3650-2020) 6.6 条的相关规定。 不同品种的外加剂应分别储存，做好标记，在运输与储存时不得混入杂物和遭受污染。</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．混合材料</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(3) 款：</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粉煤灰必须来自燃煤工艺先进的电厂，选用组分均匀、各项性能指标稳定的低钙灰。粉煤 灰的品质，应首先注重烧失量和需水量比。本工程粉煤灰的烧失量不大于 5% (对预应力箱梁混凝土，烧失量不宜大于 3%)，需水量比不大于 100% ，三氧化硫含量不大于 3% ，其它指标应符合国家标准《用于水泥和混凝土中的粉煤灰》(GB/T1596-2017)的规定中II 级粉煤灰要求。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410.07  材料运输和存贮</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1．集料</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(2) 款修改为：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0"/>
          <w:szCs w:val="20"/>
          <w:highlight w:val="none"/>
        </w:rPr>
      </w:pPr>
      <w:r>
        <w:rPr>
          <w:rFonts w:hint="eastAsia" w:ascii="宋体" w:hAnsi="宋体" w:eastAsia="宋体" w:cs="宋体"/>
          <w:color w:val="auto"/>
          <w:spacing w:val="0"/>
          <w:position w:val="0"/>
          <w:sz w:val="21"/>
          <w:szCs w:val="21"/>
          <w:highlight w:val="none"/>
        </w:rPr>
        <w:t>(2) 混合料所使用的同规格材料，特别是集料，施工现场要设置至少两个储料场 (仓、区) ， 防止未经试验检测的材料用于工程中。同时应分别挂牌标明“已检合格区、已检不合格区、待检区。”</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410. 10  混凝土浇筑</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．大体积混凝土的浇筑 补充第 (6) 、(7) 款：</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 热期施工时，宜采取措施降低混凝土的入模温度。混凝土的入模温度一般不宜超过28℃。</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r>
        <w:rPr>
          <w:rFonts w:hint="eastAsia" w:ascii="宋体" w:hAnsi="宋体" w:eastAsia="宋体" w:cs="宋体"/>
          <w:color w:val="auto"/>
          <w:spacing w:val="0"/>
          <w:position w:val="0"/>
          <w:sz w:val="21"/>
          <w:szCs w:val="21"/>
          <w:highlight w:val="none"/>
        </w:rPr>
        <w:t>新浇混凝土与邻接的已硬化混凝土或岩土介质之间的温差不大于20℃ ，混凝土表面的接触物 (如喷</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sz w:val="21"/>
          <w:szCs w:val="21"/>
          <w:highlight w:val="none"/>
        </w:rPr>
      </w:pPr>
      <w:bookmarkStart w:id="681" w:name="_bookmark180"/>
      <w:bookmarkEnd w:id="681"/>
      <w:r>
        <w:rPr>
          <w:rFonts w:hint="eastAsia" w:ascii="宋体" w:hAnsi="宋体" w:eastAsia="宋体" w:cs="宋体"/>
          <w:color w:val="auto"/>
          <w:spacing w:val="0"/>
          <w:sz w:val="21"/>
          <w:szCs w:val="21"/>
          <w:highlight w:val="none"/>
        </w:rPr>
        <w:t>涂的养护剂)与混凝土表面温度之差不大于 15C。</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(7)对于大体积混凝土，应选用水化热低的水泥，选择合适的配合比，并通过水化热计算采取 合理的温控措施；同时应制定混凝土温控专项方案，按批准的方案实施。</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410. 15  混凝土表面的修整</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补充第 9 条：</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9 ．混凝土表面的任何修整，均要在交工验收 (质量鉴定)后才可由监理人批准实施。</w:t>
      </w:r>
    </w:p>
    <w:p>
      <w:pPr>
        <w:keepNext w:val="0"/>
        <w:keepLines w:val="0"/>
        <w:pageBreakBefore w:val="0"/>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before="101" w:line="360" w:lineRule="exact"/>
        <w:jc w:val="center"/>
        <w:textAlignment w:val="baseline"/>
        <w:outlineLvl w:val="1"/>
        <w:rPr>
          <w:rFonts w:hint="eastAsia" w:ascii="宋体" w:hAnsi="宋体" w:eastAsia="宋体" w:cs="宋体"/>
          <w:b/>
          <w:bCs/>
          <w:color w:val="auto"/>
          <w:spacing w:val="0"/>
          <w:sz w:val="31"/>
          <w:szCs w:val="31"/>
          <w:highlight w:val="none"/>
        </w:rPr>
      </w:pPr>
      <w:bookmarkStart w:id="682" w:name="_Toc23409"/>
      <w:r>
        <w:rPr>
          <w:rFonts w:hint="eastAsia" w:ascii="宋体" w:hAnsi="宋体" w:eastAsia="宋体" w:cs="宋体"/>
          <w:b/>
          <w:bCs/>
          <w:color w:val="auto"/>
          <w:spacing w:val="0"/>
          <w:sz w:val="31"/>
          <w:szCs w:val="31"/>
          <w:highlight w:val="none"/>
        </w:rPr>
        <w:t>第 411 节  预应力混凝土工程</w:t>
      </w:r>
      <w:bookmarkEnd w:id="682"/>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411.02  一般要求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1 ．预应力系统 补充第 (4) 款：</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(4) 所有预应力张拉 (含压浆) 工作，必须有监理人在现场进行全过程监理， 并在原始记录上</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签字。承包人应在 14d 内向监理人和中心试验室报送记录复印件。张拉作业均须采用智能化设备，压浆作业均须采用真空压浆。承包人在开展预应力混凝土工程孔道张拉压浆施工前，须进行压浆工艺试验、孔道摩阻试验和弹模试验等各项预应力施工相关的试验 (承包人不具备相应资质时，须委托有相应资质的第三方进行， 同时须经监理人、发包人的认可同意) ，经检测试验各项技术指标均符合设计要求及相关规定，同时承包人应立即提出试验总结报告，由监理人、发包人和设计人审查同意，并经监理人验收合格后方可正式大面积开工。</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4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2"/>
          <w:szCs w:val="22"/>
          <w:highlight w:val="none"/>
        </w:rPr>
        <w:t>(5) 预应力体系应符合国际预应力混凝土协会(FIP)  《后张预应力体系的验收建议》(FIP 93) 的要求。施工方法按照 《公路桥涵施工技术规范》(JTG/T 3650-2020) 、浙江省交通厅文件《关于进一步加强桥梁预应力施工质量管理的通知》及《浙江省公路桥梁预应力孔道压浆技术指南》的有关规定执行。预应力管道采用塑料波纹管的，应满足《预应力混凝土桥梁用塑料波纹管》(JT/T529-2016) 的要求，预应力管道采用金属波纹管的，应满足《预应力混凝土用金属波纹管》(JG/T 225-2020)的要</w:t>
      </w:r>
      <w:r>
        <w:rPr>
          <w:rFonts w:hint="eastAsia" w:ascii="宋体" w:hAnsi="宋体" w:eastAsia="宋体" w:cs="宋体"/>
          <w:color w:val="auto"/>
          <w:spacing w:val="0"/>
          <w:sz w:val="21"/>
          <w:szCs w:val="21"/>
          <w:highlight w:val="none"/>
        </w:rPr>
        <w:t>求。锚下螺旋筋必须与锚具配套，张拉采用智能张拉工艺。预应力筋张拉完后，应在 24h 内进行孔 道压浆工作，压浆采用真空吸浆法技术施工， 采用专用压浆料和专用压浆剂配置的浆液进行压浆，要 求浆液无泌水，充盈度合格，确保压浆质量。管道应考虑设置检查孔，压浆后应通过检查孔检查压浆 的密实情况，如有不实，应及时进行补压处理。</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补充第 4 条：</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44" w:firstLineChars="200"/>
        <w:textAlignment w:val="baseline"/>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4 、混凝土构件预制还应满足浙江省交通运输厅《关于进一步加强公路水运工程混凝土构件预制 管理的通知》和浙江省交通厅文件《关于进一步加强桥梁预应力施工质量管理的通知》等的要求。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6"/>
          <w:sz w:val="28"/>
          <w:szCs w:val="28"/>
          <w:highlight w:val="none"/>
        </w:rPr>
      </w:pPr>
      <w:r>
        <w:rPr>
          <w:rFonts w:hint="eastAsia" w:ascii="宋体" w:hAnsi="宋体" w:eastAsia="宋体" w:cs="宋体"/>
          <w:color w:val="auto"/>
          <w:spacing w:val="6"/>
          <w:sz w:val="28"/>
          <w:szCs w:val="28"/>
          <w:highlight w:val="none"/>
        </w:rPr>
        <w:t xml:space="preserve">411.03  材料    </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44" w:firstLineChars="200"/>
        <w:textAlignment w:val="baseline"/>
        <w:rPr>
          <w:rFonts w:hint="eastAsia" w:ascii="宋体" w:hAnsi="宋体" w:cs="宋体"/>
          <w:color w:val="auto"/>
          <w:spacing w:val="6"/>
          <w:sz w:val="21"/>
          <w:szCs w:val="21"/>
          <w:highlight w:val="none"/>
          <w:lang w:val="en-US" w:eastAsia="zh-CN"/>
        </w:rPr>
      </w:pPr>
      <w:r>
        <w:rPr>
          <w:rFonts w:hint="eastAsia" w:ascii="宋体" w:hAnsi="宋体" w:eastAsia="宋体" w:cs="宋体"/>
          <w:color w:val="auto"/>
          <w:spacing w:val="6"/>
          <w:sz w:val="21"/>
          <w:szCs w:val="21"/>
          <w:highlight w:val="none"/>
        </w:rPr>
        <w:t>3.预应力钢筋管道</w:t>
      </w:r>
      <w:bookmarkStart w:id="683" w:name="_bookmark181"/>
      <w:bookmarkEnd w:id="683"/>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(2) 款金属螺旋管</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b 项修改为：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b.金属波纹管进入施工现场时，除应按出厂合格证和质量保证书核对类别、型号、 规格及数量外。还按《预应力混凝土用金属波纹管》(JG225-2020)  的规定对其外观、尺寸、集中荷载下的径向刚度、荷载作用后的抗渗漏等进行检验。自制的管道也应进行上述检验。所有金属波纹管应按《公路桥涵施工技术规范》(JTG/T 3650-2020)第 7.4 条的规定取样、检验。其质量符合要求后，方可使用于工程中，严禁使用不合格产品。.</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(3) 款塑料波纹管</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b 项修改为：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lang w:eastAsia="zh-CN"/>
        </w:rPr>
      </w:pPr>
      <w:r>
        <w:rPr>
          <w:rFonts w:hint="eastAsia" w:ascii="宋体" w:hAnsi="宋体" w:eastAsia="宋体" w:cs="宋体"/>
          <w:color w:val="auto"/>
          <w:spacing w:val="0"/>
          <w:position w:val="0"/>
          <w:sz w:val="21"/>
          <w:szCs w:val="21"/>
          <w:highlight w:val="none"/>
        </w:rPr>
        <w:t>b.用于塑料波纹管的高密度聚乙烯树脂(HDPE)应满足《聚乙烯(PE)树脂》(GB/T 11115-2009)的规定，聚丙烯(PP)应满足《冷热水用聚丙烯管道系统第 2 部分:管材》(GB/T 18742.2-2017)的规定</w:t>
      </w:r>
      <w:r>
        <w:rPr>
          <w:rFonts w:hint="eastAsia" w:ascii="宋体" w:hAnsi="宋体" w:eastAsia="宋体" w:cs="宋体"/>
          <w:color w:val="auto"/>
          <w:spacing w:val="0"/>
          <w:position w:val="0"/>
          <w:sz w:val="21"/>
          <w:szCs w:val="21"/>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411.04  预应力钢材的搬运、 存放和保护</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．保护</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补充第(3) 、(4)款：</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预应力筋安装在管道中后，管道端部开口应密封以防止湿气进入，外露部分设置保护套。采 用蒸汽养生时，在养生完成之前不得安装预应力筋。</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任何情况下，当在安装有预应力筋的构件附近进行电焊时，对全部预应力筋和金属件均应进 行保护，防止溅上焊渣或造成其他损坏。</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411.05  预应力钢材的加工和装置</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1 、2 条：</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1.钢绞线应对号穿入波纹管内，同一孔道穿束应整束整穿或用穿索机将钢绞线逐根穿入。孔道内 应畅通</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无水和其他杂物。</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2.钢绞线放束时，应用混凝土硬化不小于 1m 宽的放束跑道，保证钢绞线不受机械损伤和泥土污</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染，防止雨水浸泡。</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411.06  预应力钢筋管道的安装和成形</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2 条修改为：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．塑料波纹管的安装</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塑料波纹管在安装前应通过 1kN 径向力的作用，且不变形，同时应做水密承压试验， 以检 查有无渗漏现象，确无变形、 渗漏现象时始可使用。</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 塑料波纹管的接长连接：塑料波纹管采用专用焊接机进行焊接或应采用本身具有密封性能 且带有观察管的塑料结构连接器连接，避免浇筑混凝土时水泥浆渗入管内造成管道堵塞。</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(3) 塑料波纹管管道和其接头应有足够的密封性以防止水泥浆渗漏及抽真空时漏气；且其强度</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highlight w:val="none"/>
        </w:rPr>
        <w:sectPr>
          <w:footerReference r:id="rId35" w:type="default"/>
          <w:pgSz w:w="11900" w:h="16840"/>
          <w:pgMar w:top="1160" w:right="1282" w:bottom="1448" w:left="1363" w:header="883" w:footer="1234" w:gutter="0"/>
          <w:pgNumType w:fmt="decimal"/>
          <w:cols w:space="720" w:num="1"/>
        </w:sectPr>
      </w:pPr>
      <w:bookmarkStart w:id="684" w:name="_bookmark182"/>
      <w:bookmarkEnd w:id="684"/>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应足以保持管道的形状，以防止在搬运和浇筑混凝土的过程中损坏；同时还应具有良好的柔韧性、耐磨性和绝缘性能。管道的材质不应与混凝土、预应力筋或水泥浆有不良的化学反应。</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lang w:eastAsia="zh-CN"/>
        </w:rPr>
      </w:pPr>
      <w:r>
        <w:rPr>
          <w:rFonts w:hint="eastAsia" w:ascii="宋体" w:hAnsi="宋体" w:eastAsia="宋体" w:cs="宋体"/>
          <w:color w:val="auto"/>
          <w:spacing w:val="0"/>
          <w:position w:val="0"/>
          <w:sz w:val="21"/>
          <w:szCs w:val="21"/>
          <w:highlight w:val="none"/>
        </w:rPr>
        <w:t>(4) 塑料波纹管与锚垫板的连接：用同一材料同一规格连接头连接，连接后用密封胶封口</w:t>
      </w:r>
      <w:r>
        <w:rPr>
          <w:rFonts w:hint="eastAsia" w:ascii="宋体" w:hAnsi="宋体" w:eastAsia="宋体" w:cs="宋体"/>
          <w:color w:val="auto"/>
          <w:spacing w:val="0"/>
          <w:position w:val="0"/>
          <w:sz w:val="21"/>
          <w:szCs w:val="21"/>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5"/>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 塑料波纹管与排气管的连接：在塑料波纹管上热熔排气孔，然后用同一材料弧型排气接头 连接，用密封胶缠绕。</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2"/>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 塑料波纹管在布管安装前，应按设计规定的管道坐标进行放样，设置定位钢筋，塑料波纹 管应固定在定位钢筋上用井字形钢筋电焊连接。定位网应焊接和定位牢固使其在混凝土浇筑期间管道不产生位移。</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38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 安装塑料波纹管位置应准确，采用钢筋卡子以钢丝绑扎固定，避免管道在浇筑混凝土过程 中产生移位。孔道应平顺，端部的预埋钢垫板应垂直于孔道中心线。</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 所有管道的压浆孔、抽气孔应设在锚座上，排气孔应设在锚具的附件上。 压浆管、排气管 应是最小内径为 20mm。</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(9) 管道在模板内安装完毕后，应将其端部盖好，防止水或其他杂物进入。</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(10) 塑料波纹管如有反复弯曲，在操作时应注意防止管壁破裂，同时应防止邻近电焊火花烧灼 管壁。如有微小破损应及时修补并得到监理人的认可。</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5"/>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(11)在预应力管道中部每根波纹管最高处设三通管， 以利于排气，保证压浆质量， 更有利于检 测孔道压浆饱满度</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(12) T 梁预应力束管道采用金属波纹管，金属波纹管应采用镀锌钢带制作，壁厚不小于 0.3mm，现浇结构预应力束管道采用塑料波纹管， 预应力管道压浆采用真空压浆工艺，预应力钢束管道必须保证位置正确，严禁漏浆，要求塑料波纹管μ≤0.17 ，k＝0.0015，金属波纹管μ≤0.20 ，k＝0.0015 ，塑料波纹管性能必须满足《预应力混凝土桥梁用塑料波纹管》(JT/T 529-2016) 的要求，金属波纹管性能必须满足《预应力混凝土用金属波纹管》(JG/T 225-2020) 的要求。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411.07  预应力混凝土的浇筑</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1.一般要求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(3) 款：</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4"/>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(3)对于后张预应力混凝土结构，浇筑混凝土时应特别注意避免震动器碰撞预应力筋的管道、 预埋件等。</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4 条：</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．支架法浇筑预应力混凝土箱梁</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4"/>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承包人应将准备采用的支架法施工方案、工艺流程以及主要施工设备的说明送请监理人批 准。</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支架基础必须具有足够承载力，不得出现不均匀沉降。其基础类型应根据支架结构型式、 地基承载力等条件确定。同时须做好地面的排水处理，设置排水沟。</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0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支架</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a.支架应采用钢制构件， 支架构件应符合本规范第 402 节的规定。</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b.支架的弹性、非弹性变形及基础的允许下沉量应满足施工后梁体设计高程的要求。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c.支架采用整联预压消除非弹性变形，预压量为 1.1 倍梁重 (预压宜采用钢制水箱)。承包人须制定相应的安全应急预案。</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d.支架安装完毕后，应对其平面位置、顶部高程、节点联接及纵、横向稳定性进行全面检查</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符合要求后，方可进行模板安装。</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模板</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a.承包人开始制作模板之前，应按设计要求和本规范第402节的规定编制本工程拟采用模板以及模板安装的技术要求，并报请监理人批准。</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b.结构表面外露的模板挠度不应超过模板构件跨度的 1/400；结构表面隐蔽的模板挠度不应大于模板构件跨度的1/250 。钢模板的面板变形不应大于 1.5mm。</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c.模板的全长及跨度应考虑反拱度及预留压缩量。</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d.钢模板在设计制造时，应有足够的强度、刚度及稳定性，确保梁体各部位结构尺寸正确及预埋件的位置准确。</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e. 附着式振动器应交错布置，安设牢固。振动力应先传向模板骨架，再由骨架传向面板。</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f.涂在模板上的脱模剂，不得使混凝土变色。</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 支架法制梁的支座安装应符合本规范 416 节的规定，支架法制梁的活动支座安装，除根据 温度变化和混凝土收缩徐变调整上下座板的相对位置外，还应计入混凝土梁在预应力作用下的梁长压 缩量。</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 梁体混凝土宜采用泵送混凝土连续浇筑，并应在初凝时间内一次浇筑完成。</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 拆装</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a.非承重侧模板一般应在混凝土抗压强度达到2.5MPa时方可拆除</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拆模时应保证其表面及棱角不致因拆模而受损。</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b. 除图纸另有规定者外，与梁顶悬臂板的底模连成一体的侧模和箱梁顶板的底模，应在混凝土强度达到设计强度的 80%时方可拆除。</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c.预应力张拉前拆除梁的端模、侧模和内模。拆模时混凝土表层温度和环境温度之差不得大于 15C。</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 预应力张拉</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a.如为原位制梁的支架法施工，预应力张拉后的梁体重量应落在桥墩 (台)的正式支座上；如为</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旁位或高位制梁的支架法施工，则支点处的支架必须有足够的承载能力。</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b.预应力张拉前，承包人应向监理人提交详细说明、图纸、张拉应力和延伸量的静力计算，张拉 设备的有关证件和校验证明，请求审核。除非另有书面允许，张拉工作应在监理人在场时进行。</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c.对预应力张拉设备的要求、张拉作业和张拉程序应符合本规范第 411 节的规定。</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d.预应力筋可分批张拉，终张拉时混凝土的强度和弹性模量都必须达到设计值，混凝土的龄期也必须满足设计要求。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(9) 支架卸载</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a.支架须待混凝土达到设计强度、预施应力完毕后方可卸载。卸载时应对称、 均匀，有序，在纵向宜从跨中向支座依次循环卸落，在横向应同时一起卸落。</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highlight w:val="none"/>
        </w:rPr>
        <w:sectPr>
          <w:pgSz w:w="11900" w:h="16840"/>
          <w:pgMar w:top="1160" w:right="1352" w:bottom="1448" w:left="1363" w:header="883" w:footer="1234" w:gutter="0"/>
          <w:pgNumType w:fmt="decimal"/>
          <w:cols w:space="720" w:num="1"/>
        </w:sectPr>
      </w:pPr>
      <w:r>
        <w:rPr>
          <w:rFonts w:hint="eastAsia" w:ascii="宋体" w:hAnsi="宋体" w:eastAsia="宋体" w:cs="宋体"/>
          <w:color w:val="auto"/>
          <w:spacing w:val="0"/>
          <w:position w:val="0"/>
          <w:sz w:val="21"/>
          <w:szCs w:val="21"/>
          <w:highlight w:val="none"/>
        </w:rPr>
        <w:t>b.支架卸载下落空出一定空间后，方可拆除底模板。拆除时均应采取措施防止混凝土受到损伤。底模和支架的拆除过程及拆除后的检查结果，应作出记录。</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position w:val="0"/>
          <w:sz w:val="28"/>
          <w:szCs w:val="28"/>
          <w:highlight w:val="none"/>
        </w:rPr>
      </w:pPr>
      <w:bookmarkStart w:id="685" w:name="_bookmark183"/>
      <w:bookmarkEnd w:id="685"/>
      <w:bookmarkStart w:id="686" w:name="_bookmark184"/>
      <w:bookmarkEnd w:id="686"/>
      <w:r>
        <w:rPr>
          <w:rFonts w:hint="eastAsia" w:ascii="宋体" w:hAnsi="宋体" w:eastAsia="宋体" w:cs="宋体"/>
          <w:color w:val="auto"/>
          <w:spacing w:val="0"/>
          <w:position w:val="0"/>
          <w:sz w:val="28"/>
          <w:szCs w:val="28"/>
          <w:highlight w:val="none"/>
        </w:rPr>
        <w:t>411.08  后张法预应力</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．一般要求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(1) 款修改为：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承包人在张拉开始前，应向监理人提交详细说明、图纸、张拉应力和延伸量的静力计算， 以及千斤顶与压力表配套校验确定的张拉力与压力表之间的关系曲线，请求审核。</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．施工要求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(5) 、(6) 、(8) 款修改为：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 预应力张拉应采用智能张拉工艺。张拉顺序应符合图纸规定，当图纸无规定时，一般应按 先张拉长束，后张拉短束的原则，采取分批，分阶段对称、 同步、均衡张拉。</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 预应力张拉应从两端同时进行，张拉至控制应力时可在一端先锚固，再在另一端补足预应 力值进行锚固，除非监理人同意另外的方式。</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 图纸所示的控制张拉力是指锚固前锚具内侧 (即锚下)的拉力。在确定千斤顶相应的张拉 力时，应考虑增加因锚口摩阻而损失的拉力。锚圈口摩阻损失值应根据采用的预应力系统参照《公路 桥涵施工技术规范》(JTG/T 3650-2020) 附录 G 由现场测验确定，除非监理人同意采用按厂家提供 的锚圈口摩阻损失值：一般对钢绞线为千斤顶控制张拉力的 3％；对钢丝为 5％的千斤顶控制张拉力。</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．张拉步骤</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(1) 款修改为：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除图纸有规定或监理人另有指示外，张拉程序等按《公路桥涵施工技术规范》表 7.8.5- 1 进</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行。</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(3) 款“…如果大于上述允许值，应重新张拉，或更换锚具后重新张拉。”修改为： “ …… 如果 大于上述允许值，应同时更换锚具与预应力筋束后重新张拉，除非监理人另有指示”。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(6) 款“…与计算延伸量…“修改为： “…与计算延伸量 (为两工作锚具间的伸长值) …”。</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4．记录及报告</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删除条款第一句中“如监理人要求”。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411. 10  孔道压浆</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删除本小节原内容，修改为：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highlight w:val="none"/>
        </w:rPr>
      </w:pPr>
      <w:r>
        <w:rPr>
          <w:rFonts w:hint="eastAsia" w:ascii="宋体" w:hAnsi="宋体" w:eastAsia="宋体" w:cs="宋体"/>
          <w:color w:val="auto"/>
          <w:spacing w:val="0"/>
          <w:position w:val="0"/>
          <w:sz w:val="21"/>
          <w:szCs w:val="21"/>
          <w:highlight w:val="none"/>
        </w:rPr>
        <w:t>1 ．一般要求</w:t>
      </w:r>
    </w:p>
    <w:p>
      <w:pPr>
        <w:keepNext w:val="0"/>
        <w:keepLines w:val="0"/>
        <w:pageBreakBefore w:val="0"/>
        <w:widowControl/>
        <w:tabs>
          <w:tab w:val="left" w:pos="115"/>
        </w:tabs>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承包人须采用真空辅助灌浆工艺进行孔道灌浆，真空辅助灌浆应满足《公路桥涵施工技术 规范》(JTG/T 3650-2020) 及《浙江省公路桥梁预应力孔道压浆技术指南》相关规定要求并从严控制。 预应力孔道压浆应采用专用压浆料或专用压浆剂配制的浆液，所用原材料应符合《公路桥涵施工技术规范》(JTG/T 3650-2020) 第 7.9.2 条的相关规定，压浆材料应进行进场检验。浆体材料应掺入真空灌浆添加剂和阻锈剂 (根据抗氯离子渗透要求) ，掺量和使用方法需进行试配和适应性试验，检验方法参照交通行业标准《钢筋混凝土阻锈剂》(JT/T537) 和治金行业标准《钢筋阻锈剂使用技术规程》 (YB/T9231) ，均质性检验按《混凝土外加剂均质性试验方法》(GB/T8077) 进行。外掺剂中不允许含有易引起钢绞线氢脆反应的有害成分。浆液性能指标须达到 《公路桥涵施工技术规范》(JTG/T 3650-2020) 第 7.9.3 条的相关规定要求。</w:t>
      </w:r>
    </w:p>
    <w:p>
      <w:pPr>
        <w:pStyle w:val="2"/>
        <w:keepNext w:val="0"/>
        <w:keepLines w:val="0"/>
        <w:pageBreakBefore w:val="0"/>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sectPr>
          <w:headerReference r:id="rId36" w:type="default"/>
          <w:pgSz w:w="11900" w:h="16840"/>
          <w:pgMar w:top="1160" w:right="1285" w:bottom="1448" w:left="1363" w:header="883" w:footer="1234"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bookmarkStart w:id="687" w:name="_bookmark185"/>
      <w:bookmarkEnd w:id="687"/>
      <w:r>
        <w:rPr>
          <w:rFonts w:hint="eastAsia" w:ascii="宋体" w:hAnsi="宋体" w:eastAsia="宋体" w:cs="宋体"/>
          <w:color w:val="auto"/>
          <w:spacing w:val="0"/>
          <w:position w:val="0"/>
          <w:sz w:val="21"/>
          <w:szCs w:val="21"/>
          <w:highlight w:val="none"/>
        </w:rPr>
        <w:t>(2) 为使水泥浆达到所需的浆水特性，可在浆体中加入化学添加剂，添加剂应具有减水、缓凝、 补偿收缩和增加浆体和易性等作用，但不得含有对预应力筋和水泥有损害的物质， 尤其不得含有氯化 物和硝酸钙等腐蚀性介质。另外，添加剂中所含的膨胀成分严禁含有铝粉。</w:t>
      </w:r>
    </w:p>
    <w:p>
      <w:pPr>
        <w:keepNext w:val="0"/>
        <w:keepLines w:val="0"/>
        <w:pageBreakBefore w:val="0"/>
        <w:widowControl/>
        <w:tabs>
          <w:tab w:val="left" w:pos="115"/>
        </w:tabs>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(3) 浆体混合料的配比试验及浆体性能试验，其试验方法应按《混凝土外加剂应用技术规范》 (GBJ50119-2013) 和 《公路桥涵施工技术规范》(JTG/T 3650-2020) 附录 K 进行测试；真空灌浆添 加剂的检测方法及性能应符合《混凝土外加剂》(GB8076) 和建材行业标准《混凝土膨胀剂》 </w:t>
      </w:r>
      <w:r>
        <w:rPr>
          <w:rFonts w:hint="eastAsia" w:ascii="宋体" w:hAnsi="宋体" w:eastAsia="宋体" w:cs="宋体"/>
          <w:color w:val="auto"/>
          <w:spacing w:val="0"/>
          <w:position w:val="0"/>
          <w:sz w:val="21"/>
          <w:szCs w:val="21"/>
          <w:highlight w:val="none"/>
        </w:rPr>
        <w:tab/>
      </w:r>
      <w:r>
        <w:rPr>
          <w:rFonts w:hint="eastAsia" w:ascii="宋体" w:hAnsi="宋体" w:eastAsia="宋体" w:cs="宋体"/>
          <w:color w:val="auto"/>
          <w:spacing w:val="0"/>
          <w:position w:val="0"/>
          <w:sz w:val="21"/>
          <w:szCs w:val="21"/>
          <w:highlight w:val="none"/>
        </w:rPr>
        <w:t>(GB/T23439-2017) 的要求，并将试验成果报送监理人获得批准后方可使用。</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水泥浆的强度应符合图纸规定，图纸无具体规定时，其中 28 天抗压强度不低于 50MPa 、抗 折强度不低于 10MPa。</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 水泥浆应由精确称量的强度等级不低于 42.5 级低碱普通硅酸盐水泥和水组成。所用水泥龄 期不超过一个月。</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．压浆设备</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搅拌机的转速应不低于 1000r/min ，搅拌叶的形状应与转速相匹配，其叶片的线速度不宜小 于 10m/s ，最高线速宜限制在 20m/s 以内，且应能满足在规定时间内搅拌均匀的要求。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压浆机应采用活塞式可连续作业的压浆泵，不得采用风压式压浆泵进行压浆。</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真空泵应能达到 0. 10MPa 的负压力。</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压力表在第一次使用前及此后监理人认为需要时应加以校准。 所有设备在压浆操作中至少每 3 个小时用清洁水彻底清洗一次，每天使用结束时也应清洗一次。 压力表的最小分度值应不大于 0. 1MPa ，最大量程应使实际工作压力在其 25%~75%的量程范围内。</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．压浆</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张拉施工完成后，清水冲洗，高压风吹干，然后封锚，抽真空，压浆，搅拌机及储浆罐的 体积必须大于所要压注的一条预应力孔道体积。</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压浆时，每一工作班应留取不少于 3 组尺寸为 40mm×40mm×160mm 的试件，标准养生 28d， 进行抗压强度和抗折强度试验，作为质量评定的依据。试验方法应按现行国家标准《水泥胶砂强度检验方法 (ISO 法) 》(GB/T17671)的规定执行。</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真空吸浆的管道在 24h 不得受振动，压浆过程中及压浆后 48h 内，结构或构件混凝土的温 度及环境温度不得低于5C，否则应采取保温措施， 并应按冬期施工的要求处理， 浆液中可适量掺用 引气剂，但不得掺用防冻剂。当环境温度高于35C，压浆宜在夜间进行， 水泥浆温度不得超过 32C。</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管道压浆应尽可能在预应力钢筋张拉完成和监理人同意压浆后立即进行，一般不得超过 3d， 其应在 48h 内完成压浆，否则应采取避免预应力筋锈蚀的措施。必须在监理人在场， 才允许进行管道压浆，压浆时，对曲线孔道和竖向孔道应从最低点的压浆孔压入，从抽真空端排出浆体，直到流出的稠度达到注入的稠度。对结构或构件中以上下层设置的孔道，应按先下层后上层的顺序进行压浆。同一管道的压浆应连续进行，一次完成。</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 水泥浆自调制至压入孔道的延续时间，不宜超过 40min，水泥浆在使用前和压注过程中应保 持流动状态，不得通过额外加水增加其流动度。</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 按真空辅助压浆工艺，当浆体从孔道抽真空端流出时，应在孔道两端进行排废作业，然后 保持一个不小于 0.5MPa 的稳压期，稳压期保持时间为 3~5min 。压满浆的管道应进行保护，使在一天内不受震动。在压浆后两天，应检查注入端及出气孔的水泥浆密实情况，需要时进行处理。</w:t>
      </w:r>
    </w:p>
    <w:p>
      <w:pPr>
        <w:pStyle w:val="2"/>
        <w:keepNext w:val="0"/>
        <w:keepLines w:val="0"/>
        <w:pageBreakBefore w:val="0"/>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sectPr>
          <w:headerReference r:id="rId37" w:type="default"/>
          <w:pgSz w:w="11900" w:h="16840"/>
          <w:pgMar w:top="1160" w:right="1258" w:bottom="1448" w:left="1363" w:header="883" w:footer="1234"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bookmarkStart w:id="688" w:name="_bookmark186"/>
      <w:bookmarkEnd w:id="688"/>
      <w:r>
        <w:rPr>
          <w:rFonts w:hint="eastAsia" w:ascii="宋体" w:hAnsi="宋体" w:eastAsia="宋体" w:cs="宋体"/>
          <w:color w:val="auto"/>
          <w:spacing w:val="0"/>
          <w:position w:val="0"/>
          <w:sz w:val="21"/>
          <w:szCs w:val="21"/>
          <w:highlight w:val="none"/>
        </w:rPr>
        <w:t>(7) 管道采用真空吸浆法压浆，在施工前，应对真空吸浆工艺进行必要的试验，并制定管道压 浆施工方案及详细说明报请监理人审查，经监理人批准后方可实施。</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 真空吸浆工艺的技术条件应符合如下要求：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a.预应力管道及管道两端必须密封；</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b.抽真空时管道内真空度 (负压) 控制在-0.06~-0. 1MPa 之间；</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lang w:eastAsia="zh-CN"/>
        </w:rPr>
      </w:pPr>
      <w:r>
        <w:rPr>
          <w:rFonts w:hint="eastAsia" w:ascii="宋体" w:hAnsi="宋体" w:eastAsia="宋体" w:cs="宋体"/>
          <w:color w:val="auto"/>
          <w:spacing w:val="0"/>
          <w:position w:val="0"/>
          <w:sz w:val="21"/>
          <w:szCs w:val="21"/>
          <w:highlight w:val="none"/>
        </w:rPr>
        <w:t>c.对水平或曲线孔道，管道压浆的压力宜为 0.5~0.7MPa；对超长孔道，最大压力不宜超过 1.0MPa</w:t>
      </w:r>
      <w:r>
        <w:rPr>
          <w:rFonts w:hint="eastAsia" w:ascii="宋体" w:hAnsi="宋体" w:eastAsia="宋体" w:cs="宋体"/>
          <w:color w:val="auto"/>
          <w:spacing w:val="0"/>
          <w:position w:val="0"/>
          <w:sz w:val="21"/>
          <w:szCs w:val="21"/>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对竖向孔道，压浆的压力宜为 0.3~0.4MPa。</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d.浆体强度：符合图纸规定。</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(9) 承包人应按经监理人批准的压浆施工方案中的压浆顺序、方法以及安全操作事项进行施工。</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(10) 承包人应具有完备的压浆记录，包括压浆材料、配合比、每个管道的压浆日期、搅拌时间</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出机初始流动度、浆液温度、环境温度、压浆压力、稳压压力及时间、试块强度、障碍事故细节及需要补做的工作。这些记录的抄件应在压浆后 3d 内送交监理人。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584" w:firstLineChars="200"/>
        <w:textAlignment w:val="baseline"/>
        <w:rPr>
          <w:rFonts w:hint="eastAsia" w:ascii="宋体" w:hAnsi="宋体" w:eastAsia="宋体" w:cs="宋体"/>
          <w:color w:val="auto"/>
          <w:spacing w:val="6"/>
          <w:sz w:val="28"/>
          <w:szCs w:val="28"/>
          <w:highlight w:val="none"/>
        </w:rPr>
      </w:pPr>
      <w:r>
        <w:rPr>
          <w:rFonts w:hint="eastAsia" w:ascii="宋体" w:hAnsi="宋体" w:eastAsia="宋体" w:cs="宋体"/>
          <w:color w:val="auto"/>
          <w:spacing w:val="6"/>
          <w:sz w:val="28"/>
          <w:szCs w:val="28"/>
          <w:highlight w:val="none"/>
        </w:rPr>
        <w:t>411. 11  质量检验</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．原材料质量</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钢绞线</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 c 项：</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c.钢绞线的质量必须符合国家现行有关标准，如国家有新标准出台，则应符合国家所颁发的最新 版本的质量和技术标准。 其中应力松弛性能：1000 小时后应力松弛率不大于 2.5%。</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(7) 款修改为：</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 锚具、夹具和连接器</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a.锚具、夹具和连接器进场时，应按出厂合格证和质量证明书核查其锚固性能类别、型号、规格</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及数量。</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b.按图纸要求采用预应力筋的锚具、夹具和连接器，应符合现行的行业标准《公路桥梁预应力钢 绞线用锚具、夹具和连接器》(JT/T329-2010)的规定。 同时应满足真空辅助压浆管道和与预应力孔 道组成密闭系统的性能要求。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锚具应满足分级张拉、补张拉以及放松预应力的要求。 锚具或其附件上设置压浆孔或排气孔，压浆孔应有足够的截面面积， 以保证浆液的畅通。</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夹具应具有良好的自锚性能，松锚性能和重复使用性能。需敲击才能松开的夹具，必须保证其对 预应力筋的锚固没有影响，且对操作人员的安全不造成危险。连接器必须符合锚具的性能要求。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c.预应力筋锚具、夹具和连接器验收批的划分：在同种材料和同一生产工艺条件下，锚具应以不</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超过 1000 套组为一个验收批；夹具、连接器以不超过 500 套组为一验收批。</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d.锚具、夹具和连接器进场检验及验收按 《公路桥涵施工技术规范》(JTG/T 3650-2020) 相关规定执行。</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(8) 款：</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 预应力钢筋管道</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a.波纹管进场时，生产厂家应提供试验报告、质量保证书和合格证。承包人除应按出厂合格证和 质量保证书核对其类别、型号、规格及数量外，还应对其外观形状、主要尺寸及密封性进行检测。上 述检验方法可参照《FIB 强化及预应力材料与系统委员会》 提出的条例的规定执行， 其取样数量、检验内容和顺序及质量要求应符合《计数抽样检验程序 第 1 部分:按接收质量限(AQL)检索的逐批检验抽样计划》(GB/T 2828. 1-2003) 标准的规定。</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b.管道应按批进行检验。金属波纹管每批应由同一钢带生产厂生产的同一批钢带所制造的产品组</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成，累计半年或 50000m 生产量为一批，不足半年产量或 50000m 也作为一批的，则取产量最多的规格；塑料波纹管每批应由同一配方、同一生产工艺、同设备稳定连续生产的产品组成， 每批数量应不超过 10000m。</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color w:val="auto"/>
          <w:highlight w:val="none"/>
        </w:rPr>
      </w:pPr>
      <w:r>
        <w:rPr>
          <w:rFonts w:hint="eastAsia" w:ascii="宋体" w:hAnsi="宋体" w:eastAsia="宋体" w:cs="宋体"/>
          <w:color w:val="auto"/>
          <w:spacing w:val="0"/>
          <w:position w:val="0"/>
          <w:sz w:val="21"/>
          <w:szCs w:val="21"/>
          <w:highlight w:val="none"/>
        </w:rPr>
        <w:t>c. 当第 a 款规定的项目检验结果有不合格项目时，应以双倍数量的试件对该不合格项目进行复验，复验仍不合格时，则该批产品为不合格。</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4 条</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4.支架法浇筑预应力混凝土箱梁</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就地浇筑梁、板应符合下列基本要求: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a.支架和模板的强度、刚度、稳定性应符合施工技术规范的规定。</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b.预计的支架变形及支承的下沉量应满足施工后梁体设计高程的要求，需要消除支承不均匀沉降、非弹性变形的支架应进行预压。</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c.预埋件的设置和固定应满足设计要求并符合施工技术规范的规定。</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firstLine="420" w:firstLineChars="200"/>
        <w:textAlignment w:val="baseline"/>
        <w:rPr>
          <w:rFonts w:hint="eastAsia" w:ascii="宋体" w:hAnsi="宋体" w:eastAsia="宋体" w:cs="宋体"/>
          <w:color w:val="auto"/>
          <w:spacing w:val="0"/>
          <w:position w:val="0"/>
          <w:sz w:val="21"/>
          <w:szCs w:val="21"/>
          <w:highlight w:val="none"/>
          <w:lang w:val="en-US" w:eastAsia="zh-CN"/>
        </w:rPr>
      </w:pPr>
      <w:r>
        <w:rPr>
          <w:rFonts w:hint="eastAsia" w:ascii="宋体" w:hAnsi="宋体" w:eastAsia="宋体" w:cs="宋体"/>
          <w:color w:val="auto"/>
          <w:spacing w:val="0"/>
          <w:position w:val="0"/>
          <w:sz w:val="21"/>
          <w:szCs w:val="21"/>
          <w:highlight w:val="none"/>
        </w:rPr>
        <w:t>(2) 就地浇筑梁、板实测项目应符合《公路工程质量检验评定标准 第一册 土建工程》 (JTGF80- 1-2017) 表 8.7.1 的规定。</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就地浇筑梁、板外观质量应符合下列规定:</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a.混凝土表面不应存在《公路工程质量检验评定标准 第一册 土建工程》(JTG F80- 1-2017) 附录 P 所列限制缺陷。</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b.应无建筑垃圾、杂物和临时预埋件。</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44" w:firstLineChars="200"/>
        <w:textAlignment w:val="baseline"/>
        <w:rPr>
          <w:rFonts w:hint="eastAsia" w:ascii="宋体" w:hAnsi="宋体" w:eastAsia="宋体" w:cs="宋体"/>
          <w:color w:val="auto"/>
          <w:spacing w:val="6"/>
          <w:position w:val="0"/>
          <w:highlight w:val="none"/>
        </w:rPr>
        <w:sectPr>
          <w:headerReference r:id="rId38" w:type="default"/>
          <w:footerReference r:id="rId39" w:type="default"/>
          <w:pgSz w:w="11900" w:h="16840"/>
          <w:pgMar w:top="1160" w:right="1285" w:bottom="1448" w:left="1363" w:header="883" w:footer="1234" w:gutter="0"/>
          <w:pgNumType w:fmt="decimal"/>
          <w:cols w:space="720" w:num="1"/>
        </w:sectPr>
      </w:pPr>
      <w:bookmarkStart w:id="689" w:name="_bookmark187"/>
      <w:bookmarkEnd w:id="689"/>
    </w:p>
    <w:p>
      <w:pPr>
        <w:keepNext w:val="0"/>
        <w:keepLines w:val="0"/>
        <w:pageBreakBefore w:val="0"/>
        <w:widowControl/>
        <w:kinsoku w:val="0"/>
        <w:wordWrap/>
        <w:overflowPunct/>
        <w:topLinePunct w:val="0"/>
        <w:autoSpaceDE w:val="0"/>
        <w:autoSpaceDN w:val="0"/>
        <w:bidi w:val="0"/>
        <w:adjustRightInd w:val="0"/>
        <w:snapToGrid w:val="0"/>
        <w:spacing w:before="101" w:line="360" w:lineRule="exact"/>
        <w:jc w:val="center"/>
        <w:textAlignment w:val="baseline"/>
        <w:outlineLvl w:val="1"/>
        <w:rPr>
          <w:rFonts w:hint="eastAsia" w:ascii="宋体" w:hAnsi="宋体" w:eastAsia="宋体" w:cs="宋体"/>
          <w:b/>
          <w:bCs/>
          <w:color w:val="auto"/>
          <w:spacing w:val="6"/>
          <w:sz w:val="31"/>
          <w:szCs w:val="31"/>
          <w:highlight w:val="none"/>
        </w:rPr>
      </w:pPr>
      <w:bookmarkStart w:id="690" w:name="_bookmark188"/>
      <w:bookmarkEnd w:id="690"/>
      <w:bookmarkStart w:id="691" w:name="_Toc6241"/>
      <w:r>
        <w:rPr>
          <w:rFonts w:hint="eastAsia" w:ascii="宋体" w:hAnsi="宋体" w:eastAsia="宋体" w:cs="宋体"/>
          <w:b/>
          <w:bCs/>
          <w:color w:val="auto"/>
          <w:spacing w:val="6"/>
          <w:sz w:val="31"/>
          <w:szCs w:val="31"/>
          <w:highlight w:val="none"/>
        </w:rPr>
        <w:t>第 412 节  预制构件的安装</w:t>
      </w:r>
      <w:bookmarkEnd w:id="691"/>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44" w:firstLineChars="200"/>
        <w:textAlignment w:val="baseline"/>
        <w:rPr>
          <w:rFonts w:hint="eastAsia" w:ascii="宋体" w:hAnsi="宋体" w:eastAsia="宋体" w:cs="宋体"/>
          <w:color w:val="auto"/>
          <w:spacing w:val="6"/>
          <w:position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44" w:firstLineChars="200"/>
        <w:textAlignment w:val="baseline"/>
        <w:rPr>
          <w:rFonts w:hint="eastAsia" w:ascii="宋体" w:hAnsi="宋体" w:eastAsia="宋体" w:cs="宋体"/>
          <w:color w:val="auto"/>
          <w:spacing w:val="6"/>
          <w:position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hint="eastAsia" w:ascii="宋体" w:hAnsi="宋体" w:eastAsia="宋体" w:cs="宋体"/>
          <w:color w:val="auto"/>
          <w:spacing w:val="6"/>
          <w:position w:val="0"/>
          <w:sz w:val="28"/>
          <w:szCs w:val="28"/>
          <w:highlight w:val="none"/>
        </w:rPr>
      </w:pPr>
      <w:r>
        <w:rPr>
          <w:rFonts w:hint="eastAsia" w:ascii="宋体" w:hAnsi="宋体" w:eastAsia="宋体" w:cs="宋体"/>
          <w:color w:val="auto"/>
          <w:spacing w:val="6"/>
          <w:position w:val="0"/>
          <w:sz w:val="28"/>
          <w:szCs w:val="28"/>
          <w:highlight w:val="none"/>
        </w:rPr>
        <w:t>412.02  一般要求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2 条修改为：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2.预制构件的起吊、运输、 装卸和安装时的混凝土强度应符合图纸规定，一般不低于预制构件混 凝土设计等级的 80%。对于预应力混凝土梁，应通过与梁相同的混凝土制成的且与梁同一条件下养护 的混凝土立方体试件，表明梁的抗压强度达到图纸规定的抗压强度，且至少达到 14d 龄期，才能装运。 预应力混凝土预制构件孔道内的水泥浆强度，应符合图纸规定。</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9 条后补充：“对于预制梁板的起吊，应防止开始起吊速度过快，用力过猛，造成板底真空吸 力超载而引起板底裂缝。”</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12 条：</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12 ．梁板湿接缝钢筋横向连接全部采用焊接，焊接长度不小于规范要求。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hint="eastAsia" w:ascii="宋体" w:hAnsi="宋体" w:eastAsia="宋体" w:cs="宋体"/>
          <w:color w:val="auto"/>
          <w:spacing w:val="6"/>
          <w:position w:val="0"/>
          <w:sz w:val="28"/>
          <w:szCs w:val="28"/>
          <w:highlight w:val="none"/>
        </w:rPr>
      </w:pPr>
      <w:r>
        <w:rPr>
          <w:rFonts w:hint="eastAsia" w:ascii="宋体" w:hAnsi="宋体" w:eastAsia="宋体" w:cs="宋体"/>
          <w:color w:val="auto"/>
          <w:spacing w:val="6"/>
          <w:position w:val="0"/>
          <w:sz w:val="28"/>
          <w:szCs w:val="28"/>
          <w:highlight w:val="none"/>
        </w:rPr>
        <w:t>412.04  先简支后连续 (结构) 预应力混凝土 (矮) T 梁安装</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本小节修改为：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先简支后连续 (结构) 预应力混凝土 (矮) T 梁安装</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．承包人应充分认清先简支后连续结构的特点，即：</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(1)结构由预制T 梁与现浇段共同组成， 先预制安装，后现浇连续；</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(2)结构在施工中， 存在由双排临时支座 (简支) 变成单排或双排永久支座 (连续)的体系转 换过程；</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(3)结构在体系转换后，在恒载与活载作用下，受力特征为连续梁。</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．承包人在认清结构特点的基础上，应仔细阅读先简支后连续结构的设计图纸，制订确保结构 连续的施工工艺，报监理人批准后认真实施。</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．除了本条规定的要求外，未涉及部分仍按本规范有关的施工要求进行。</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．预制T 梁时应注意：</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预制场应具有一定长度 (80~100m) ，台座底板纵、横向应定位正确互相对齐，标高一致， 以确保相邻段端部的各种尺寸相吻合；</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6"/>
          <w:position w:val="0"/>
          <w:highlight w:val="none"/>
        </w:rPr>
      </w:pPr>
      <w:r>
        <w:rPr>
          <w:rFonts w:hint="eastAsia" w:ascii="宋体" w:hAnsi="宋体" w:eastAsia="宋体" w:cs="宋体"/>
          <w:color w:val="auto"/>
          <w:spacing w:val="0"/>
          <w:position w:val="0"/>
          <w:sz w:val="21"/>
          <w:szCs w:val="21"/>
          <w:highlight w:val="none"/>
        </w:rPr>
        <w:t>(2) 斜桥梁板端部应按设计要求在平面上做成台阶状，并与张拉轴线垂直， 以免张拉连续段预 应力时结合面错动；</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非连续端的梁端封锚混凝土可先浇筑，连续端封锚混凝土应与墩顶现浇段一起浇筑；</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梁端模宜采用钢模， 以确保连续端纵向连接钢筋定位精确，便于连接处纵向连接筋对齐焊 接；</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 预制梁板出坑前，应用墨线标出梁中线及临时支座定位线，以利安装就位。</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 ．安装时应注意：</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临时支座应有足够的强度、刚度，装拆方便，落梁均匀。应用硫磺砂浆制成 (硫磺砂浆内 埋入电热丝) 或其它可靠的施工方法；</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中墩处应正确标出临时支座和永久支座的位置，支座定位正确。并按图纸要求及本规范第</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416 节有关规定安装支座；</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严格按标线控制落梁位置，左右偏差不超过 2mm。</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承包人在梁板安装前，应制订切实可行的梁板安装施工方案，报监理人批准后认真实施，</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承包人在架设弯道、小半径等复杂路段的梁板时，应充分考虑架桥设备的适用性，必要时应对架桥设备进行改造功能提升，以确保梁板安装的安全、质量，承包人所采取的措施以及因此增加的费用视作已包括在投标价之中，发包人不另行支付。</w:t>
      </w:r>
    </w:p>
    <w:p>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 ．墩顶现浇段：</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永久支座与底模间的缝隙应密合，并采取措施严防漏浆；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现浇段预应力束道应与预制梁板的对应束道顺接，并确保连接可靠，不漏浆；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两梁端部伸出的预留纵向钢筋，应按设计和规范要求彼此焊接或采用套筒压接；</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(4)对连续孔数大于 3 孔的桥梁应先浇中间墩顶混凝土，而后对称浇筑两侧墩顶混凝土；</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 现浇段处纵向连接钢筋的焊接宜左右、上下对称进行， 以免焊接温度引起梁板端部变位；</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 现浇段混凝土石子粒径不大于 20mm ，混凝土强度宜比预制梁板高 5MPa ，混凝土应按设计 和规范规定掺高效减水剂和补偿收缩剂。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7．连续预应力束张拉：墩顶现浇段的混凝土强度达到设计要求后，经监理人同意，张拉墩顶负 弯矩区预应力束，张拉应对称分级。</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 ．体系转换：</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张拉结束并压浆后，待浆液强度大于 40MPa 时，方可解除临时支座；</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采用电热法解除每根梁下部临时支座，完成体系转换。操作时，应做到逐孔对称、 均匀、 同步、平稳；体系转换后，永久支座与墩顶密贴，符合设计要求。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9．先简支后连续的工艺流程为：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安装墩顶临时支座→ 安装墩顶永久支座及底模→ 安装梁板→ 安装墩顶连续预应力束塑料波纹管→按设计要求连接纵向钢筋和绑扎构造钢筋→立侧模→浇筑现浇段混凝土(掺高效减水剂和补偿收缩剂) →养生至混凝土达到 100％设计强度→ 张拉墩顶预应力连续束→压浆→解除临时支座→进行梁板的横向连接→铺设桥面钢筋网 (钢筋网纵向钢筋应连续通过现浇段) →浇筑桥面混凝土→铺筑沥青混凝土。</w:t>
      </w:r>
    </w:p>
    <w:p>
      <w:pPr>
        <w:keepNext w:val="0"/>
        <w:keepLines w:val="0"/>
        <w:pageBreakBefore w:val="0"/>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highlight w:val="none"/>
        </w:rPr>
        <w:sectPr>
          <w:footerReference r:id="rId40" w:type="default"/>
          <w:pgSz w:w="11900" w:h="16840"/>
          <w:pgMar w:top="1160" w:right="1352" w:bottom="1448" w:left="1363" w:header="883" w:footer="1234" w:gutter="0"/>
          <w:pgNumType w:fmt="decimal"/>
          <w:cols w:space="720" w:num="1"/>
        </w:sectPr>
      </w:pPr>
      <w:bookmarkStart w:id="692" w:name="_bookmark189"/>
      <w:bookmarkEnd w:id="692"/>
    </w:p>
    <w:p>
      <w:pPr>
        <w:keepNext w:val="0"/>
        <w:keepLines w:val="0"/>
        <w:pageBreakBefore w:val="0"/>
        <w:widowControl/>
        <w:kinsoku w:val="0"/>
        <w:wordWrap/>
        <w:overflowPunct/>
        <w:topLinePunct w:val="0"/>
        <w:autoSpaceDE w:val="0"/>
        <w:autoSpaceDN w:val="0"/>
        <w:bidi w:val="0"/>
        <w:adjustRightInd w:val="0"/>
        <w:snapToGrid w:val="0"/>
        <w:spacing w:before="101" w:line="360" w:lineRule="exact"/>
        <w:jc w:val="center"/>
        <w:textAlignment w:val="baseline"/>
        <w:outlineLvl w:val="1"/>
        <w:rPr>
          <w:rFonts w:hint="eastAsia" w:ascii="宋体" w:hAnsi="宋体" w:eastAsia="宋体" w:cs="宋体"/>
          <w:b/>
          <w:bCs/>
          <w:color w:val="auto"/>
          <w:spacing w:val="0"/>
          <w:position w:val="0"/>
          <w:sz w:val="31"/>
          <w:szCs w:val="31"/>
          <w:highlight w:val="none"/>
        </w:rPr>
      </w:pPr>
      <w:bookmarkStart w:id="693" w:name="_bookmark190"/>
      <w:bookmarkEnd w:id="693"/>
      <w:bookmarkStart w:id="694" w:name="_Toc22268"/>
      <w:r>
        <w:rPr>
          <w:rFonts w:hint="eastAsia" w:ascii="宋体" w:hAnsi="宋体" w:eastAsia="宋体" w:cs="宋体"/>
          <w:b/>
          <w:bCs/>
          <w:color w:val="auto"/>
          <w:spacing w:val="0"/>
          <w:position w:val="0"/>
          <w:sz w:val="31"/>
          <w:szCs w:val="31"/>
          <w:highlight w:val="none"/>
        </w:rPr>
        <w:t>第 415 节  桥面铺装</w:t>
      </w:r>
      <w:bookmarkEnd w:id="694"/>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0"/>
          <w:position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0"/>
          <w:position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91" w:line="360" w:lineRule="exact"/>
        <w:ind w:left="2"/>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415.03    施工要求</w:t>
      </w:r>
    </w:p>
    <w:p>
      <w:pPr>
        <w:keepNext w:val="0"/>
        <w:keepLines w:val="0"/>
        <w:pageBreakBefore w:val="0"/>
        <w:widowControl/>
        <w:kinsoku w:val="0"/>
        <w:wordWrap/>
        <w:overflowPunct/>
        <w:topLinePunct w:val="0"/>
        <w:autoSpaceDE w:val="0"/>
        <w:autoSpaceDN w:val="0"/>
        <w:bidi w:val="0"/>
        <w:adjustRightInd w:val="0"/>
        <w:snapToGrid w:val="0"/>
        <w:spacing w:before="198" w:line="360" w:lineRule="exact"/>
        <w:ind w:left="418"/>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．一般要求</w:t>
      </w:r>
    </w:p>
    <w:p>
      <w:pPr>
        <w:keepNext w:val="0"/>
        <w:keepLines w:val="0"/>
        <w:pageBreakBefore w:val="0"/>
        <w:widowControl/>
        <w:kinsoku w:val="0"/>
        <w:wordWrap/>
        <w:overflowPunct/>
        <w:topLinePunct w:val="0"/>
        <w:autoSpaceDE w:val="0"/>
        <w:autoSpaceDN w:val="0"/>
        <w:bidi w:val="0"/>
        <w:adjustRightInd w:val="0"/>
        <w:snapToGrid w:val="0"/>
        <w:spacing w:before="140" w:line="360" w:lineRule="exact"/>
        <w:ind w:left="40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(6) 款修改为：</w:t>
      </w:r>
    </w:p>
    <w:p>
      <w:pPr>
        <w:keepNext w:val="0"/>
        <w:keepLines w:val="0"/>
        <w:pageBreakBefore w:val="0"/>
        <w:widowControl/>
        <w:kinsoku w:val="0"/>
        <w:wordWrap/>
        <w:overflowPunct/>
        <w:topLinePunct w:val="0"/>
        <w:autoSpaceDE w:val="0"/>
        <w:autoSpaceDN w:val="0"/>
        <w:bidi w:val="0"/>
        <w:adjustRightInd w:val="0"/>
        <w:snapToGrid w:val="0"/>
        <w:spacing w:before="161" w:line="360" w:lineRule="exact"/>
        <w:ind w:left="8" w:right="75" w:firstLine="40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 桥面铺装应在两道伸缩缝间全宽全长上同时进行， 同一连续段桥面尽可能不设纵和横向施 工缝；铺装钢筋的高度应严格按设计要求定位，特别是设置高程控制模板和振捣梁导轨时，不得将钢 筋下压。具体施工方案和控制方法应切实可行,并得到监理人的批准。</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0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(7) 款：</w:t>
      </w:r>
    </w:p>
    <w:p>
      <w:pPr>
        <w:keepNext w:val="0"/>
        <w:keepLines w:val="0"/>
        <w:pageBreakBefore w:val="0"/>
        <w:widowControl/>
        <w:kinsoku w:val="0"/>
        <w:wordWrap/>
        <w:overflowPunct/>
        <w:topLinePunct w:val="0"/>
        <w:autoSpaceDE w:val="0"/>
        <w:autoSpaceDN w:val="0"/>
        <w:bidi w:val="0"/>
        <w:adjustRightInd w:val="0"/>
        <w:snapToGrid w:val="0"/>
        <w:spacing w:before="164" w:line="360" w:lineRule="exact"/>
        <w:ind w:left="18" w:right="6" w:firstLine="392"/>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 采用抛丸或铣刨等方式对水泥混凝土铺装进行处理， 清除浮浆，提供一个干燥洁净的表面。 防水粘结层采用改性乳化沥青， 用量 0.3-0.5kg/㎡ (沥青净含量) ，采用智能型沥青洒布车洒布。</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0"/>
          <w:position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101" w:line="360" w:lineRule="exact"/>
        <w:jc w:val="center"/>
        <w:textAlignment w:val="baseline"/>
        <w:outlineLvl w:val="1"/>
        <w:rPr>
          <w:rFonts w:hint="eastAsia" w:ascii="宋体" w:hAnsi="宋体" w:eastAsia="宋体" w:cs="宋体"/>
          <w:b/>
          <w:bCs/>
          <w:color w:val="auto"/>
          <w:spacing w:val="0"/>
          <w:position w:val="0"/>
          <w:sz w:val="31"/>
          <w:szCs w:val="31"/>
          <w:highlight w:val="none"/>
        </w:rPr>
      </w:pPr>
      <w:bookmarkStart w:id="695" w:name="_Toc24666"/>
      <w:r>
        <w:rPr>
          <w:rFonts w:hint="eastAsia" w:ascii="宋体" w:hAnsi="宋体" w:eastAsia="宋体" w:cs="宋体"/>
          <w:b/>
          <w:bCs/>
          <w:color w:val="auto"/>
          <w:spacing w:val="0"/>
          <w:position w:val="0"/>
          <w:sz w:val="31"/>
          <w:szCs w:val="31"/>
          <w:highlight w:val="none"/>
        </w:rPr>
        <w:t>第 416 节  桥梁支座</w:t>
      </w:r>
      <w:bookmarkEnd w:id="695"/>
    </w:p>
    <w:p>
      <w:pPr>
        <w:keepNext w:val="0"/>
        <w:keepLines w:val="0"/>
        <w:pageBreakBefore w:val="0"/>
        <w:widowControl/>
        <w:kinsoku w:val="0"/>
        <w:wordWrap/>
        <w:overflowPunct/>
        <w:topLinePunct w:val="0"/>
        <w:autoSpaceDE w:val="0"/>
        <w:autoSpaceDN w:val="0"/>
        <w:bidi w:val="0"/>
        <w:adjustRightInd w:val="0"/>
        <w:snapToGrid w:val="0"/>
        <w:spacing w:before="235" w:line="360" w:lineRule="exact"/>
        <w:ind w:left="2"/>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416.02  一般要求</w:t>
      </w:r>
    </w:p>
    <w:p>
      <w:pPr>
        <w:keepNext w:val="0"/>
        <w:keepLines w:val="0"/>
        <w:pageBreakBefore w:val="0"/>
        <w:widowControl/>
        <w:kinsoku w:val="0"/>
        <w:wordWrap/>
        <w:overflowPunct/>
        <w:topLinePunct w:val="0"/>
        <w:autoSpaceDE w:val="0"/>
        <w:autoSpaceDN w:val="0"/>
        <w:bidi w:val="0"/>
        <w:adjustRightInd w:val="0"/>
        <w:snapToGrid w:val="0"/>
        <w:spacing w:before="201" w:line="360" w:lineRule="exact"/>
        <w:ind w:left="4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删除第 1 条原内容，修改为：</w:t>
      </w:r>
    </w:p>
    <w:p>
      <w:pPr>
        <w:keepNext w:val="0"/>
        <w:keepLines w:val="0"/>
        <w:pageBreakBefore w:val="0"/>
        <w:widowControl/>
        <w:kinsoku w:val="0"/>
        <w:wordWrap/>
        <w:overflowPunct/>
        <w:topLinePunct w:val="0"/>
        <w:autoSpaceDE w:val="0"/>
        <w:autoSpaceDN w:val="0"/>
        <w:bidi w:val="0"/>
        <w:adjustRightInd w:val="0"/>
        <w:snapToGrid w:val="0"/>
        <w:spacing w:before="132" w:line="360" w:lineRule="exact"/>
        <w:ind w:left="10" w:firstLine="407"/>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1．桥梁支座应符合《公路桥梁板式橡胶支座》(JT/T4-2019)、《公路桥梁盆式支座》(JT/T391-2019)、 《桥梁球型支座》(GB/T17955-2009) 标准的要求及图纸要求的有关规定。</w:t>
      </w:r>
    </w:p>
    <w:p>
      <w:pPr>
        <w:keepNext w:val="0"/>
        <w:keepLines w:val="0"/>
        <w:pageBreakBefore w:val="0"/>
        <w:widowControl/>
        <w:kinsoku w:val="0"/>
        <w:wordWrap/>
        <w:overflowPunct/>
        <w:topLinePunct w:val="0"/>
        <w:autoSpaceDE w:val="0"/>
        <w:autoSpaceDN w:val="0"/>
        <w:bidi w:val="0"/>
        <w:adjustRightInd w:val="0"/>
        <w:snapToGrid w:val="0"/>
        <w:spacing w:before="7" w:line="360" w:lineRule="exact"/>
        <w:ind w:left="40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4 条：</w:t>
      </w:r>
    </w:p>
    <w:p>
      <w:pPr>
        <w:keepNext w:val="0"/>
        <w:keepLines w:val="0"/>
        <w:pageBreakBefore w:val="0"/>
        <w:widowControl/>
        <w:kinsoku w:val="0"/>
        <w:wordWrap/>
        <w:overflowPunct/>
        <w:topLinePunct w:val="0"/>
        <w:autoSpaceDE w:val="0"/>
        <w:autoSpaceDN w:val="0"/>
        <w:bidi w:val="0"/>
        <w:adjustRightInd w:val="0"/>
        <w:snapToGrid w:val="0"/>
        <w:spacing w:before="162" w:line="360" w:lineRule="exact"/>
        <w:ind w:left="7" w:right="78" w:firstLine="389"/>
        <w:textAlignment w:val="baseline"/>
        <w:rPr>
          <w:rFonts w:hint="eastAsia" w:ascii="宋体" w:hAnsi="宋体" w:eastAsia="宋体" w:cs="宋体"/>
          <w:color w:val="auto"/>
          <w:spacing w:val="0"/>
          <w:position w:val="0"/>
          <w:sz w:val="20"/>
          <w:szCs w:val="20"/>
          <w:highlight w:val="none"/>
        </w:rPr>
      </w:pPr>
      <w:r>
        <w:rPr>
          <w:rFonts w:hint="eastAsia" w:ascii="宋体" w:hAnsi="宋体" w:eastAsia="宋体" w:cs="宋体"/>
          <w:color w:val="auto"/>
          <w:spacing w:val="0"/>
          <w:position w:val="0"/>
          <w:sz w:val="21"/>
          <w:szCs w:val="21"/>
          <w:highlight w:val="none"/>
        </w:rPr>
        <w:t>4 ．所有支座安装时，应按图纸所示对号入座；安装前应检查各支座的属性 (固定滑动以及滑动 的方向、型号等) 是否与所在的墩台位置相符；成桥后应认真将支座所处墩台顶面及四周的混凝土等 杂物清理干净，拆除安</w:t>
      </w:r>
      <w:r>
        <w:rPr>
          <w:rFonts w:hint="eastAsia" w:ascii="宋体" w:hAnsi="宋体" w:eastAsia="宋体" w:cs="宋体"/>
          <w:color w:val="auto"/>
          <w:spacing w:val="0"/>
          <w:position w:val="0"/>
          <w:sz w:val="20"/>
          <w:szCs w:val="20"/>
          <w:highlight w:val="none"/>
        </w:rPr>
        <w:t>装时所用的临时螺栓，并检查各支座的功能是否与图纸要求相符，应将检查结 果报监理人认可。</w:t>
      </w:r>
    </w:p>
    <w:p>
      <w:pPr>
        <w:keepNext w:val="0"/>
        <w:keepLines w:val="0"/>
        <w:pageBreakBefore w:val="0"/>
        <w:widowControl/>
        <w:kinsoku w:val="0"/>
        <w:wordWrap/>
        <w:overflowPunct/>
        <w:topLinePunct w:val="0"/>
        <w:autoSpaceDE w:val="0"/>
        <w:autoSpaceDN w:val="0"/>
        <w:bidi w:val="0"/>
        <w:adjustRightInd w:val="0"/>
        <w:snapToGrid w:val="0"/>
        <w:spacing w:before="101" w:line="360" w:lineRule="exact"/>
        <w:jc w:val="center"/>
        <w:textAlignment w:val="baseline"/>
        <w:outlineLvl w:val="1"/>
        <w:rPr>
          <w:rFonts w:hint="eastAsia" w:ascii="宋体" w:hAnsi="宋体" w:eastAsia="宋体" w:cs="宋体"/>
          <w:b/>
          <w:bCs/>
          <w:color w:val="auto"/>
          <w:spacing w:val="0"/>
          <w:position w:val="0"/>
          <w:sz w:val="31"/>
          <w:szCs w:val="31"/>
          <w:highlight w:val="none"/>
        </w:rPr>
      </w:pPr>
      <w:bookmarkStart w:id="696" w:name="_Toc17503"/>
      <w:r>
        <w:rPr>
          <w:rFonts w:hint="eastAsia" w:ascii="宋体" w:hAnsi="宋体" w:eastAsia="宋体" w:cs="宋体"/>
          <w:b/>
          <w:bCs/>
          <w:color w:val="auto"/>
          <w:spacing w:val="0"/>
          <w:position w:val="0"/>
          <w:sz w:val="31"/>
          <w:szCs w:val="31"/>
          <w:highlight w:val="none"/>
        </w:rPr>
        <w:t>第 419 节  圆管涵及倒虹吸管涵</w:t>
      </w:r>
      <w:bookmarkEnd w:id="696"/>
    </w:p>
    <w:p>
      <w:pPr>
        <w:keepNext w:val="0"/>
        <w:keepLines w:val="0"/>
        <w:pageBreakBefore w:val="0"/>
        <w:widowControl/>
        <w:kinsoku w:val="0"/>
        <w:wordWrap/>
        <w:overflowPunct/>
        <w:topLinePunct w:val="0"/>
        <w:autoSpaceDE w:val="0"/>
        <w:autoSpaceDN w:val="0"/>
        <w:bidi w:val="0"/>
        <w:adjustRightInd w:val="0"/>
        <w:snapToGrid w:val="0"/>
        <w:spacing w:before="235" w:line="360" w:lineRule="exact"/>
        <w:ind w:left="2"/>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419.03  一般要求</w:t>
      </w:r>
    </w:p>
    <w:p>
      <w:pPr>
        <w:keepNext w:val="0"/>
        <w:keepLines w:val="0"/>
        <w:pageBreakBefore w:val="0"/>
        <w:widowControl/>
        <w:kinsoku w:val="0"/>
        <w:wordWrap/>
        <w:overflowPunct/>
        <w:topLinePunct w:val="0"/>
        <w:autoSpaceDE w:val="0"/>
        <w:autoSpaceDN w:val="0"/>
        <w:bidi w:val="0"/>
        <w:adjustRightInd w:val="0"/>
        <w:snapToGrid w:val="0"/>
        <w:spacing w:before="201" w:line="360" w:lineRule="exact"/>
        <w:ind w:left="40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8 条修改为：</w:t>
      </w:r>
    </w:p>
    <w:p>
      <w:pPr>
        <w:keepNext w:val="0"/>
        <w:keepLines w:val="0"/>
        <w:pageBreakBefore w:val="0"/>
        <w:widowControl/>
        <w:kinsoku w:val="0"/>
        <w:wordWrap/>
        <w:overflowPunct/>
        <w:topLinePunct w:val="0"/>
        <w:autoSpaceDE w:val="0"/>
        <w:autoSpaceDN w:val="0"/>
        <w:bidi w:val="0"/>
        <w:adjustRightInd w:val="0"/>
        <w:snapToGrid w:val="0"/>
        <w:spacing w:before="130" w:line="360" w:lineRule="exact"/>
        <w:ind w:left="6" w:right="70" w:firstLine="399"/>
        <w:textAlignment w:val="baseline"/>
        <w:rPr>
          <w:rFonts w:hint="eastAsia" w:ascii="宋体" w:hAnsi="宋体" w:eastAsia="宋体" w:cs="宋体"/>
          <w:color w:val="auto"/>
          <w:spacing w:val="0"/>
          <w:position w:val="0"/>
          <w:sz w:val="22"/>
          <w:szCs w:val="22"/>
          <w:highlight w:val="none"/>
          <w:lang w:eastAsia="zh-CN"/>
        </w:rPr>
      </w:pPr>
      <w:r>
        <w:rPr>
          <w:rFonts w:hint="eastAsia" w:ascii="宋体" w:hAnsi="宋体" w:eastAsia="宋体" w:cs="宋体"/>
          <w:color w:val="auto"/>
          <w:spacing w:val="0"/>
          <w:position w:val="0"/>
          <w:sz w:val="21"/>
          <w:szCs w:val="21"/>
          <w:highlight w:val="none"/>
        </w:rPr>
        <w:t>8．所有砂浆砌体均应按《公路桥涵施工技术规范》(JTG/T 3650-2020)  第 24 章的有关规定进行勾 缝及养护。所有混凝土的养护和表面缺陷修整弥补。应按照本规范第 410 节的有关规定执行</w:t>
      </w:r>
      <w:r>
        <w:rPr>
          <w:rFonts w:hint="eastAsia" w:ascii="宋体" w:hAnsi="宋体" w:eastAsia="宋体" w:cs="宋体"/>
          <w:color w:val="auto"/>
          <w:spacing w:val="0"/>
          <w:position w:val="0"/>
          <w:sz w:val="21"/>
          <w:szCs w:val="21"/>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before="66" w:line="360" w:lineRule="exact"/>
        <w:ind w:left="5"/>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422 节：</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0"/>
          <w:position w:val="0"/>
          <w:highlight w:val="none"/>
        </w:rPr>
        <w:sectPr>
          <w:footerReference r:id="rId41" w:type="default"/>
          <w:pgSz w:w="11900" w:h="16840"/>
          <w:pgMar w:top="1160" w:right="1278" w:bottom="1448" w:left="1363" w:header="883" w:footer="1234"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before="101" w:line="360" w:lineRule="exact"/>
        <w:jc w:val="center"/>
        <w:textAlignment w:val="baseline"/>
        <w:outlineLvl w:val="1"/>
        <w:rPr>
          <w:rFonts w:hint="eastAsia" w:ascii="宋体" w:hAnsi="宋体" w:eastAsia="宋体" w:cs="宋体"/>
          <w:b/>
          <w:bCs/>
          <w:color w:val="auto"/>
          <w:spacing w:val="0"/>
          <w:position w:val="0"/>
          <w:sz w:val="31"/>
          <w:szCs w:val="31"/>
          <w:highlight w:val="none"/>
        </w:rPr>
      </w:pPr>
      <w:bookmarkStart w:id="697" w:name="_bookmark191"/>
      <w:bookmarkEnd w:id="697"/>
      <w:bookmarkStart w:id="698" w:name="_Toc26850"/>
      <w:r>
        <w:rPr>
          <w:rFonts w:hint="eastAsia" w:ascii="宋体" w:hAnsi="宋体" w:eastAsia="宋体" w:cs="宋体"/>
          <w:b/>
          <w:bCs/>
          <w:color w:val="auto"/>
          <w:spacing w:val="0"/>
          <w:position w:val="0"/>
          <w:sz w:val="31"/>
          <w:szCs w:val="31"/>
          <w:highlight w:val="none"/>
        </w:rPr>
        <w:t>第 422 节  桥头跳车的防治</w:t>
      </w:r>
      <w:bookmarkEnd w:id="698"/>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0"/>
          <w:position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91" w:line="360" w:lineRule="exact"/>
        <w:ind w:left="2"/>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422.01    基本要求</w:t>
      </w:r>
    </w:p>
    <w:p>
      <w:pPr>
        <w:keepNext w:val="0"/>
        <w:keepLines w:val="0"/>
        <w:pageBreakBefore w:val="0"/>
        <w:widowControl/>
        <w:kinsoku w:val="0"/>
        <w:wordWrap/>
        <w:overflowPunct/>
        <w:topLinePunct w:val="0"/>
        <w:autoSpaceDE w:val="0"/>
        <w:autoSpaceDN w:val="0"/>
        <w:bidi w:val="0"/>
        <w:adjustRightInd w:val="0"/>
        <w:snapToGrid w:val="0"/>
        <w:spacing w:before="197" w:line="360" w:lineRule="exact"/>
        <w:ind w:left="5" w:right="23" w:firstLine="412"/>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．桥头 (含通道、涵洞) 跳车是桥、路衔接处在运营过程中存在的通病。主要是由于引道软基处理不当、台背路基压实不足、桥头搭板设置不当及伸缩缝施工不符合要求等原因，导致桥、路产生错台或差异沉降而跳车。承包人对此必须予以高度重视。</w:t>
      </w:r>
    </w:p>
    <w:p>
      <w:pPr>
        <w:keepNext w:val="0"/>
        <w:keepLines w:val="0"/>
        <w:pageBreakBefore w:val="0"/>
        <w:widowControl/>
        <w:kinsoku w:val="0"/>
        <w:wordWrap/>
        <w:overflowPunct/>
        <w:topLinePunct w:val="0"/>
        <w:autoSpaceDE w:val="0"/>
        <w:autoSpaceDN w:val="0"/>
        <w:bidi w:val="0"/>
        <w:adjustRightInd w:val="0"/>
        <w:snapToGrid w:val="0"/>
        <w:spacing w:before="1" w:line="360" w:lineRule="exact"/>
        <w:ind w:left="6" w:right="28" w:firstLine="39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．承包人应按照设计和规范要求，详细制订有关预防桥头跳车的各项施工作业计划，落实专人专管责任，合理安排施工工序，制订施工操作工艺，明确质量检查制度，并报监理人批准。</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28"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3．做好施工现场的排水固结法工作。两侧边沟断面尺寸符合设计要求，排水畅通，桥台处路堤 下部设置的排水盲沟系统完整到位，材料不受污染。</w:t>
      </w:r>
    </w:p>
    <w:p>
      <w:pPr>
        <w:keepNext w:val="0"/>
        <w:keepLines w:val="0"/>
        <w:pageBreakBefore w:val="0"/>
        <w:widowControl/>
        <w:kinsoku w:val="0"/>
        <w:wordWrap/>
        <w:overflowPunct/>
        <w:topLinePunct w:val="0"/>
        <w:autoSpaceDE w:val="0"/>
        <w:autoSpaceDN w:val="0"/>
        <w:bidi w:val="0"/>
        <w:adjustRightInd w:val="0"/>
        <w:snapToGrid w:val="0"/>
        <w:spacing w:before="1" w:line="360" w:lineRule="exact"/>
        <w:ind w:left="2"/>
        <w:textAlignment w:val="baseline"/>
        <w:rPr>
          <w:rFonts w:hint="eastAsia" w:ascii="宋体" w:hAnsi="宋体" w:eastAsia="宋体" w:cs="宋体"/>
          <w:color w:val="auto"/>
          <w:spacing w:val="0"/>
          <w:position w:val="0"/>
          <w:sz w:val="28"/>
          <w:szCs w:val="28"/>
          <w:highlight w:val="none"/>
        </w:rPr>
      </w:pPr>
      <w:r>
        <w:rPr>
          <w:rFonts w:hint="eastAsia" w:ascii="宋体" w:hAnsi="宋体" w:eastAsia="宋体" w:cs="宋体"/>
          <w:color w:val="auto"/>
          <w:spacing w:val="0"/>
          <w:position w:val="0"/>
          <w:sz w:val="28"/>
          <w:szCs w:val="28"/>
          <w:highlight w:val="none"/>
        </w:rPr>
        <w:t>422.02    施工要点</w:t>
      </w:r>
    </w:p>
    <w:p>
      <w:pPr>
        <w:keepNext w:val="0"/>
        <w:keepLines w:val="0"/>
        <w:pageBreakBefore w:val="0"/>
        <w:widowControl/>
        <w:kinsoku w:val="0"/>
        <w:wordWrap/>
        <w:overflowPunct/>
        <w:topLinePunct w:val="0"/>
        <w:autoSpaceDE w:val="0"/>
        <w:autoSpaceDN w:val="0"/>
        <w:bidi w:val="0"/>
        <w:adjustRightInd w:val="0"/>
        <w:snapToGrid w:val="0"/>
        <w:spacing w:before="199" w:line="360" w:lineRule="exact"/>
        <w:ind w:left="418"/>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1．引道软基处理</w:t>
      </w:r>
    </w:p>
    <w:p>
      <w:pPr>
        <w:keepNext w:val="0"/>
        <w:keepLines w:val="0"/>
        <w:pageBreakBefore w:val="0"/>
        <w:widowControl/>
        <w:kinsoku w:val="0"/>
        <w:wordWrap/>
        <w:overflowPunct/>
        <w:topLinePunct w:val="0"/>
        <w:autoSpaceDE w:val="0"/>
        <w:autoSpaceDN w:val="0"/>
        <w:bidi w:val="0"/>
        <w:adjustRightInd w:val="0"/>
        <w:snapToGrid w:val="0"/>
        <w:spacing w:before="161" w:line="360" w:lineRule="exact"/>
        <w:ind w:left="41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认真清理引道原地面并做好排水工作。</w:t>
      </w:r>
    </w:p>
    <w:p>
      <w:pPr>
        <w:keepNext w:val="0"/>
        <w:keepLines w:val="0"/>
        <w:pageBreakBefore w:val="0"/>
        <w:widowControl/>
        <w:kinsoku w:val="0"/>
        <w:wordWrap/>
        <w:overflowPunct/>
        <w:topLinePunct w:val="0"/>
        <w:autoSpaceDE w:val="0"/>
        <w:autoSpaceDN w:val="0"/>
        <w:bidi w:val="0"/>
        <w:adjustRightInd w:val="0"/>
        <w:snapToGrid w:val="0"/>
        <w:spacing w:before="164" w:line="360" w:lineRule="exact"/>
        <w:ind w:left="41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软基处理应根据设计要求，严格按本规范第 200 章第 205.03 小节规定办理。</w:t>
      </w:r>
    </w:p>
    <w:p>
      <w:pPr>
        <w:keepNext w:val="0"/>
        <w:keepLines w:val="0"/>
        <w:pageBreakBefore w:val="0"/>
        <w:widowControl/>
        <w:kinsoku w:val="0"/>
        <w:wordWrap/>
        <w:overflowPunct/>
        <w:topLinePunct w:val="0"/>
        <w:autoSpaceDE w:val="0"/>
        <w:autoSpaceDN w:val="0"/>
        <w:bidi w:val="0"/>
        <w:adjustRightInd w:val="0"/>
        <w:snapToGrid w:val="0"/>
        <w:spacing w:before="162" w:line="360" w:lineRule="exact"/>
        <w:ind w:left="41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(3)对用排水处理的引道软基，必须确保引道路堤的预压期， 以充分发挥软基处理的效果，减</w:t>
      </w:r>
    </w:p>
    <w:p>
      <w:pPr>
        <w:keepNext w:val="0"/>
        <w:keepLines w:val="0"/>
        <w:pageBreakBefore w:val="0"/>
        <w:widowControl/>
        <w:kinsoku w:val="0"/>
        <w:wordWrap/>
        <w:overflowPunct/>
        <w:topLinePunct w:val="0"/>
        <w:autoSpaceDE w:val="0"/>
        <w:autoSpaceDN w:val="0"/>
        <w:bidi w:val="0"/>
        <w:adjustRightInd w:val="0"/>
        <w:snapToGrid w:val="0"/>
        <w:spacing w:before="161" w:line="360" w:lineRule="exact"/>
        <w:ind w:left="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少工后沉降。</w:t>
      </w:r>
    </w:p>
    <w:p>
      <w:pPr>
        <w:keepNext w:val="0"/>
        <w:keepLines w:val="0"/>
        <w:pageBreakBefore w:val="0"/>
        <w:widowControl/>
        <w:kinsoku w:val="0"/>
        <w:wordWrap/>
        <w:overflowPunct/>
        <w:topLinePunct w:val="0"/>
        <w:autoSpaceDE w:val="0"/>
        <w:autoSpaceDN w:val="0"/>
        <w:bidi w:val="0"/>
        <w:adjustRightInd w:val="0"/>
        <w:snapToGrid w:val="0"/>
        <w:spacing w:before="162" w:line="360" w:lineRule="exact"/>
        <w:ind w:left="397"/>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．台背路基填筑</w:t>
      </w:r>
    </w:p>
    <w:p>
      <w:pPr>
        <w:keepNext w:val="0"/>
        <w:keepLines w:val="0"/>
        <w:pageBreakBefore w:val="0"/>
        <w:widowControl/>
        <w:kinsoku w:val="0"/>
        <w:wordWrap/>
        <w:overflowPunct/>
        <w:topLinePunct w:val="0"/>
        <w:autoSpaceDE w:val="0"/>
        <w:autoSpaceDN w:val="0"/>
        <w:bidi w:val="0"/>
        <w:adjustRightInd w:val="0"/>
        <w:snapToGrid w:val="0"/>
        <w:spacing w:before="140" w:line="360" w:lineRule="exact"/>
        <w:ind w:left="8" w:right="18" w:firstLine="40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台背填土应根据设计要求，除严格按本规范第 200 章第 204.04-9 条结构物处的回填规定办理外，还应：</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1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确保台背填料粒径不超过图纸和规范规定，并具有一定级配，填筑材料应经监理人批准。</w:t>
      </w:r>
    </w:p>
    <w:p>
      <w:pPr>
        <w:keepNext w:val="0"/>
        <w:keepLines w:val="0"/>
        <w:pageBreakBefore w:val="0"/>
        <w:widowControl/>
        <w:kinsoku w:val="0"/>
        <w:wordWrap/>
        <w:overflowPunct/>
        <w:topLinePunct w:val="0"/>
        <w:autoSpaceDE w:val="0"/>
        <w:autoSpaceDN w:val="0"/>
        <w:bidi w:val="0"/>
        <w:adjustRightInd w:val="0"/>
        <w:snapToGrid w:val="0"/>
        <w:spacing w:before="165" w:line="360" w:lineRule="exact"/>
        <w:ind w:left="5" w:right="23" w:firstLine="40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确保台背填筑压实度达到设计和规范要求，台背填筑压实度应比一般路堤提高 1~2％ 。承 包人应配备足够的大型碾压机具和用于角落的小型压实设备。填筑应严格按设计和规范要求分层，每填一层，碾压一层，检测一层，压实度经监理人检测合格后方可继续填筑上一层。</w:t>
      </w:r>
    </w:p>
    <w:p>
      <w:pPr>
        <w:keepNext w:val="0"/>
        <w:keepLines w:val="0"/>
        <w:pageBreakBefore w:val="0"/>
        <w:widowControl/>
        <w:kinsoku w:val="0"/>
        <w:wordWrap/>
        <w:overflowPunct/>
        <w:topLinePunct w:val="0"/>
        <w:autoSpaceDE w:val="0"/>
        <w:autoSpaceDN w:val="0"/>
        <w:bidi w:val="0"/>
        <w:adjustRightInd w:val="0"/>
        <w:snapToGrid w:val="0"/>
        <w:spacing w:before="1" w:line="360" w:lineRule="exact"/>
        <w:ind w:left="4" w:right="26" w:firstLine="407"/>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(4)在填筑过程中， 要严格控制填筑速率，防止路堤失稳。特别是纵向临河面更应倍加注意并 进行路堤向河心位移检测和紧靠桥台第一个桥墩的位移检测，以及时采取措施。</w:t>
      </w:r>
    </w:p>
    <w:p>
      <w:pPr>
        <w:keepNext w:val="0"/>
        <w:keepLines w:val="0"/>
        <w:pageBreakBefore w:val="0"/>
        <w:widowControl/>
        <w:kinsoku w:val="0"/>
        <w:wordWrap/>
        <w:overflowPunct/>
        <w:topLinePunct w:val="0"/>
        <w:autoSpaceDE w:val="0"/>
        <w:autoSpaceDN w:val="0"/>
        <w:bidi w:val="0"/>
        <w:adjustRightInd w:val="0"/>
        <w:snapToGrid w:val="0"/>
        <w:spacing w:before="2" w:line="360" w:lineRule="exact"/>
        <w:ind w:left="10" w:right="77" w:firstLine="40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 为确保填筑质量和预压期，桥台基桩施工尽可能避免二次开挖，承包人应根据设计要求， 结合工地实际，提出具体的施工设计报经监理人批准。</w:t>
      </w:r>
    </w:p>
    <w:p>
      <w:pPr>
        <w:keepNext w:val="0"/>
        <w:keepLines w:val="0"/>
        <w:pageBreakBefore w:val="0"/>
        <w:widowControl/>
        <w:kinsoku w:val="0"/>
        <w:wordWrap/>
        <w:overflowPunct/>
        <w:topLinePunct w:val="0"/>
        <w:autoSpaceDE w:val="0"/>
        <w:autoSpaceDN w:val="0"/>
        <w:bidi w:val="0"/>
        <w:adjustRightInd w:val="0"/>
        <w:snapToGrid w:val="0"/>
        <w:spacing w:before="3" w:line="360" w:lineRule="exact"/>
        <w:ind w:left="4" w:firstLine="406"/>
        <w:textAlignment w:val="baseline"/>
        <w:rPr>
          <w:rFonts w:hint="eastAsia" w:ascii="宋体" w:hAnsi="宋体" w:eastAsia="宋体" w:cs="宋体"/>
          <w:color w:val="auto"/>
          <w:highlight w:val="none"/>
        </w:rPr>
        <w:sectPr>
          <w:footerReference r:id="rId42" w:type="default"/>
          <w:pgSz w:w="11900" w:h="16840"/>
          <w:pgMar w:top="1160" w:right="1333" w:bottom="1448" w:left="1363" w:header="883" w:footer="1234" w:gutter="0"/>
          <w:pgNumType w:fmt="decimal"/>
          <w:cols w:space="720" w:num="1"/>
        </w:sectPr>
      </w:pPr>
      <w:r>
        <w:rPr>
          <w:rFonts w:hint="eastAsia" w:ascii="宋体" w:hAnsi="宋体" w:eastAsia="宋体" w:cs="宋体"/>
          <w:color w:val="auto"/>
          <w:spacing w:val="0"/>
          <w:position w:val="0"/>
          <w:sz w:val="21"/>
          <w:szCs w:val="21"/>
          <w:highlight w:val="none"/>
        </w:rPr>
        <w:t>(6) 若必须进行两次开挖，则应做好两次开挖和回填工作。开挖断面尺寸应按设计要求开挖并 放样，开挖材料不宜堆放在开挖场地周边，应适当远离。靠路堤端按设计图纸以台阶形式向下开挖。 开挖分两次，第一次开挖至砂砾层顶面以上一层填土顶面 (以保护砂砾层) ，待桥</w:t>
      </w:r>
      <w:r>
        <w:rPr>
          <w:rFonts w:hint="eastAsia" w:ascii="宋体" w:hAnsi="宋体" w:eastAsia="宋体" w:cs="宋体"/>
          <w:color w:val="auto"/>
          <w:spacing w:val="0"/>
          <w:sz w:val="21"/>
          <w:szCs w:val="21"/>
          <w:highlight w:val="none"/>
        </w:rPr>
        <w:t>台桩柱施工后</w:t>
      </w:r>
      <w:r>
        <w:rPr>
          <w:rFonts w:hint="eastAsia" w:ascii="宋体" w:hAnsi="宋体" w:eastAsia="宋体" w:cs="宋体"/>
          <w:color w:val="auto"/>
          <w:spacing w:val="0"/>
          <w:position w:val="0"/>
          <w:sz w:val="21"/>
          <w:szCs w:val="21"/>
          <w:highlight w:val="none"/>
        </w:rPr>
        <w:t>，清除桥桩施工的一些杂土杂物，然后再作第二次开挖，挖去靠桥台侧砂砾层顶面原填土，设置盲沟排水系统，再按设计要求的材料和路堤结构进行回填。回填材料的粒径和分层填筑厚度要严格按设计要求控制。回填区仍要求采用大型碾压机具碾压，对于紧靠台背处和与原路堤拼接部位，应配合使用小型</w:t>
      </w:r>
    </w:p>
    <w:p>
      <w:pPr>
        <w:keepNext w:val="0"/>
        <w:keepLines w:val="0"/>
        <w:pageBreakBefore w:val="0"/>
        <w:widowControl/>
        <w:kinsoku w:val="0"/>
        <w:wordWrap/>
        <w:overflowPunct/>
        <w:topLinePunct w:val="0"/>
        <w:autoSpaceDE w:val="0"/>
        <w:autoSpaceDN w:val="0"/>
        <w:bidi w:val="0"/>
        <w:adjustRightInd w:val="0"/>
        <w:snapToGrid w:val="0"/>
        <w:spacing w:before="288" w:line="360" w:lineRule="exact"/>
        <w:textAlignment w:val="baseline"/>
        <w:rPr>
          <w:rFonts w:hint="eastAsia" w:ascii="宋体" w:hAnsi="宋体" w:eastAsia="宋体" w:cs="宋体"/>
          <w:color w:val="auto"/>
          <w:spacing w:val="0"/>
          <w:position w:val="0"/>
          <w:sz w:val="21"/>
          <w:szCs w:val="21"/>
          <w:highlight w:val="none"/>
        </w:rPr>
      </w:pPr>
      <w:bookmarkStart w:id="699" w:name="_bookmark192"/>
      <w:bookmarkEnd w:id="699"/>
      <w:r>
        <w:rPr>
          <w:rFonts w:hint="eastAsia" w:ascii="宋体" w:hAnsi="宋体" w:eastAsia="宋体" w:cs="宋体"/>
          <w:color w:val="auto"/>
          <w:spacing w:val="0"/>
          <w:position w:val="0"/>
          <w:sz w:val="21"/>
          <w:szCs w:val="21"/>
          <w:highlight w:val="none"/>
        </w:rPr>
        <w:t>机具或人工辅助夯实。</w:t>
      </w:r>
    </w:p>
    <w:p>
      <w:pPr>
        <w:keepNext w:val="0"/>
        <w:keepLines w:val="0"/>
        <w:pageBreakBefore w:val="0"/>
        <w:widowControl/>
        <w:kinsoku w:val="0"/>
        <w:wordWrap/>
        <w:overflowPunct/>
        <w:topLinePunct w:val="0"/>
        <w:autoSpaceDE w:val="0"/>
        <w:autoSpaceDN w:val="0"/>
        <w:bidi w:val="0"/>
        <w:adjustRightInd w:val="0"/>
        <w:snapToGrid w:val="0"/>
        <w:spacing w:before="163" w:line="360" w:lineRule="exact"/>
        <w:ind w:left="1" w:right="2" w:firstLine="40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 台背路基填土采用土工合成材料加筋时，应根据图纸要求按照本技术规范第 200 章第 205.03-3  (12) 款规定办理。</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1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 台背路基应按图纸和设计要求，做好台背排水。</w:t>
      </w:r>
    </w:p>
    <w:p>
      <w:pPr>
        <w:keepNext w:val="0"/>
        <w:keepLines w:val="0"/>
        <w:pageBreakBefore w:val="0"/>
        <w:widowControl/>
        <w:kinsoku w:val="0"/>
        <w:wordWrap/>
        <w:overflowPunct/>
        <w:topLinePunct w:val="0"/>
        <w:autoSpaceDE w:val="0"/>
        <w:autoSpaceDN w:val="0"/>
        <w:bidi w:val="0"/>
        <w:adjustRightInd w:val="0"/>
        <w:snapToGrid w:val="0"/>
        <w:spacing w:before="159" w:line="360" w:lineRule="exact"/>
        <w:ind w:left="8" w:right="4" w:firstLine="40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(9) 桥头锥坡应在引道地基沉降基本稳定或预压结束后进行， 以避免由于沉降而使锥坡裂缝变 形。</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02"/>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．桥头搭板设置</w:t>
      </w:r>
    </w:p>
    <w:p>
      <w:pPr>
        <w:keepNext w:val="0"/>
        <w:keepLines w:val="0"/>
        <w:pageBreakBefore w:val="0"/>
        <w:widowControl/>
        <w:kinsoku w:val="0"/>
        <w:wordWrap/>
        <w:overflowPunct/>
        <w:topLinePunct w:val="0"/>
        <w:autoSpaceDE w:val="0"/>
        <w:autoSpaceDN w:val="0"/>
        <w:bidi w:val="0"/>
        <w:adjustRightInd w:val="0"/>
        <w:snapToGrid w:val="0"/>
        <w:spacing w:before="142" w:line="360" w:lineRule="exact"/>
        <w:ind w:left="41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搭板应在路基填筑预压期完成并基本稳定后，经监理人批准方可施工。</w:t>
      </w:r>
    </w:p>
    <w:p>
      <w:pPr>
        <w:keepNext w:val="0"/>
        <w:keepLines w:val="0"/>
        <w:pageBreakBefore w:val="0"/>
        <w:widowControl/>
        <w:kinsoku w:val="0"/>
        <w:wordWrap/>
        <w:overflowPunct/>
        <w:topLinePunct w:val="0"/>
        <w:autoSpaceDE w:val="0"/>
        <w:autoSpaceDN w:val="0"/>
        <w:bidi w:val="0"/>
        <w:adjustRightInd w:val="0"/>
        <w:snapToGrid w:val="0"/>
        <w:spacing w:before="163" w:line="360" w:lineRule="exact"/>
        <w:ind w:left="6" w:right="7" w:firstLine="405"/>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搭板基面应平整，垫层应密实，垫层可采用与路面基层相同的半刚性材料填筑和压实。 搭 板顶面标高可与路面基层顶面标高持平， 以确保搭板顶面的沥青混凝土路面厚度。</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1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搭板施工(钢筋和混凝土) 应严格按设计图纸和本规范第 403 节及第 410 节规定办理。</w:t>
      </w:r>
    </w:p>
    <w:p>
      <w:pPr>
        <w:keepNext w:val="0"/>
        <w:keepLines w:val="0"/>
        <w:pageBreakBefore w:val="0"/>
        <w:widowControl/>
        <w:kinsoku w:val="0"/>
        <w:wordWrap/>
        <w:overflowPunct/>
        <w:topLinePunct w:val="0"/>
        <w:autoSpaceDE w:val="0"/>
        <w:autoSpaceDN w:val="0"/>
        <w:bidi w:val="0"/>
        <w:adjustRightInd w:val="0"/>
        <w:snapToGrid w:val="0"/>
        <w:spacing w:before="161" w:line="360" w:lineRule="exact"/>
        <w:ind w:left="5" w:right="7" w:firstLine="40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为防止工后沉降导致搭板底面脱空而断裂或沉陷，承包人应按图纸要求和监理人指示，在 每幅搭板两侧预留一定数量的压浆孔，以便于日后压浆填实搭板基底。</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39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 ．伸缩缝施工</w:t>
      </w:r>
    </w:p>
    <w:p>
      <w:pPr>
        <w:keepNext w:val="0"/>
        <w:keepLines w:val="0"/>
        <w:pageBreakBefore w:val="0"/>
        <w:widowControl/>
        <w:kinsoku w:val="0"/>
        <w:wordWrap/>
        <w:overflowPunct/>
        <w:topLinePunct w:val="0"/>
        <w:autoSpaceDE w:val="0"/>
        <w:autoSpaceDN w:val="0"/>
        <w:bidi w:val="0"/>
        <w:adjustRightInd w:val="0"/>
        <w:snapToGrid w:val="0"/>
        <w:spacing w:before="140" w:line="360" w:lineRule="exact"/>
        <w:ind w:left="41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桥台伸缩缝施工， 应严格按设计图纸和本规范第 417 节规定办理。</w:t>
      </w:r>
    </w:p>
    <w:p>
      <w:pPr>
        <w:keepNext w:val="0"/>
        <w:keepLines w:val="0"/>
        <w:pageBreakBefore w:val="0"/>
        <w:widowControl/>
        <w:kinsoku w:val="0"/>
        <w:wordWrap/>
        <w:overflowPunct/>
        <w:topLinePunct w:val="0"/>
        <w:autoSpaceDE w:val="0"/>
        <w:autoSpaceDN w:val="0"/>
        <w:bidi w:val="0"/>
        <w:adjustRightInd w:val="0"/>
        <w:snapToGrid w:val="0"/>
        <w:spacing w:before="161" w:line="360" w:lineRule="exact"/>
        <w:ind w:left="41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桥台台帽上伸缩缝预埋锚固筋要定位正确、锚固牢靠，防止错位、漏筋。</w:t>
      </w:r>
    </w:p>
    <w:p>
      <w:pPr>
        <w:keepNext w:val="0"/>
        <w:keepLines w:val="0"/>
        <w:pageBreakBefore w:val="0"/>
        <w:widowControl/>
        <w:kinsoku w:val="0"/>
        <w:wordWrap/>
        <w:overflowPunct/>
        <w:topLinePunct w:val="0"/>
        <w:autoSpaceDE w:val="0"/>
        <w:autoSpaceDN w:val="0"/>
        <w:bidi w:val="0"/>
        <w:adjustRightInd w:val="0"/>
        <w:snapToGrid w:val="0"/>
        <w:spacing w:before="164" w:line="360" w:lineRule="exact"/>
        <w:ind w:left="6" w:right="7" w:firstLine="405"/>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 桥台台帽椅子背顶标高不准高出设计标高。伸缩缝混凝土应采用钢纤维混凝土，并应注意 密实平整，与桥头路堤沥青混凝土顶面标高持平，结合严密无缝隙。</w:t>
      </w:r>
    </w:p>
    <w:p>
      <w:pPr>
        <w:keepNext w:val="0"/>
        <w:keepLines w:val="0"/>
        <w:pageBreakBefore w:val="0"/>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highlight w:val="none"/>
        </w:rPr>
        <w:sectPr>
          <w:footerReference r:id="rId43" w:type="default"/>
          <w:pgSz w:w="11900" w:h="16840"/>
          <w:pgMar w:top="1160" w:right="1354" w:bottom="1448" w:left="1363" w:header="883" w:footer="1234"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884" w:firstLineChars="200"/>
        <w:jc w:val="center"/>
        <w:textAlignment w:val="baseline"/>
        <w:outlineLvl w:val="2"/>
        <w:rPr>
          <w:rFonts w:hint="eastAsia" w:ascii="宋体" w:hAnsi="宋体" w:eastAsia="宋体" w:cs="宋体"/>
          <w:color w:val="auto"/>
          <w:spacing w:val="6"/>
          <w:sz w:val="43"/>
          <w:szCs w:val="43"/>
          <w:highlight w:val="none"/>
        </w:rPr>
      </w:pPr>
      <w:bookmarkStart w:id="700" w:name="_Toc22229"/>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824" w:firstLineChars="200"/>
        <w:jc w:val="center"/>
        <w:textAlignment w:val="baseline"/>
        <w:outlineLvl w:val="2"/>
        <w:rPr>
          <w:rFonts w:hint="eastAsia" w:ascii="宋体" w:hAnsi="宋体" w:eastAsia="宋体" w:cs="宋体"/>
          <w:color w:val="auto"/>
          <w:spacing w:val="6"/>
          <w:sz w:val="20"/>
          <w:szCs w:val="20"/>
          <w:highlight w:val="none"/>
        </w:rPr>
      </w:pPr>
      <w:r>
        <w:rPr>
          <w:rFonts w:hint="eastAsia" w:ascii="宋体" w:hAnsi="宋体" w:eastAsia="宋体" w:cs="宋体"/>
          <w:color w:val="auto"/>
          <w:spacing w:val="6"/>
          <w:sz w:val="40"/>
          <w:szCs w:val="40"/>
          <w:highlight w:val="none"/>
        </w:rPr>
        <w:t>第 600 章  安全设施及预埋管线</w:t>
      </w:r>
      <w:bookmarkEnd w:id="700"/>
    </w:p>
    <w:p>
      <w:pPr>
        <w:keepNext w:val="0"/>
        <w:keepLines w:val="0"/>
        <w:pageBreakBefore w:val="0"/>
        <w:widowControl/>
        <w:kinsoku w:val="0"/>
        <w:wordWrap/>
        <w:overflowPunct/>
        <w:topLinePunct w:val="0"/>
        <w:autoSpaceDE w:val="0"/>
        <w:autoSpaceDN w:val="0"/>
        <w:bidi w:val="0"/>
        <w:adjustRightInd w:val="0"/>
        <w:snapToGrid w:val="0"/>
        <w:spacing w:before="101" w:line="400" w:lineRule="exact"/>
        <w:jc w:val="center"/>
        <w:textAlignment w:val="baseline"/>
        <w:outlineLvl w:val="1"/>
        <w:rPr>
          <w:rFonts w:hint="eastAsia" w:ascii="宋体" w:hAnsi="宋体" w:eastAsia="宋体" w:cs="宋体"/>
          <w:b/>
          <w:bCs/>
          <w:color w:val="auto"/>
          <w:spacing w:val="6"/>
          <w:sz w:val="31"/>
          <w:szCs w:val="31"/>
          <w:highlight w:val="none"/>
        </w:rPr>
      </w:pPr>
      <w:bookmarkStart w:id="701" w:name="_bookmark196"/>
      <w:bookmarkEnd w:id="701"/>
      <w:bookmarkStart w:id="702" w:name="_Toc21240"/>
      <w:r>
        <w:rPr>
          <w:rFonts w:hint="eastAsia" w:ascii="宋体" w:hAnsi="宋体" w:eastAsia="宋体" w:cs="宋体"/>
          <w:b/>
          <w:bCs/>
          <w:color w:val="auto"/>
          <w:spacing w:val="6"/>
          <w:sz w:val="31"/>
          <w:szCs w:val="31"/>
          <w:highlight w:val="none"/>
        </w:rPr>
        <w:t>第 601 节  通 则</w:t>
      </w:r>
      <w:bookmarkEnd w:id="702"/>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44" w:firstLineChars="200"/>
        <w:textAlignment w:val="baseline"/>
        <w:rPr>
          <w:rFonts w:hint="eastAsia" w:ascii="宋体" w:hAnsi="宋体" w:eastAsia="宋体" w:cs="宋体"/>
          <w:color w:val="auto"/>
          <w:spacing w:val="6"/>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ind w:right="0" w:firstLine="292" w:firstLineChars="100"/>
        <w:textAlignment w:val="baseline"/>
        <w:rPr>
          <w:rFonts w:hint="eastAsia" w:ascii="宋体" w:hAnsi="宋体" w:eastAsia="宋体" w:cs="宋体"/>
          <w:color w:val="auto"/>
          <w:spacing w:val="6"/>
          <w:sz w:val="28"/>
          <w:szCs w:val="28"/>
          <w:highlight w:val="none"/>
        </w:rPr>
      </w:pPr>
      <w:r>
        <w:rPr>
          <w:rFonts w:hint="eastAsia" w:ascii="宋体" w:hAnsi="宋体" w:eastAsia="宋体" w:cs="宋体"/>
          <w:color w:val="auto"/>
          <w:spacing w:val="6"/>
          <w:position w:val="13"/>
          <w:sz w:val="28"/>
          <w:szCs w:val="28"/>
          <w:highlight w:val="none"/>
        </w:rPr>
        <w:t xml:space="preserve">601.02 </w:t>
      </w:r>
      <w:r>
        <w:rPr>
          <w:rFonts w:hint="eastAsia" w:ascii="宋体" w:hAnsi="宋体" w:eastAsia="宋体" w:cs="宋体"/>
          <w:color w:val="auto"/>
          <w:spacing w:val="-1"/>
          <w:position w:val="11"/>
          <w:sz w:val="28"/>
          <w:szCs w:val="28"/>
          <w:highlight w:val="none"/>
        </w:rPr>
        <w:t>一</w:t>
      </w:r>
      <w:r>
        <w:rPr>
          <w:rFonts w:hint="eastAsia" w:ascii="宋体" w:hAnsi="宋体" w:eastAsia="宋体" w:cs="宋体"/>
          <w:color w:val="auto"/>
          <w:position w:val="11"/>
          <w:sz w:val="28"/>
          <w:szCs w:val="28"/>
          <w:highlight w:val="none"/>
        </w:rPr>
        <w:t>般规定</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2.道路交通标志</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(1) 款、(2) 款修改为：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道路交通标志按《道路交通标志和标线》(GB5768-2009) 和《道路交通标志板及支撑件》 (GB/T23827-2009)的规定进行。</w:t>
      </w:r>
    </w:p>
    <w:p>
      <w:pPr>
        <w:keepNext w:val="0"/>
        <w:keepLines w:val="0"/>
        <w:pageBreakBefore w:val="0"/>
        <w:widowControl/>
        <w:tabs>
          <w:tab w:val="left" w:pos="115"/>
        </w:tabs>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(2) 道路交通标志的反光方法及反光膜级别，应符合图纸规定，如无规定时，应根据不同道路 等级和标志类型，按《道路交通标志和标线》(GB5768-2009) 及《道路交通标志板及支撑件》   </w:t>
      </w:r>
      <w:r>
        <w:rPr>
          <w:rFonts w:hint="eastAsia" w:ascii="宋体" w:hAnsi="宋体" w:eastAsia="宋体" w:cs="宋体"/>
          <w:color w:val="auto"/>
          <w:spacing w:val="0"/>
          <w:position w:val="0"/>
          <w:sz w:val="21"/>
          <w:szCs w:val="21"/>
          <w:highlight w:val="none"/>
        </w:rPr>
        <w:tab/>
      </w:r>
      <w:r>
        <w:rPr>
          <w:rFonts w:hint="eastAsia" w:ascii="宋体" w:hAnsi="宋体" w:eastAsia="宋体" w:cs="宋体"/>
          <w:color w:val="auto"/>
          <w:spacing w:val="0"/>
          <w:position w:val="0"/>
          <w:sz w:val="21"/>
          <w:szCs w:val="21"/>
          <w:highlight w:val="none"/>
        </w:rPr>
        <w:t>(GB/T23827-2009)的规定办理。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3.道路交通标线</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修改为：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道路交通标线包括各种路面标线、箭头、文字、立面标记、突出路标和轮廓标等，应按图纸及《道路交通标志和标线》(GB5768-2009)的规定设置。</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5~9 条：</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 本章未包括的其它安全设施工程项目，可根据设计文件和其它相关规范由监理人另行制定验收 评定标准。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 交通工程设施产品必须经监理人检验合格后，方可使用。</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 外购产品必须满足规范要求，具有产品合格证，并经承包人检验、监理人确认，满足设计要求 后方可使用。</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 安全设施采用钢质材料时，必须按图纸要求及相关规范规定进行防腐处理。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9. 构件用螺栓组合时，螺栓、垫圈的用量应满足设计要求，具有防盗结构并须拧紧。</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44" w:firstLineChars="200"/>
        <w:textAlignment w:val="baseline"/>
        <w:rPr>
          <w:rFonts w:hint="eastAsia" w:ascii="宋体" w:hAnsi="宋体" w:eastAsia="宋体" w:cs="宋体"/>
          <w:color w:val="auto"/>
          <w:spacing w:val="6"/>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101" w:line="400" w:lineRule="exact"/>
        <w:jc w:val="center"/>
        <w:textAlignment w:val="baseline"/>
        <w:outlineLvl w:val="1"/>
        <w:rPr>
          <w:rFonts w:hint="eastAsia" w:ascii="宋体" w:hAnsi="宋体" w:eastAsia="宋体" w:cs="宋体"/>
          <w:b/>
          <w:bCs/>
          <w:color w:val="auto"/>
          <w:spacing w:val="6"/>
          <w:sz w:val="31"/>
          <w:szCs w:val="31"/>
          <w:highlight w:val="none"/>
        </w:rPr>
      </w:pPr>
      <w:bookmarkStart w:id="703" w:name="_Toc17222"/>
      <w:r>
        <w:rPr>
          <w:rFonts w:hint="eastAsia" w:ascii="宋体" w:hAnsi="宋体" w:eastAsia="宋体" w:cs="宋体"/>
          <w:b/>
          <w:bCs/>
          <w:color w:val="auto"/>
          <w:spacing w:val="6"/>
          <w:sz w:val="31"/>
          <w:szCs w:val="31"/>
          <w:highlight w:val="none"/>
        </w:rPr>
        <w:t>第 602 节  护 栏</w:t>
      </w:r>
      <w:bookmarkEnd w:id="703"/>
    </w:p>
    <w:p>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hint="eastAsia" w:ascii="宋体" w:hAnsi="宋体" w:eastAsia="宋体" w:cs="宋体"/>
          <w:color w:val="auto"/>
          <w:spacing w:val="6"/>
          <w:sz w:val="28"/>
          <w:szCs w:val="28"/>
          <w:highlight w:val="none"/>
        </w:rPr>
      </w:pPr>
      <w:r>
        <w:rPr>
          <w:rFonts w:hint="eastAsia" w:ascii="宋体" w:hAnsi="宋体" w:eastAsia="宋体" w:cs="宋体"/>
          <w:color w:val="auto"/>
          <w:spacing w:val="6"/>
          <w:sz w:val="28"/>
          <w:szCs w:val="28"/>
          <w:highlight w:val="none"/>
        </w:rPr>
        <w:t xml:space="preserve">602.02  材料          </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3.波形梁钢护栏产品质量要求 第 (9) 款后补充：</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螺栓、螺母等紧固件和连接件在防腐处理后，必须清理螺纹或进行离心分离处理。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9 条：</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74" w:leftChars="0" w:firstLine="420" w:firstLineChars="200"/>
        <w:textAlignment w:val="baseline"/>
        <w:rPr>
          <w:rFonts w:hint="eastAsia" w:ascii="宋体" w:hAnsi="宋体" w:eastAsia="宋体" w:cs="宋体"/>
          <w:color w:val="auto"/>
          <w:highlight w:val="none"/>
        </w:rPr>
      </w:pPr>
      <w:r>
        <w:rPr>
          <w:rFonts w:hint="eastAsia" w:ascii="宋体" w:hAnsi="宋体" w:eastAsia="宋体" w:cs="宋体"/>
          <w:color w:val="auto"/>
          <w:spacing w:val="0"/>
          <w:position w:val="0"/>
          <w:sz w:val="21"/>
          <w:szCs w:val="21"/>
          <w:highlight w:val="none"/>
          <w:lang w:val="en-US" w:eastAsia="zh-CN"/>
        </w:rPr>
        <w:t>9.</w:t>
      </w:r>
      <w:r>
        <w:rPr>
          <w:rFonts w:hint="eastAsia" w:ascii="宋体" w:hAnsi="宋体" w:eastAsia="宋体" w:cs="宋体"/>
          <w:color w:val="auto"/>
          <w:spacing w:val="0"/>
          <w:position w:val="0"/>
          <w:sz w:val="21"/>
          <w:szCs w:val="21"/>
          <w:highlight w:val="none"/>
        </w:rPr>
        <w:t>活动护栏应选用防撞等级达到 Am 级、同时要求整体打开时间快捷方便不宜大于 30 分钟且施工时不应在中分带路面取芯、钻孔、开挖等从而损坏路面的产品，采购前应向监理人、设计人、发包人</w:t>
      </w:r>
      <w:r>
        <w:rPr>
          <w:rFonts w:hint="eastAsia" w:ascii="宋体" w:hAnsi="宋体" w:eastAsia="宋体" w:cs="宋体"/>
          <w:color w:val="auto"/>
          <w:highlight w:val="none"/>
        </w:rPr>
        <w:t>提供厂家检测资料、实车碰撞报告后方可实施。</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highlight w:val="none"/>
        </w:rPr>
      </w:pPr>
      <w:r>
        <w:rPr>
          <w:rFonts w:hint="eastAsia" w:ascii="宋体" w:hAnsi="宋体" w:eastAsia="宋体" w:cs="宋体"/>
          <w:color w:val="auto"/>
          <w:spacing w:val="0"/>
          <w:position w:val="0"/>
          <w:sz w:val="21"/>
          <w:szCs w:val="21"/>
          <w:highlight w:val="none"/>
        </w:rPr>
        <w:t>本章未包括的其它安全设施工程项目，可根据设计文件和其它相关规范由监理人另行制定验收评定标准。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44" w:firstLineChars="200"/>
        <w:textAlignment w:val="baseline"/>
        <w:rPr>
          <w:rFonts w:hint="eastAsia" w:ascii="宋体" w:hAnsi="宋体" w:eastAsia="宋体" w:cs="宋体"/>
          <w:color w:val="auto"/>
          <w:spacing w:val="6"/>
          <w:highlight w:val="none"/>
        </w:rPr>
        <w:sectPr>
          <w:footerReference r:id="rId44" w:type="default"/>
          <w:pgSz w:w="11900" w:h="16840"/>
          <w:pgMar w:top="1160" w:right="1354" w:bottom="1448" w:left="1363" w:header="883" w:footer="1234" w:gutter="0"/>
          <w:pgNumType w:fmt="decimal"/>
          <w:cols w:space="720" w:num="1"/>
        </w:sectPr>
      </w:pPr>
    </w:p>
    <w:p>
      <w:pPr>
        <w:keepNext w:val="0"/>
        <w:keepLines w:val="0"/>
        <w:pageBreakBefore w:val="0"/>
        <w:widowControl/>
        <w:kinsoku w:val="0"/>
        <w:wordWrap/>
        <w:overflowPunct/>
        <w:topLinePunct w:val="0"/>
        <w:autoSpaceDE w:val="0"/>
        <w:autoSpaceDN w:val="0"/>
        <w:bidi w:val="0"/>
        <w:adjustRightInd w:val="0"/>
        <w:snapToGrid w:val="0"/>
        <w:spacing w:before="334" w:line="400" w:lineRule="exact"/>
        <w:jc w:val="center"/>
        <w:textAlignment w:val="baseline"/>
        <w:outlineLvl w:val="2"/>
        <w:rPr>
          <w:rFonts w:hint="eastAsia" w:ascii="宋体" w:hAnsi="宋体" w:eastAsia="宋体" w:cs="宋体"/>
          <w:color w:val="auto"/>
          <w:sz w:val="43"/>
          <w:szCs w:val="43"/>
          <w:highlight w:val="none"/>
        </w:rPr>
      </w:pPr>
      <w:bookmarkStart w:id="704" w:name="_Toc24618"/>
      <w:r>
        <w:rPr>
          <w:rFonts w:hint="eastAsia" w:ascii="宋体" w:hAnsi="宋体" w:eastAsia="宋体" w:cs="宋体"/>
          <w:color w:val="auto"/>
          <w:spacing w:val="1"/>
          <w:sz w:val="43"/>
          <w:szCs w:val="43"/>
          <w:highlight w:val="none"/>
        </w:rPr>
        <w:t>第 700 章  绿化及环境保护</w:t>
      </w:r>
      <w:r>
        <w:rPr>
          <w:rFonts w:hint="eastAsia" w:ascii="宋体" w:hAnsi="宋体" w:eastAsia="宋体" w:cs="宋体"/>
          <w:color w:val="auto"/>
          <w:sz w:val="43"/>
          <w:szCs w:val="43"/>
          <w:highlight w:val="none"/>
        </w:rPr>
        <w:t>设施</w:t>
      </w:r>
      <w:bookmarkEnd w:id="704"/>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101" w:line="400" w:lineRule="exact"/>
        <w:jc w:val="center"/>
        <w:textAlignment w:val="baseline"/>
        <w:outlineLvl w:val="1"/>
        <w:rPr>
          <w:rFonts w:hint="eastAsia" w:ascii="宋体" w:hAnsi="宋体" w:eastAsia="宋体" w:cs="宋体"/>
          <w:b/>
          <w:bCs/>
          <w:color w:val="auto"/>
          <w:spacing w:val="6"/>
          <w:sz w:val="31"/>
          <w:szCs w:val="31"/>
          <w:highlight w:val="none"/>
        </w:rPr>
      </w:pPr>
      <w:bookmarkStart w:id="705" w:name="_Toc11333"/>
      <w:r>
        <w:rPr>
          <w:rFonts w:hint="eastAsia" w:ascii="宋体" w:hAnsi="宋体" w:eastAsia="宋体" w:cs="宋体"/>
          <w:b/>
          <w:bCs/>
          <w:color w:val="auto"/>
          <w:spacing w:val="6"/>
          <w:sz w:val="31"/>
          <w:szCs w:val="31"/>
          <w:highlight w:val="none"/>
        </w:rPr>
        <w:t>第 701 节  通 则</w:t>
      </w:r>
      <w:bookmarkEnd w:id="705"/>
    </w:p>
    <w:p>
      <w:pPr>
        <w:keepNext w:val="0"/>
        <w:keepLines w:val="0"/>
        <w:pageBreakBefore w:val="0"/>
        <w:widowControl/>
        <w:kinsoku w:val="0"/>
        <w:wordWrap/>
        <w:overflowPunct/>
        <w:topLinePunct w:val="0"/>
        <w:autoSpaceDE w:val="0"/>
        <w:autoSpaceDN w:val="0"/>
        <w:bidi w:val="0"/>
        <w:adjustRightInd w:val="0"/>
        <w:snapToGrid w:val="0"/>
        <w:spacing w:line="400" w:lineRule="exact"/>
        <w:ind w:right="0" w:firstLine="278" w:firstLineChars="100"/>
        <w:textAlignment w:val="baseline"/>
        <w:rPr>
          <w:rFonts w:hint="eastAsia" w:ascii="宋体" w:hAnsi="宋体" w:eastAsia="宋体" w:cs="宋体"/>
          <w:color w:val="auto"/>
          <w:sz w:val="28"/>
          <w:szCs w:val="28"/>
          <w:highlight w:val="none"/>
        </w:rPr>
      </w:pPr>
      <w:r>
        <w:rPr>
          <w:rFonts w:hint="eastAsia" w:ascii="宋体" w:hAnsi="宋体" w:eastAsia="宋体" w:cs="宋体"/>
          <w:color w:val="auto"/>
          <w:spacing w:val="-1"/>
          <w:position w:val="11"/>
          <w:sz w:val="28"/>
          <w:szCs w:val="28"/>
          <w:highlight w:val="none"/>
        </w:rPr>
        <w:t>701.02   一</w:t>
      </w:r>
      <w:r>
        <w:rPr>
          <w:rFonts w:hint="eastAsia" w:ascii="宋体" w:hAnsi="宋体" w:eastAsia="宋体" w:cs="宋体"/>
          <w:color w:val="auto"/>
          <w:position w:val="11"/>
          <w:sz w:val="28"/>
          <w:szCs w:val="28"/>
          <w:highlight w:val="none"/>
        </w:rPr>
        <w:t>般规定</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1.绿化工程</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补充第 (8) 款：</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sz w:val="21"/>
          <w:szCs w:val="21"/>
          <w:highlight w:val="none"/>
          <w14:textOutline w14:w="5791" w14:cap="flat" w14:cmpd="sng">
            <w14:solidFill>
              <w14:srgbClr w14:val="000000"/>
            </w14:solidFill>
            <w14:prstDash w14:val="solid"/>
            <w14:miter w14:val="0"/>
          </w14:textOutline>
        </w:rPr>
      </w:pPr>
      <w:r>
        <w:rPr>
          <w:rFonts w:hint="eastAsia" w:ascii="宋体" w:hAnsi="宋体" w:eastAsia="宋体" w:cs="宋体"/>
          <w:color w:val="auto"/>
          <w:spacing w:val="0"/>
          <w:sz w:val="21"/>
          <w:szCs w:val="21"/>
          <w:highlight w:val="none"/>
        </w:rPr>
        <w:t>(8) 如果承包人预防措施不力，并已对路面结构和邻近区域的环境卫生造成了污染，给当地农 民造成损失，或由于扬尘、排污、噪声、材料漏失等对周围居民和环境造成的损失，则由此而引发 的一切损失及后果，应由承包人负责。</w:t>
      </w:r>
    </w:p>
    <w:p>
      <w:pPr>
        <w:keepNext w:val="0"/>
        <w:keepLines w:val="0"/>
        <w:pageBreakBefore w:val="0"/>
        <w:widowControl/>
        <w:kinsoku w:val="0"/>
        <w:wordWrap/>
        <w:overflowPunct/>
        <w:topLinePunct w:val="0"/>
        <w:autoSpaceDE w:val="0"/>
        <w:autoSpaceDN w:val="0"/>
        <w:bidi w:val="0"/>
        <w:adjustRightInd w:val="0"/>
        <w:snapToGrid w:val="0"/>
        <w:spacing w:before="101" w:line="400" w:lineRule="exact"/>
        <w:jc w:val="center"/>
        <w:textAlignment w:val="baseline"/>
        <w:outlineLvl w:val="1"/>
        <w:rPr>
          <w:rFonts w:hint="eastAsia" w:ascii="宋体" w:hAnsi="宋体" w:eastAsia="宋体" w:cs="宋体"/>
          <w:b/>
          <w:bCs/>
          <w:color w:val="auto"/>
          <w:spacing w:val="6"/>
          <w:sz w:val="31"/>
          <w:szCs w:val="31"/>
          <w:highlight w:val="none"/>
        </w:rPr>
      </w:pPr>
      <w:bookmarkStart w:id="706" w:name="_Toc23309"/>
      <w:r>
        <w:rPr>
          <w:rFonts w:hint="eastAsia" w:ascii="宋体" w:hAnsi="宋体" w:eastAsia="宋体" w:cs="宋体"/>
          <w:b/>
          <w:bCs/>
          <w:color w:val="auto"/>
          <w:spacing w:val="6"/>
          <w:sz w:val="31"/>
          <w:szCs w:val="31"/>
          <w:highlight w:val="none"/>
        </w:rPr>
        <w:t>第 702 节  铺设表土</w:t>
      </w:r>
      <w:bookmarkEnd w:id="706"/>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56" w:firstLineChars="200"/>
        <w:textAlignment w:val="baseline"/>
        <w:rPr>
          <w:rFonts w:hint="eastAsia" w:ascii="宋体" w:hAnsi="宋体" w:eastAsia="宋体" w:cs="宋体"/>
          <w:color w:val="auto"/>
          <w:sz w:val="28"/>
          <w:szCs w:val="28"/>
          <w:highlight w:val="none"/>
        </w:rPr>
      </w:pPr>
      <w:r>
        <w:rPr>
          <w:rFonts w:hint="eastAsia" w:ascii="宋体" w:hAnsi="宋体" w:eastAsia="宋体" w:cs="宋体"/>
          <w:color w:val="auto"/>
          <w:spacing w:val="-1"/>
          <w:position w:val="11"/>
          <w:sz w:val="28"/>
          <w:szCs w:val="28"/>
          <w:highlight w:val="none"/>
        </w:rPr>
        <w:t>702.03  施</w:t>
      </w:r>
      <w:r>
        <w:rPr>
          <w:rFonts w:hint="eastAsia" w:ascii="宋体" w:hAnsi="宋体" w:eastAsia="宋体" w:cs="宋体"/>
          <w:color w:val="auto"/>
          <w:position w:val="11"/>
          <w:sz w:val="28"/>
          <w:szCs w:val="28"/>
          <w:highlight w:val="none"/>
        </w:rPr>
        <w:t>工要求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630" w:firstLineChars="3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position w:val="1"/>
          <w:sz w:val="21"/>
          <w:szCs w:val="21"/>
          <w:highlight w:val="none"/>
        </w:rPr>
        <w:t>3 ．铺设</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630" w:firstLineChars="3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表 702-1 修改为：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630" w:firstLineChars="30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植物生长的最小土层厚度</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jc w:val="righ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表 702-1</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sz w:val="21"/>
          <w:szCs w:val="21"/>
          <w:highlight w:val="none"/>
        </w:rPr>
      </w:pPr>
    </w:p>
    <w:tbl>
      <w:tblPr>
        <w:tblStyle w:val="26"/>
        <w:tblW w:w="8900" w:type="dxa"/>
        <w:tblInd w:w="38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198"/>
        <w:gridCol w:w="470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4198" w:type="dxa"/>
            <w:tcBorders>
              <w:left w:val="single" w:color="000000" w:sz="10"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植物种类</w:t>
            </w:r>
          </w:p>
        </w:tc>
        <w:tc>
          <w:tcPr>
            <w:tcW w:w="4702" w:type="dxa"/>
            <w:tcBorders>
              <w:left w:val="single" w:color="000000" w:sz="4"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植物生长的最小土层厚度 (m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4198" w:type="dxa"/>
            <w:tcBorders>
              <w:left w:val="single" w:color="000000" w:sz="10"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草本花卉、草本植被</w:t>
            </w:r>
          </w:p>
        </w:tc>
        <w:tc>
          <w:tcPr>
            <w:tcW w:w="4702" w:type="dxa"/>
            <w:tcBorders>
              <w:left w:val="single" w:color="000000" w:sz="4"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0.40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4198" w:type="dxa"/>
            <w:tcBorders>
              <w:left w:val="single" w:color="000000" w:sz="10"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小灌木</w:t>
            </w:r>
          </w:p>
        </w:tc>
        <w:tc>
          <w:tcPr>
            <w:tcW w:w="4702" w:type="dxa"/>
            <w:tcBorders>
              <w:left w:val="single" w:color="000000" w:sz="4"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0.45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4198" w:type="dxa"/>
            <w:tcBorders>
              <w:left w:val="single" w:color="000000" w:sz="10"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大灌木</w:t>
            </w:r>
          </w:p>
        </w:tc>
        <w:tc>
          <w:tcPr>
            <w:tcW w:w="4702" w:type="dxa"/>
            <w:tcBorders>
              <w:left w:val="single" w:color="000000" w:sz="4"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0.60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4198" w:type="dxa"/>
            <w:tcBorders>
              <w:left w:val="single" w:color="000000" w:sz="10"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浅根乔木</w:t>
            </w:r>
          </w:p>
        </w:tc>
        <w:tc>
          <w:tcPr>
            <w:tcW w:w="4702" w:type="dxa"/>
            <w:tcBorders>
              <w:left w:val="single" w:color="000000" w:sz="4"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0.90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4198" w:type="dxa"/>
            <w:tcBorders>
              <w:left w:val="single" w:color="000000" w:sz="10"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深根乔木</w:t>
            </w:r>
          </w:p>
        </w:tc>
        <w:tc>
          <w:tcPr>
            <w:tcW w:w="4702" w:type="dxa"/>
            <w:tcBorders>
              <w:left w:val="single" w:color="000000" w:sz="4" w:space="0"/>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1.50</w:t>
            </w:r>
          </w:p>
        </w:tc>
      </w:tr>
    </w:tbl>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101" w:line="400" w:lineRule="exact"/>
        <w:jc w:val="center"/>
        <w:textAlignment w:val="baseline"/>
        <w:outlineLvl w:val="1"/>
        <w:rPr>
          <w:rFonts w:hint="eastAsia" w:ascii="宋体" w:hAnsi="宋体" w:eastAsia="宋体" w:cs="宋体"/>
          <w:b/>
          <w:bCs/>
          <w:color w:val="auto"/>
          <w:spacing w:val="6"/>
          <w:sz w:val="31"/>
          <w:szCs w:val="31"/>
          <w:highlight w:val="none"/>
        </w:rPr>
      </w:pPr>
      <w:bookmarkStart w:id="707" w:name="_Toc25375"/>
      <w:r>
        <w:rPr>
          <w:rFonts w:hint="eastAsia" w:ascii="宋体" w:hAnsi="宋体" w:eastAsia="宋体" w:cs="宋体"/>
          <w:b/>
          <w:bCs/>
          <w:color w:val="auto"/>
          <w:spacing w:val="6"/>
          <w:sz w:val="31"/>
          <w:szCs w:val="31"/>
          <w:highlight w:val="none"/>
        </w:rPr>
        <w:t>第 703 节  撒播草种和铺植草皮</w:t>
      </w:r>
      <w:bookmarkEnd w:id="707"/>
    </w:p>
    <w:p>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hint="eastAsia" w:ascii="宋体" w:hAnsi="宋体" w:eastAsia="宋体" w:cs="宋体"/>
          <w:color w:val="auto"/>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ind w:right="0" w:firstLine="278" w:firstLineChars="100"/>
        <w:textAlignment w:val="baseline"/>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703.02</w:t>
      </w:r>
      <w:r>
        <w:rPr>
          <w:rFonts w:hint="eastAsia" w:ascii="宋体" w:hAnsi="宋体" w:eastAsia="宋体" w:cs="宋体"/>
          <w:color w:val="auto"/>
          <w:sz w:val="28"/>
          <w:szCs w:val="28"/>
          <w:highlight w:val="none"/>
        </w:rPr>
        <w:t xml:space="preserve">  材料</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  草皮</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第 (3) 款修改为：</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rPr>
        <w:t>(3) 播种用的草籽、草花、地被植物种子应注明品种、品系、产地、 生产单位、 采收年份、纯净度及发芽率，不得有病虫害。 自外地引进种子应有检疫合格证。发芽率达 95％以上的方可使用</w:t>
      </w:r>
      <w:r>
        <w:rPr>
          <w:rFonts w:hint="eastAsia" w:ascii="宋体" w:hAnsi="宋体" w:eastAsia="宋体" w:cs="宋体"/>
          <w:color w:val="auto"/>
          <w:spacing w:val="0"/>
          <w:sz w:val="21"/>
          <w:szCs w:val="21"/>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right="0" w:firstLine="278" w:firstLineChars="100"/>
        <w:textAlignment w:val="baseline"/>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703.03  施</w:t>
      </w:r>
      <w:r>
        <w:rPr>
          <w:rFonts w:hint="eastAsia" w:ascii="宋体" w:hAnsi="宋体" w:eastAsia="宋体" w:cs="宋体"/>
          <w:color w:val="auto"/>
          <w:sz w:val="28"/>
          <w:szCs w:val="28"/>
          <w:highlight w:val="none"/>
        </w:rPr>
        <w:t>工要求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olor w:val="auto"/>
          <w:spacing w:val="0"/>
          <w:position w:val="1"/>
          <w:sz w:val="21"/>
          <w:szCs w:val="21"/>
          <w:highlight w:val="none"/>
        </w:rPr>
      </w:pPr>
      <w:r>
        <w:rPr>
          <w:rFonts w:hint="eastAsia" w:ascii="宋体" w:hAnsi="宋体" w:eastAsia="宋体" w:cs="宋体"/>
          <w:color w:val="auto"/>
          <w:spacing w:val="0"/>
          <w:position w:val="1"/>
          <w:sz w:val="21"/>
          <w:szCs w:val="21"/>
          <w:highlight w:val="none"/>
        </w:rPr>
        <w:t>1 ．撒播草种</w:t>
      </w:r>
    </w:p>
    <w:p>
      <w:pPr>
        <w:pStyle w:val="2"/>
        <w:rPr>
          <w:rFonts w:hint="eastAsia" w:ascii="宋体" w:hAnsi="宋体" w:eastAsia="宋体" w:cs="宋体"/>
          <w:color w:val="auto"/>
          <w:highlight w:val="none"/>
        </w:rPr>
        <w:sectPr>
          <w:pgSz w:w="11900" w:h="16840"/>
          <w:pgMar w:top="1160" w:right="1236" w:bottom="1448" w:left="1363" w:header="883" w:footer="1234" w:gutter="0"/>
          <w:pgNumType w:fmt="decimal"/>
          <w:cols w:space="720" w:num="1"/>
        </w:sectPr>
      </w:pPr>
      <w:r>
        <w:rPr>
          <w:rFonts w:hint="eastAsia" w:ascii="宋体" w:hAnsi="宋体" w:eastAsia="宋体" w:cs="宋体"/>
          <w:color w:val="auto"/>
          <w:spacing w:val="0"/>
          <w:position w:val="0"/>
          <w:sz w:val="21"/>
          <w:szCs w:val="21"/>
          <w:highlight w:val="none"/>
        </w:rPr>
        <w:t>(2)播种方法及用量</w:t>
      </w:r>
    </w:p>
    <w:p>
      <w:pPr>
        <w:keepNext w:val="0"/>
        <w:keepLines w:val="0"/>
        <w:pageBreakBefore w:val="0"/>
        <w:widowControl/>
        <w:kinsoku w:val="0"/>
        <w:wordWrap/>
        <w:overflowPunct/>
        <w:topLinePunct w:val="0"/>
        <w:autoSpaceDE w:val="0"/>
        <w:autoSpaceDN w:val="0"/>
        <w:bidi w:val="0"/>
        <w:adjustRightInd w:val="0"/>
        <w:snapToGrid w:val="0"/>
        <w:spacing w:before="65" w:line="360" w:lineRule="exact"/>
        <w:ind w:right="6799"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第 g 项修改为：</w:t>
      </w:r>
    </w:p>
    <w:p>
      <w:pPr>
        <w:keepNext w:val="0"/>
        <w:keepLines w:val="0"/>
        <w:pageBreakBefore w:val="0"/>
        <w:widowControl/>
        <w:kinsoku w:val="0"/>
        <w:wordWrap/>
        <w:overflowPunct/>
        <w:topLinePunct w:val="0"/>
        <w:autoSpaceDE w:val="0"/>
        <w:autoSpaceDN w:val="0"/>
        <w:bidi w:val="0"/>
        <w:adjustRightInd w:val="0"/>
        <w:snapToGrid w:val="0"/>
        <w:spacing w:before="141" w:line="360" w:lineRule="exact"/>
        <w:ind w:left="4" w:right="10" w:firstLine="404"/>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g．将采用的草籽和混合肥料拌和， 均匀地撒播到已准备好的表土区内。也可在播种前不多于 48h 施肥，使肥料深入到表土层内，化肥的施肥量每 1000m2 不少于 70kg。</w:t>
      </w:r>
    </w:p>
    <w:p>
      <w:pPr>
        <w:keepNext w:val="0"/>
        <w:keepLines w:val="0"/>
        <w:pageBreakBefore w:val="0"/>
        <w:kinsoku w:val="0"/>
        <w:wordWrap/>
        <w:overflowPunct/>
        <w:topLinePunct w:val="0"/>
        <w:autoSpaceDE w:val="0"/>
        <w:autoSpaceDN w:val="0"/>
        <w:bidi w:val="0"/>
        <w:adjustRightInd w:val="0"/>
        <w:snapToGrid w:val="0"/>
        <w:spacing w:before="101" w:line="360" w:lineRule="exact"/>
        <w:jc w:val="center"/>
        <w:textAlignment w:val="baseline"/>
        <w:outlineLvl w:val="1"/>
        <w:rPr>
          <w:rFonts w:hint="eastAsia" w:ascii="宋体" w:hAnsi="宋体" w:eastAsia="宋体" w:cs="宋体"/>
          <w:b/>
          <w:bCs/>
          <w:color w:val="auto"/>
          <w:spacing w:val="6"/>
          <w:sz w:val="31"/>
          <w:szCs w:val="31"/>
          <w:highlight w:val="none"/>
        </w:rPr>
      </w:pPr>
      <w:bookmarkStart w:id="708" w:name="_Toc25758"/>
      <w:r>
        <w:rPr>
          <w:rFonts w:hint="eastAsia" w:ascii="宋体" w:hAnsi="宋体" w:eastAsia="宋体" w:cs="宋体"/>
          <w:b/>
          <w:bCs/>
          <w:color w:val="auto"/>
          <w:spacing w:val="6"/>
          <w:sz w:val="31"/>
          <w:szCs w:val="31"/>
          <w:highlight w:val="none"/>
        </w:rPr>
        <w:t>第 704 节  种植乔木、灌木和攀缘植物</w:t>
      </w:r>
      <w:bookmarkEnd w:id="708"/>
    </w:p>
    <w:p>
      <w:pPr>
        <w:keepNext w:val="0"/>
        <w:keepLines w:val="0"/>
        <w:pageBreakBefore w:val="0"/>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z w:val="21"/>
          <w:highlight w:val="none"/>
        </w:rPr>
      </w:pPr>
    </w:p>
    <w:p>
      <w:pPr>
        <w:keepNext w:val="0"/>
        <w:keepLines w:val="0"/>
        <w:pageBreakBefore w:val="0"/>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z w:val="21"/>
          <w:highlight w:val="none"/>
        </w:rPr>
      </w:pPr>
    </w:p>
    <w:p>
      <w:pPr>
        <w:keepNext w:val="0"/>
        <w:keepLines w:val="0"/>
        <w:pageBreakBefore w:val="0"/>
        <w:kinsoku w:val="0"/>
        <w:wordWrap/>
        <w:overflowPunct/>
        <w:topLinePunct w:val="0"/>
        <w:autoSpaceDE w:val="0"/>
        <w:autoSpaceDN w:val="0"/>
        <w:bidi w:val="0"/>
        <w:adjustRightInd w:val="0"/>
        <w:snapToGrid w:val="0"/>
        <w:spacing w:before="91" w:line="360" w:lineRule="exact"/>
        <w:ind w:left="413"/>
        <w:textAlignment w:val="baseline"/>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704.02</w:t>
      </w:r>
      <w:r>
        <w:rPr>
          <w:rFonts w:hint="eastAsia" w:ascii="宋体" w:hAnsi="宋体" w:eastAsia="宋体" w:cs="宋体"/>
          <w:color w:val="auto"/>
          <w:sz w:val="28"/>
          <w:szCs w:val="28"/>
          <w:highlight w:val="none"/>
        </w:rPr>
        <w:t xml:space="preserve">  材料</w:t>
      </w:r>
    </w:p>
    <w:p>
      <w:pPr>
        <w:keepNext w:val="0"/>
        <w:keepLines w:val="0"/>
        <w:pageBreakBefore w:val="0"/>
        <w:widowControl/>
        <w:kinsoku w:val="0"/>
        <w:wordWrap/>
        <w:overflowPunct/>
        <w:topLinePunct w:val="0"/>
        <w:autoSpaceDE w:val="0"/>
        <w:autoSpaceDN w:val="0"/>
        <w:bidi w:val="0"/>
        <w:adjustRightInd w:val="0"/>
        <w:snapToGrid w:val="0"/>
        <w:spacing w:before="100" w:line="360" w:lineRule="exact"/>
        <w:ind w:left="407"/>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 、植物品种</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1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 (5) 款：</w:t>
      </w:r>
    </w:p>
    <w:p>
      <w:pPr>
        <w:keepNext w:val="0"/>
        <w:keepLines w:val="0"/>
        <w:pageBreakBefore w:val="0"/>
        <w:widowControl/>
        <w:kinsoku w:val="0"/>
        <w:wordWrap/>
        <w:overflowPunct/>
        <w:topLinePunct w:val="0"/>
        <w:autoSpaceDE w:val="0"/>
        <w:autoSpaceDN w:val="0"/>
        <w:bidi w:val="0"/>
        <w:adjustRightInd w:val="0"/>
        <w:snapToGrid w:val="0"/>
        <w:spacing w:before="134" w:line="360" w:lineRule="exact"/>
        <w:ind w:left="42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(5)各种苗木的冠幅、径粗应严格按设计规定的规格，并应达到表 704-9 所描述的外观要求：</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12"/>
        <w:jc w:val="right"/>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表 704-9</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0"/>
          <w:position w:val="0"/>
          <w:sz w:val="21"/>
          <w:szCs w:val="21"/>
          <w:highlight w:val="none"/>
        </w:rPr>
      </w:pPr>
    </w:p>
    <w:tbl>
      <w:tblPr>
        <w:tblStyle w:val="26"/>
        <w:tblW w:w="8715" w:type="dxa"/>
        <w:tblInd w:w="46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7"/>
        <w:gridCol w:w="1362"/>
        <w:gridCol w:w="3307"/>
        <w:gridCol w:w="1943"/>
        <w:gridCol w:w="119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907" w:type="dxa"/>
            <w:vMerge w:val="restart"/>
            <w:tcBorders>
              <w:left w:val="single" w:color="000000" w:sz="10" w:space="0"/>
              <w:bottom w:val="nil"/>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0"/>
                <w:position w:val="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360" w:lineRule="exact"/>
              <w:ind w:left="13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乔木类</w:t>
            </w:r>
          </w:p>
        </w:tc>
        <w:tc>
          <w:tcPr>
            <w:tcW w:w="136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44" w:line="360" w:lineRule="exact"/>
              <w:ind w:left="46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树干</w:t>
            </w:r>
          </w:p>
        </w:tc>
        <w:tc>
          <w:tcPr>
            <w:tcW w:w="3307"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44" w:line="360" w:lineRule="exact"/>
              <w:ind w:left="1444"/>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树冠</w:t>
            </w:r>
          </w:p>
        </w:tc>
        <w:tc>
          <w:tcPr>
            <w:tcW w:w="1943"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44" w:line="360" w:lineRule="exact"/>
              <w:ind w:left="76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根系</w:t>
            </w:r>
          </w:p>
        </w:tc>
        <w:tc>
          <w:tcPr>
            <w:tcW w:w="1196"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44" w:line="360" w:lineRule="exact"/>
              <w:ind w:left="287"/>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病虫害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907" w:type="dxa"/>
            <w:vMerge w:val="continue"/>
            <w:tcBorders>
              <w:top w:val="nil"/>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0"/>
                <w:position w:val="0"/>
                <w:sz w:val="21"/>
                <w:szCs w:val="21"/>
                <w:highlight w:val="none"/>
              </w:rPr>
            </w:pPr>
          </w:p>
        </w:tc>
        <w:tc>
          <w:tcPr>
            <w:tcW w:w="136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30" w:line="360" w:lineRule="exact"/>
              <w:ind w:left="25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主干挺直</w:t>
            </w:r>
          </w:p>
        </w:tc>
        <w:tc>
          <w:tcPr>
            <w:tcW w:w="3307"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30" w:line="360" w:lineRule="exact"/>
              <w:ind w:left="185"/>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枝叶茂密、层次清晰、冠形丰满</w:t>
            </w:r>
          </w:p>
        </w:tc>
        <w:tc>
          <w:tcPr>
            <w:tcW w:w="1943"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30" w:line="360" w:lineRule="exact"/>
              <w:ind w:left="35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土球符合要求</w:t>
            </w:r>
          </w:p>
        </w:tc>
        <w:tc>
          <w:tcPr>
            <w:tcW w:w="1196"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30" w:line="360" w:lineRule="exact"/>
              <w:ind w:left="50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907" w:type="dxa"/>
            <w:vMerge w:val="restart"/>
            <w:tcBorders>
              <w:left w:val="single" w:color="000000" w:sz="10" w:space="0"/>
              <w:bottom w:val="nil"/>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0"/>
                <w:position w:val="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360" w:lineRule="exact"/>
              <w:ind w:left="132"/>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灌木类</w:t>
            </w:r>
          </w:p>
        </w:tc>
        <w:tc>
          <w:tcPr>
            <w:tcW w:w="4669" w:type="dxa"/>
            <w:gridSpan w:val="2"/>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21" w:line="360" w:lineRule="exact"/>
              <w:ind w:left="205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自然式</w:t>
            </w:r>
          </w:p>
        </w:tc>
        <w:tc>
          <w:tcPr>
            <w:tcW w:w="3139" w:type="dxa"/>
            <w:gridSpan w:val="2"/>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21" w:line="360" w:lineRule="exact"/>
              <w:ind w:left="1257"/>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整形式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07" w:type="dxa"/>
            <w:vMerge w:val="continue"/>
            <w:tcBorders>
              <w:top w:val="nil"/>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pacing w:val="0"/>
                <w:position w:val="0"/>
                <w:sz w:val="21"/>
                <w:szCs w:val="21"/>
                <w:highlight w:val="none"/>
              </w:rPr>
            </w:pPr>
          </w:p>
        </w:tc>
        <w:tc>
          <w:tcPr>
            <w:tcW w:w="4669" w:type="dxa"/>
            <w:gridSpan w:val="2"/>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44" w:line="360" w:lineRule="exact"/>
              <w:ind w:left="20" w:right="25"/>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植株姿态自然优美，生长均匀，无病虫害，枝叶茂 盛，根系发达</w:t>
            </w:r>
          </w:p>
        </w:tc>
        <w:tc>
          <w:tcPr>
            <w:tcW w:w="3139" w:type="dxa"/>
            <w:gridSpan w:val="2"/>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44" w:line="360" w:lineRule="exact"/>
              <w:ind w:left="34" w:right="17" w:firstLine="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冠形规则、饱满、根系发达，土球 符合要求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907"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34" w:line="360" w:lineRule="exact"/>
              <w:ind w:left="235"/>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地被</w:t>
            </w:r>
          </w:p>
        </w:tc>
        <w:tc>
          <w:tcPr>
            <w:tcW w:w="7808" w:type="dxa"/>
            <w:gridSpan w:val="4"/>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33" w:line="360" w:lineRule="exact"/>
              <w:ind w:left="66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苗龄 1-2 年生、色泽嫩绿、鲜艳，每丛不少于 5 支 (书带草、葱兰类)</w:t>
            </w:r>
          </w:p>
        </w:tc>
      </w:tr>
    </w:tbl>
    <w:p>
      <w:pPr>
        <w:keepNext w:val="0"/>
        <w:keepLines w:val="0"/>
        <w:pageBreakBefore w:val="0"/>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z w:val="21"/>
          <w:highlight w:val="none"/>
        </w:rPr>
      </w:pPr>
    </w:p>
    <w:p>
      <w:pPr>
        <w:keepNext w:val="0"/>
        <w:keepLines w:val="0"/>
        <w:pageBreakBefore w:val="0"/>
        <w:kinsoku w:val="0"/>
        <w:wordWrap/>
        <w:overflowPunct/>
        <w:topLinePunct w:val="0"/>
        <w:autoSpaceDE w:val="0"/>
        <w:autoSpaceDN w:val="0"/>
        <w:bidi w:val="0"/>
        <w:adjustRightInd w:val="0"/>
        <w:snapToGrid w:val="0"/>
        <w:spacing w:before="91" w:line="360" w:lineRule="exact"/>
        <w:ind w:left="413"/>
        <w:textAlignment w:val="baseline"/>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704.03  施</w:t>
      </w:r>
      <w:r>
        <w:rPr>
          <w:rFonts w:hint="eastAsia" w:ascii="宋体" w:hAnsi="宋体" w:eastAsia="宋体" w:cs="宋体"/>
          <w:color w:val="auto"/>
          <w:sz w:val="28"/>
          <w:szCs w:val="28"/>
          <w:highlight w:val="none"/>
        </w:rPr>
        <w:t>工要求</w:t>
      </w:r>
    </w:p>
    <w:p>
      <w:pPr>
        <w:keepNext w:val="0"/>
        <w:keepLines w:val="0"/>
        <w:pageBreakBefore w:val="0"/>
        <w:widowControl/>
        <w:kinsoku w:val="0"/>
        <w:wordWrap/>
        <w:overflowPunct/>
        <w:topLinePunct w:val="0"/>
        <w:autoSpaceDE w:val="0"/>
        <w:autoSpaceDN w:val="0"/>
        <w:bidi w:val="0"/>
        <w:adjustRightInd w:val="0"/>
        <w:snapToGrid w:val="0"/>
        <w:spacing w:before="106" w:line="360" w:lineRule="exact"/>
        <w:ind w:left="412"/>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6.栽植</w:t>
      </w:r>
    </w:p>
    <w:p>
      <w:pPr>
        <w:keepNext w:val="0"/>
        <w:keepLines w:val="0"/>
        <w:pageBreakBefore w:val="0"/>
        <w:widowControl/>
        <w:kinsoku w:val="0"/>
        <w:wordWrap/>
        <w:overflowPunct/>
        <w:topLinePunct w:val="0"/>
        <w:autoSpaceDE w:val="0"/>
        <w:autoSpaceDN w:val="0"/>
        <w:bidi w:val="0"/>
        <w:adjustRightInd w:val="0"/>
        <w:snapToGrid w:val="0"/>
        <w:spacing w:before="100" w:line="360" w:lineRule="exact"/>
        <w:ind w:left="41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补充第(13) 、(14)款</w:t>
      </w:r>
    </w:p>
    <w:p>
      <w:pPr>
        <w:keepNext w:val="0"/>
        <w:keepLines w:val="0"/>
        <w:pageBreakBefore w:val="0"/>
        <w:widowControl/>
        <w:kinsoku w:val="0"/>
        <w:wordWrap/>
        <w:overflowPunct/>
        <w:topLinePunct w:val="0"/>
        <w:autoSpaceDE w:val="0"/>
        <w:autoSpaceDN w:val="0"/>
        <w:bidi w:val="0"/>
        <w:adjustRightInd w:val="0"/>
        <w:snapToGrid w:val="0"/>
        <w:spacing w:before="138" w:line="360" w:lineRule="exact"/>
        <w:ind w:left="42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(13) 灌木色块应按设计要求的密度种植，一般每平方米在 25-36 株之间。</w:t>
      </w:r>
    </w:p>
    <w:p>
      <w:pPr>
        <w:keepNext w:val="0"/>
        <w:keepLines w:val="0"/>
        <w:pageBreakBefore w:val="0"/>
        <w:widowControl/>
        <w:kinsoku w:val="0"/>
        <w:wordWrap/>
        <w:overflowPunct/>
        <w:topLinePunct w:val="0"/>
        <w:autoSpaceDE w:val="0"/>
        <w:autoSpaceDN w:val="0"/>
        <w:bidi w:val="0"/>
        <w:adjustRightInd w:val="0"/>
        <w:snapToGrid w:val="0"/>
        <w:spacing w:before="102" w:line="360" w:lineRule="exact"/>
        <w:ind w:left="5" w:right="9" w:firstLine="415"/>
        <w:textAlignment w:val="baseline"/>
        <w:rPr>
          <w:rFonts w:hint="eastAsia" w:ascii="宋体" w:hAnsi="宋体" w:eastAsia="宋体" w:cs="宋体"/>
          <w:color w:val="auto"/>
          <w:spacing w:val="0"/>
          <w:position w:val="0"/>
          <w:sz w:val="21"/>
          <w:szCs w:val="21"/>
          <w:highlight w:val="none"/>
        </w:rPr>
        <w:sectPr>
          <w:pgSz w:w="11900" w:h="16840"/>
          <w:pgMar w:top="1160" w:right="1342" w:bottom="1448" w:left="1363" w:header="883" w:footer="1234" w:gutter="0"/>
          <w:pgNumType w:fmt="decimal"/>
          <w:cols w:space="720" w:num="1"/>
        </w:sectPr>
      </w:pPr>
      <w:r>
        <w:rPr>
          <w:rFonts w:hint="eastAsia" w:ascii="宋体" w:hAnsi="宋体" w:eastAsia="宋体" w:cs="宋体"/>
          <w:color w:val="auto"/>
          <w:spacing w:val="0"/>
          <w:position w:val="0"/>
          <w:sz w:val="21"/>
          <w:szCs w:val="21"/>
          <w:highlight w:val="none"/>
        </w:rPr>
        <w:t>(14)地被植物如为撒布草籽应在耙松、平整表土后均匀施肥，施肥量 1000m 2 不低于 70kg ，撒 种量平地每1000m2不低于10kg，坡面每1000m2不低于12kg。如为铺草皮，应在表土平整后块块均匀错缝铺植，葱兰、书带草一类的丛植地被每平方米不低于36丛，每丛不少于5支。</w:t>
      </w:r>
    </w:p>
    <w:p>
      <w:pPr>
        <w:spacing w:line="251" w:lineRule="auto"/>
        <w:rPr>
          <w:rFonts w:ascii="Arial"/>
          <w:color w:val="auto"/>
          <w:sz w:val="21"/>
          <w:highlight w:val="none"/>
        </w:rPr>
      </w:pPr>
    </w:p>
    <w:p>
      <w:pPr>
        <w:spacing w:line="251" w:lineRule="auto"/>
        <w:rPr>
          <w:rFonts w:ascii="Arial"/>
          <w:color w:val="auto"/>
          <w:sz w:val="21"/>
          <w:highlight w:val="none"/>
        </w:rPr>
      </w:pPr>
    </w:p>
    <w:p>
      <w:pPr>
        <w:spacing w:before="156" w:line="222" w:lineRule="auto"/>
        <w:ind w:left="1482"/>
        <w:outlineLvl w:val="0"/>
        <w:rPr>
          <w:rFonts w:hint="eastAsia" w:ascii="宋体" w:hAnsi="宋体" w:eastAsia="宋体" w:cs="宋体"/>
          <w:color w:val="auto"/>
          <w:sz w:val="48"/>
          <w:szCs w:val="48"/>
          <w:highlight w:val="none"/>
        </w:rPr>
      </w:pPr>
      <w:bookmarkStart w:id="709" w:name="_bookmark197"/>
      <w:bookmarkEnd w:id="709"/>
      <w:bookmarkStart w:id="710" w:name="_Toc25688"/>
      <w:bookmarkStart w:id="711" w:name="_Toc19471"/>
      <w:bookmarkStart w:id="712" w:name="_Toc20017"/>
      <w:r>
        <w:rPr>
          <w:rFonts w:hint="eastAsia" w:ascii="宋体" w:hAnsi="宋体" w:eastAsia="宋体" w:cs="宋体"/>
          <w:color w:val="auto"/>
          <w:spacing w:val="-1"/>
          <w:sz w:val="48"/>
          <w:szCs w:val="48"/>
          <w:highlight w:val="none"/>
          <w14:textOutline w14:w="8708" w14:cap="flat" w14:cmpd="sng">
            <w14:solidFill>
              <w14:srgbClr w14:val="000000"/>
            </w14:solidFill>
            <w14:prstDash w14:val="solid"/>
            <w14:miter w14:val="0"/>
          </w14:textOutline>
        </w:rPr>
        <w:t>第八</w:t>
      </w:r>
      <w:r>
        <w:rPr>
          <w:rFonts w:hint="eastAsia" w:ascii="宋体" w:hAnsi="宋体" w:eastAsia="宋体" w:cs="宋体"/>
          <w:color w:val="auto"/>
          <w:sz w:val="48"/>
          <w:szCs w:val="48"/>
          <w:highlight w:val="none"/>
          <w14:textOutline w14:w="8708" w14:cap="flat" w14:cmpd="sng">
            <w14:solidFill>
              <w14:srgbClr w14:val="000000"/>
            </w14:solidFill>
            <w14:prstDash w14:val="solid"/>
            <w14:miter w14:val="0"/>
          </w14:textOutline>
        </w:rPr>
        <w:t>章</w:t>
      </w:r>
      <w:r>
        <w:rPr>
          <w:rFonts w:hint="eastAsia" w:ascii="宋体" w:hAnsi="宋体" w:eastAsia="宋体" w:cs="宋体"/>
          <w:color w:val="auto"/>
          <w:sz w:val="48"/>
          <w:szCs w:val="48"/>
          <w:highlight w:val="none"/>
        </w:rPr>
        <w:t xml:space="preserve">  </w:t>
      </w:r>
      <w:r>
        <w:rPr>
          <w:rFonts w:hint="eastAsia" w:ascii="宋体" w:hAnsi="宋体" w:eastAsia="宋体" w:cs="宋体"/>
          <w:color w:val="auto"/>
          <w:sz w:val="48"/>
          <w:szCs w:val="48"/>
          <w:highlight w:val="none"/>
          <w14:textOutline w14:w="8708" w14:cap="flat" w14:cmpd="sng">
            <w14:solidFill>
              <w14:srgbClr w14:val="000000"/>
            </w14:solidFill>
            <w14:prstDash w14:val="solid"/>
            <w14:miter w14:val="0"/>
          </w14:textOutline>
        </w:rPr>
        <w:t>工程量清单计量规则</w:t>
      </w:r>
      <w:bookmarkEnd w:id="710"/>
      <w:bookmarkEnd w:id="711"/>
      <w:bookmarkEnd w:id="712"/>
    </w:p>
    <w:p>
      <w:pPr>
        <w:spacing w:line="301" w:lineRule="auto"/>
        <w:rPr>
          <w:rFonts w:ascii="Arial"/>
          <w:color w:val="auto"/>
          <w:sz w:val="21"/>
          <w:highlight w:val="none"/>
        </w:rPr>
      </w:pPr>
    </w:p>
    <w:p>
      <w:pPr>
        <w:spacing w:line="301" w:lineRule="auto"/>
        <w:rPr>
          <w:rFonts w:ascii="Arial"/>
          <w:color w:val="auto"/>
          <w:sz w:val="21"/>
          <w:highlight w:val="none"/>
        </w:rPr>
      </w:pPr>
    </w:p>
    <w:p>
      <w:pPr>
        <w:spacing w:before="78" w:line="371" w:lineRule="auto"/>
        <w:ind w:left="7" w:firstLine="481"/>
        <w:rPr>
          <w:rFonts w:hint="eastAsia" w:ascii="宋体" w:hAnsi="宋体" w:eastAsia="宋体" w:cs="宋体"/>
          <w:color w:val="auto"/>
          <w:sz w:val="24"/>
          <w:szCs w:val="24"/>
          <w:highlight w:val="none"/>
        </w:rPr>
      </w:pPr>
      <w:r>
        <w:rPr>
          <w:rFonts w:hint="eastAsia" w:ascii="宋体" w:hAnsi="宋体" w:eastAsia="宋体" w:cs="宋体"/>
          <w:color w:val="auto"/>
          <w:spacing w:val="-16"/>
          <w:sz w:val="24"/>
          <w:szCs w:val="24"/>
          <w:highlight w:val="none"/>
        </w:rPr>
        <w:t>按</w:t>
      </w:r>
      <w:r>
        <w:rPr>
          <w:rFonts w:hint="eastAsia" w:ascii="宋体" w:hAnsi="宋体" w:eastAsia="宋体" w:cs="宋体"/>
          <w:color w:val="auto"/>
          <w:spacing w:val="-13"/>
          <w:sz w:val="24"/>
          <w:szCs w:val="24"/>
          <w:highlight w:val="none"/>
        </w:rPr>
        <w:t>照</w:t>
      </w:r>
      <w:r>
        <w:rPr>
          <w:rFonts w:hint="eastAsia" w:ascii="宋体" w:hAnsi="宋体" w:eastAsia="宋体" w:cs="宋体"/>
          <w:color w:val="auto"/>
          <w:spacing w:val="-8"/>
          <w:sz w:val="24"/>
          <w:szCs w:val="24"/>
          <w:highlight w:val="none"/>
        </w:rPr>
        <w:t>浙江省地方标准《交通建设工程工程量清单计价规范 第 1 部分：公路工程》(DB</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6"/>
          <w:sz w:val="24"/>
          <w:szCs w:val="24"/>
          <w:highlight w:val="none"/>
        </w:rPr>
        <w:t>33/</w:t>
      </w:r>
      <w:r>
        <w:rPr>
          <w:rFonts w:hint="eastAsia" w:ascii="宋体" w:hAnsi="宋体" w:eastAsia="宋体" w:cs="宋体"/>
          <w:color w:val="auto"/>
          <w:spacing w:val="-3"/>
          <w:sz w:val="24"/>
          <w:szCs w:val="24"/>
          <w:highlight w:val="none"/>
        </w:rPr>
        <w:t>T</w:t>
      </w:r>
      <w:r>
        <w:rPr>
          <w:rFonts w:hint="eastAsia" w:ascii="宋体" w:hAnsi="宋体" w:eastAsia="宋体" w:cs="宋体"/>
          <w:color w:val="auto"/>
          <w:spacing w:val="-4"/>
          <w:sz w:val="24"/>
          <w:szCs w:val="24"/>
          <w:highlight w:val="none"/>
        </w:rPr>
        <w:t>6</w:t>
      </w:r>
      <w:r>
        <w:rPr>
          <w:rFonts w:hint="eastAsia" w:ascii="宋体" w:hAnsi="宋体" w:eastAsia="宋体" w:cs="宋体"/>
          <w:color w:val="auto"/>
          <w:spacing w:val="-3"/>
          <w:sz w:val="24"/>
          <w:szCs w:val="24"/>
          <w:highlight w:val="none"/>
        </w:rPr>
        <w:t>28. 1—2021) 编制。</w:t>
      </w:r>
    </w:p>
    <w:p>
      <w:pPr>
        <w:spacing w:line="268" w:lineRule="auto"/>
        <w:rPr>
          <w:rFonts w:ascii="Arial"/>
          <w:color w:val="auto"/>
          <w:sz w:val="21"/>
          <w:highlight w:val="none"/>
        </w:rPr>
      </w:pPr>
    </w:p>
    <w:p>
      <w:pPr>
        <w:spacing w:line="268" w:lineRule="auto"/>
        <w:rPr>
          <w:rFonts w:ascii="Arial"/>
          <w:color w:val="auto"/>
          <w:sz w:val="21"/>
          <w:highlight w:val="none"/>
        </w:rPr>
      </w:pPr>
    </w:p>
    <w:p>
      <w:pPr>
        <w:spacing w:line="268" w:lineRule="auto"/>
        <w:rPr>
          <w:rFonts w:ascii="Arial"/>
          <w:color w:val="auto"/>
          <w:sz w:val="21"/>
          <w:highlight w:val="none"/>
        </w:rPr>
      </w:pPr>
    </w:p>
    <w:p>
      <w:pPr>
        <w:spacing w:line="268" w:lineRule="auto"/>
        <w:rPr>
          <w:rFonts w:ascii="Arial"/>
          <w:color w:val="auto"/>
          <w:sz w:val="21"/>
          <w:highlight w:val="none"/>
        </w:rPr>
      </w:pPr>
    </w:p>
    <w:p>
      <w:pPr>
        <w:pStyle w:val="2"/>
        <w:rPr>
          <w:rFonts w:ascii="Arial"/>
          <w:color w:val="auto"/>
          <w:sz w:val="21"/>
          <w:highlight w:val="none"/>
        </w:rPr>
      </w:pPr>
    </w:p>
    <w:p>
      <w:pPr>
        <w:pStyle w:val="2"/>
        <w:rPr>
          <w:rFonts w:ascii="Arial"/>
          <w:color w:val="auto"/>
          <w:sz w:val="21"/>
          <w:highlight w:val="none"/>
        </w:rPr>
      </w:pPr>
    </w:p>
    <w:p>
      <w:pPr>
        <w:pStyle w:val="2"/>
        <w:rPr>
          <w:rFonts w:ascii="Arial"/>
          <w:color w:val="auto"/>
          <w:sz w:val="21"/>
          <w:highlight w:val="none"/>
        </w:rPr>
      </w:pPr>
    </w:p>
    <w:p>
      <w:pPr>
        <w:pStyle w:val="2"/>
        <w:rPr>
          <w:rFonts w:ascii="Arial"/>
          <w:color w:val="auto"/>
          <w:sz w:val="21"/>
          <w:highlight w:val="none"/>
        </w:rPr>
      </w:pPr>
    </w:p>
    <w:p>
      <w:pPr>
        <w:pStyle w:val="2"/>
        <w:rPr>
          <w:rFonts w:ascii="Arial"/>
          <w:color w:val="auto"/>
          <w:sz w:val="21"/>
          <w:highlight w:val="none"/>
        </w:rPr>
      </w:pPr>
    </w:p>
    <w:p>
      <w:pPr>
        <w:pStyle w:val="2"/>
        <w:rPr>
          <w:rFonts w:ascii="Arial"/>
          <w:color w:val="auto"/>
          <w:sz w:val="21"/>
          <w:highlight w:val="none"/>
        </w:rPr>
      </w:pPr>
    </w:p>
    <w:p>
      <w:pPr>
        <w:pStyle w:val="2"/>
        <w:rPr>
          <w:rFonts w:ascii="Arial"/>
          <w:color w:val="auto"/>
          <w:sz w:val="21"/>
          <w:highlight w:val="none"/>
        </w:rPr>
      </w:pPr>
    </w:p>
    <w:p>
      <w:pPr>
        <w:pStyle w:val="2"/>
        <w:rPr>
          <w:rFonts w:ascii="Arial"/>
          <w:color w:val="auto"/>
          <w:sz w:val="21"/>
          <w:highlight w:val="none"/>
        </w:rPr>
      </w:pPr>
    </w:p>
    <w:p>
      <w:pPr>
        <w:pStyle w:val="2"/>
        <w:rPr>
          <w:rFonts w:ascii="Arial"/>
          <w:color w:val="auto"/>
          <w:sz w:val="21"/>
          <w:highlight w:val="none"/>
        </w:rPr>
      </w:pPr>
    </w:p>
    <w:p>
      <w:pPr>
        <w:pStyle w:val="2"/>
        <w:rPr>
          <w:rFonts w:ascii="Arial"/>
          <w:color w:val="auto"/>
          <w:sz w:val="21"/>
          <w:highlight w:val="none"/>
        </w:rPr>
      </w:pPr>
    </w:p>
    <w:p>
      <w:pPr>
        <w:pStyle w:val="2"/>
        <w:rPr>
          <w:rFonts w:ascii="Arial"/>
          <w:color w:val="auto"/>
          <w:sz w:val="21"/>
          <w:highlight w:val="none"/>
        </w:rPr>
      </w:pPr>
    </w:p>
    <w:p>
      <w:pPr>
        <w:pStyle w:val="2"/>
        <w:rPr>
          <w:rFonts w:ascii="Arial"/>
          <w:color w:val="auto"/>
          <w:sz w:val="21"/>
          <w:highlight w:val="none"/>
        </w:rPr>
      </w:pPr>
    </w:p>
    <w:p>
      <w:pPr>
        <w:pStyle w:val="2"/>
        <w:rPr>
          <w:rFonts w:ascii="Arial"/>
          <w:color w:val="auto"/>
          <w:sz w:val="21"/>
          <w:highlight w:val="none"/>
        </w:rPr>
      </w:pPr>
    </w:p>
    <w:p>
      <w:pPr>
        <w:pStyle w:val="2"/>
        <w:rPr>
          <w:rFonts w:ascii="Arial"/>
          <w:color w:val="auto"/>
          <w:sz w:val="21"/>
          <w:highlight w:val="none"/>
        </w:rPr>
      </w:pPr>
    </w:p>
    <w:p>
      <w:pPr>
        <w:pStyle w:val="2"/>
        <w:rPr>
          <w:rFonts w:ascii="Arial"/>
          <w:color w:val="auto"/>
          <w:sz w:val="21"/>
          <w:highlight w:val="none"/>
        </w:rPr>
      </w:pPr>
    </w:p>
    <w:p>
      <w:pPr>
        <w:pStyle w:val="2"/>
        <w:rPr>
          <w:rFonts w:ascii="Arial"/>
          <w:color w:val="auto"/>
          <w:sz w:val="21"/>
          <w:highlight w:val="none"/>
        </w:rPr>
      </w:pPr>
    </w:p>
    <w:p>
      <w:pPr>
        <w:pStyle w:val="2"/>
        <w:rPr>
          <w:rFonts w:ascii="Arial"/>
          <w:color w:val="auto"/>
          <w:sz w:val="21"/>
          <w:highlight w:val="none"/>
        </w:rPr>
      </w:pPr>
    </w:p>
    <w:p>
      <w:pPr>
        <w:pStyle w:val="2"/>
        <w:rPr>
          <w:rFonts w:ascii="Arial"/>
          <w:color w:val="auto"/>
          <w:sz w:val="21"/>
          <w:highlight w:val="none"/>
        </w:rPr>
      </w:pPr>
    </w:p>
    <w:p>
      <w:pPr>
        <w:pStyle w:val="2"/>
        <w:rPr>
          <w:rFonts w:ascii="Arial"/>
          <w:color w:val="auto"/>
          <w:sz w:val="21"/>
          <w:highlight w:val="none"/>
        </w:rPr>
      </w:pPr>
    </w:p>
    <w:p>
      <w:pPr>
        <w:pStyle w:val="2"/>
        <w:rPr>
          <w:rFonts w:ascii="Arial"/>
          <w:color w:val="auto"/>
          <w:sz w:val="21"/>
          <w:highlight w:val="none"/>
        </w:rPr>
      </w:pPr>
    </w:p>
    <w:p>
      <w:pPr>
        <w:pStyle w:val="2"/>
        <w:rPr>
          <w:rFonts w:ascii="Arial"/>
          <w:color w:val="auto"/>
          <w:sz w:val="21"/>
          <w:highlight w:val="none"/>
        </w:rPr>
      </w:pPr>
    </w:p>
    <w:p>
      <w:pPr>
        <w:spacing w:line="268" w:lineRule="auto"/>
        <w:rPr>
          <w:rFonts w:ascii="Arial"/>
          <w:color w:val="auto"/>
          <w:sz w:val="21"/>
          <w:highlight w:val="none"/>
        </w:rPr>
      </w:pPr>
    </w:p>
    <w:p>
      <w:pPr>
        <w:spacing w:line="268" w:lineRule="auto"/>
        <w:rPr>
          <w:rFonts w:ascii="Arial"/>
          <w:color w:val="auto"/>
          <w:sz w:val="21"/>
          <w:highlight w:val="none"/>
        </w:rPr>
      </w:pPr>
    </w:p>
    <w:p>
      <w:pPr>
        <w:spacing w:line="269" w:lineRule="auto"/>
        <w:rPr>
          <w:rFonts w:ascii="Arial"/>
          <w:color w:val="auto"/>
          <w:sz w:val="21"/>
          <w:highlight w:val="none"/>
        </w:rPr>
      </w:pPr>
    </w:p>
    <w:p>
      <w:pPr>
        <w:spacing w:before="234" w:line="222" w:lineRule="auto"/>
        <w:ind w:left="3536"/>
        <w:outlineLvl w:val="9"/>
        <w:rPr>
          <w:rFonts w:hint="eastAsia" w:ascii="宋体" w:hAnsi="宋体" w:eastAsia="宋体" w:cs="宋体"/>
          <w:color w:val="auto"/>
          <w:spacing w:val="-11"/>
          <w:sz w:val="72"/>
          <w:szCs w:val="72"/>
          <w:highlight w:val="none"/>
        </w:rPr>
      </w:pPr>
      <w:bookmarkStart w:id="713" w:name="_bookmark198"/>
      <w:bookmarkEnd w:id="713"/>
      <w:bookmarkStart w:id="714" w:name="_Toc21941"/>
    </w:p>
    <w:p>
      <w:pPr>
        <w:spacing w:before="234" w:line="222" w:lineRule="auto"/>
        <w:ind w:left="3536"/>
        <w:outlineLvl w:val="9"/>
        <w:rPr>
          <w:rFonts w:hint="eastAsia" w:ascii="宋体" w:hAnsi="宋体" w:eastAsia="宋体" w:cs="宋体"/>
          <w:color w:val="auto"/>
          <w:spacing w:val="-11"/>
          <w:sz w:val="72"/>
          <w:szCs w:val="72"/>
          <w:highlight w:val="none"/>
          <w:lang w:eastAsia="zh-CN"/>
        </w:rPr>
      </w:pPr>
    </w:p>
    <w:p>
      <w:pPr>
        <w:pStyle w:val="2"/>
        <w:rPr>
          <w:rFonts w:hint="eastAsia" w:ascii="宋体" w:hAnsi="宋体" w:eastAsia="宋体" w:cs="宋体"/>
          <w:color w:val="auto"/>
          <w:spacing w:val="-11"/>
          <w:sz w:val="72"/>
          <w:szCs w:val="72"/>
          <w:highlight w:val="none"/>
          <w:lang w:eastAsia="zh-CN"/>
        </w:rPr>
      </w:pPr>
    </w:p>
    <w:p>
      <w:pPr>
        <w:pStyle w:val="2"/>
        <w:rPr>
          <w:rFonts w:hint="eastAsia" w:ascii="宋体" w:hAnsi="宋体" w:eastAsia="宋体" w:cs="宋体"/>
          <w:color w:val="auto"/>
          <w:spacing w:val="-11"/>
          <w:sz w:val="72"/>
          <w:szCs w:val="72"/>
          <w:highlight w:val="none"/>
          <w:lang w:eastAsia="zh-CN"/>
        </w:rPr>
      </w:pPr>
    </w:p>
    <w:p>
      <w:pPr>
        <w:spacing w:before="234" w:line="222" w:lineRule="auto"/>
        <w:ind w:left="3536"/>
        <w:outlineLvl w:val="0"/>
        <w:rPr>
          <w:rFonts w:hint="eastAsia" w:ascii="宋体" w:hAnsi="宋体" w:eastAsia="宋体" w:cs="宋体"/>
          <w:b/>
          <w:bCs/>
          <w:color w:val="auto"/>
          <w:sz w:val="72"/>
          <w:szCs w:val="72"/>
          <w:highlight w:val="none"/>
        </w:rPr>
      </w:pPr>
      <w:bookmarkStart w:id="715" w:name="_Toc2407"/>
      <w:bookmarkStart w:id="716" w:name="_Toc31153"/>
      <w:r>
        <w:rPr>
          <w:rFonts w:hint="eastAsia" w:ascii="宋体" w:hAnsi="宋体" w:eastAsia="宋体" w:cs="宋体"/>
          <w:b/>
          <w:bCs/>
          <w:color w:val="auto"/>
          <w:spacing w:val="-11"/>
          <w:sz w:val="72"/>
          <w:szCs w:val="72"/>
          <w:highlight w:val="none"/>
        </w:rPr>
        <w:t>第</w:t>
      </w:r>
      <w:r>
        <w:rPr>
          <w:rFonts w:hint="eastAsia" w:ascii="宋体" w:hAnsi="宋体" w:eastAsia="宋体" w:cs="宋体"/>
          <w:b/>
          <w:bCs/>
          <w:color w:val="auto"/>
          <w:spacing w:val="-9"/>
          <w:sz w:val="72"/>
          <w:szCs w:val="72"/>
          <w:highlight w:val="none"/>
        </w:rPr>
        <w:t>四卷</w:t>
      </w:r>
      <w:bookmarkEnd w:id="714"/>
      <w:bookmarkEnd w:id="715"/>
      <w:bookmarkEnd w:id="716"/>
    </w:p>
    <w:p>
      <w:pPr>
        <w:rPr>
          <w:color w:val="auto"/>
          <w:highlight w:val="none"/>
        </w:rPr>
        <w:sectPr>
          <w:footerReference r:id="rId45" w:type="default"/>
          <w:pgSz w:w="11900" w:h="16840"/>
          <w:pgMar w:top="1160" w:right="1354" w:bottom="1448" w:left="1363" w:header="883" w:footer="1234" w:gutter="0"/>
          <w:pgNumType w:fmt="decimal"/>
          <w:cols w:space="720" w:num="1"/>
        </w:sect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hint="eastAsia" w:ascii="宋体" w:hAnsi="宋体" w:eastAsia="宋体" w:cs="宋体"/>
          <w:color w:val="auto"/>
          <w:sz w:val="21"/>
          <w:highlight w:val="none"/>
        </w:rPr>
      </w:pPr>
    </w:p>
    <w:p>
      <w:pPr>
        <w:spacing w:before="156" w:line="236" w:lineRule="auto"/>
        <w:ind w:left="2082"/>
        <w:outlineLvl w:val="0"/>
        <w:rPr>
          <w:rFonts w:hint="eastAsia" w:ascii="宋体" w:hAnsi="宋体" w:eastAsia="宋体" w:cs="宋体"/>
          <w:b w:val="0"/>
          <w:bCs w:val="0"/>
          <w:color w:val="auto"/>
          <w:sz w:val="48"/>
          <w:szCs w:val="48"/>
          <w:highlight w:val="none"/>
        </w:rPr>
      </w:pPr>
      <w:bookmarkStart w:id="717" w:name="_bookmark199"/>
      <w:bookmarkEnd w:id="717"/>
      <w:bookmarkStart w:id="718" w:name="_Toc8119"/>
      <w:bookmarkStart w:id="719" w:name="_Toc1825"/>
      <w:bookmarkStart w:id="720" w:name="_Toc22017"/>
      <w:r>
        <w:rPr>
          <w:rFonts w:hint="eastAsia" w:ascii="宋体" w:hAnsi="宋体" w:eastAsia="宋体" w:cs="宋体"/>
          <w:b w:val="0"/>
          <w:bCs w:val="0"/>
          <w:color w:val="auto"/>
          <w:spacing w:val="-1"/>
          <w:sz w:val="48"/>
          <w:szCs w:val="48"/>
          <w:highlight w:val="none"/>
          <w14:textOutline w14:w="8708" w14:cap="flat" w14:cmpd="sng">
            <w14:solidFill>
              <w14:srgbClr w14:val="000000"/>
            </w14:solidFill>
            <w14:prstDash w14:val="solid"/>
            <w14:miter w14:val="0"/>
          </w14:textOutline>
        </w:rPr>
        <w:t>第九</w:t>
      </w:r>
      <w:r>
        <w:rPr>
          <w:rFonts w:hint="eastAsia" w:ascii="宋体" w:hAnsi="宋体" w:eastAsia="宋体" w:cs="宋体"/>
          <w:b w:val="0"/>
          <w:bCs w:val="0"/>
          <w:color w:val="auto"/>
          <w:sz w:val="48"/>
          <w:szCs w:val="48"/>
          <w:highlight w:val="none"/>
          <w14:textOutline w14:w="8708" w14:cap="flat" w14:cmpd="sng">
            <w14:solidFill>
              <w14:srgbClr w14:val="000000"/>
            </w14:solidFill>
            <w14:prstDash w14:val="solid"/>
            <w14:miter w14:val="0"/>
          </w14:textOutline>
        </w:rPr>
        <w:t>章</w:t>
      </w:r>
      <w:r>
        <w:rPr>
          <w:rFonts w:hint="eastAsia" w:ascii="宋体" w:hAnsi="宋体" w:eastAsia="宋体" w:cs="宋体"/>
          <w:b w:val="0"/>
          <w:bCs w:val="0"/>
          <w:color w:val="auto"/>
          <w:sz w:val="48"/>
          <w:szCs w:val="48"/>
          <w:highlight w:val="none"/>
        </w:rPr>
        <w:t xml:space="preserve">  </w:t>
      </w:r>
      <w:r>
        <w:rPr>
          <w:rFonts w:hint="eastAsia" w:ascii="宋体" w:hAnsi="宋体" w:eastAsia="宋体" w:cs="宋体"/>
          <w:b w:val="0"/>
          <w:bCs w:val="0"/>
          <w:color w:val="auto"/>
          <w:sz w:val="48"/>
          <w:szCs w:val="48"/>
          <w:highlight w:val="none"/>
          <w14:textOutline w14:w="8708" w14:cap="flat" w14:cmpd="sng">
            <w14:solidFill>
              <w14:srgbClr w14:val="000000"/>
            </w14:solidFill>
            <w14:prstDash w14:val="solid"/>
            <w14:miter w14:val="0"/>
          </w14:textOutline>
        </w:rPr>
        <w:t>投标文件格式</w:t>
      </w:r>
      <w:bookmarkEnd w:id="718"/>
      <w:bookmarkEnd w:id="719"/>
      <w:bookmarkEnd w:id="720"/>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rPr>
          <w:color w:val="auto"/>
          <w:highlight w:val="none"/>
        </w:rPr>
        <w:sectPr>
          <w:headerReference r:id="rId46" w:type="default"/>
          <w:pgSz w:w="11900" w:h="16840"/>
          <w:pgMar w:top="1160" w:right="1354" w:bottom="1448" w:left="1363" w:header="883" w:footer="1234" w:gutter="0"/>
          <w:pgNumType w:fmt="decimal"/>
          <w:cols w:space="720" w:num="1"/>
        </w:sectPr>
      </w:pPr>
    </w:p>
    <w:p>
      <w:pPr>
        <w:rPr>
          <w:rFonts w:ascii="Arial"/>
          <w:color w:val="auto"/>
          <w:sz w:val="21"/>
          <w:highlight w:val="none"/>
        </w:rPr>
      </w:pPr>
    </w:p>
    <w:p>
      <w:pPr>
        <w:spacing w:line="268" w:lineRule="auto"/>
        <w:rPr>
          <w:rFonts w:ascii="Arial"/>
          <w:color w:val="auto"/>
          <w:sz w:val="21"/>
          <w:highlight w:val="none"/>
        </w:rPr>
      </w:pPr>
    </w:p>
    <w:p>
      <w:pPr>
        <w:spacing w:line="268" w:lineRule="auto"/>
        <w:rPr>
          <w:rFonts w:ascii="Arial"/>
          <w:color w:val="auto"/>
          <w:sz w:val="21"/>
          <w:highlight w:val="none"/>
        </w:rPr>
      </w:pPr>
    </w:p>
    <w:p>
      <w:pPr>
        <w:spacing w:line="268" w:lineRule="auto"/>
        <w:rPr>
          <w:rFonts w:ascii="Arial"/>
          <w:color w:val="auto"/>
          <w:sz w:val="21"/>
          <w:highlight w:val="none"/>
        </w:rPr>
      </w:pPr>
    </w:p>
    <w:p>
      <w:pPr>
        <w:spacing w:line="254" w:lineRule="auto"/>
        <w:rPr>
          <w:rFonts w:hint="eastAsia" w:ascii="宋体" w:hAnsi="宋体" w:eastAsia="宋体" w:cs="宋体"/>
          <w:color w:val="auto"/>
          <w:sz w:val="21"/>
          <w:highlight w:val="none"/>
        </w:rPr>
      </w:pPr>
    </w:p>
    <w:p>
      <w:pPr>
        <w:spacing w:line="254" w:lineRule="auto"/>
        <w:rPr>
          <w:rFonts w:hint="eastAsia" w:ascii="宋体" w:hAnsi="宋体" w:eastAsia="宋体" w:cs="宋体"/>
          <w:color w:val="auto"/>
          <w:sz w:val="21"/>
          <w:highlight w:val="none"/>
        </w:rPr>
      </w:pPr>
    </w:p>
    <w:p>
      <w:pPr>
        <w:spacing w:line="255" w:lineRule="auto"/>
        <w:rPr>
          <w:rFonts w:hint="eastAsia" w:ascii="宋体" w:hAnsi="宋体" w:eastAsia="宋体" w:cs="宋体"/>
          <w:color w:val="auto"/>
          <w:sz w:val="21"/>
          <w:highlight w:val="none"/>
        </w:rPr>
      </w:pPr>
    </w:p>
    <w:p>
      <w:pPr>
        <w:tabs>
          <w:tab w:val="left" w:pos="2646"/>
        </w:tabs>
        <w:spacing w:before="117" w:line="221" w:lineRule="auto"/>
        <w:ind w:left="268"/>
        <w:outlineLvl w:val="1"/>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u w:val="single" w:color="auto"/>
        </w:rPr>
        <w:tab/>
      </w:r>
      <w:bookmarkStart w:id="721" w:name="_Toc26073"/>
      <w:bookmarkStart w:id="722" w:name="_Toc7397"/>
      <w:r>
        <w:rPr>
          <w:rFonts w:hint="eastAsia" w:ascii="宋体" w:hAnsi="宋体" w:eastAsia="宋体" w:cs="宋体"/>
          <w:color w:val="auto"/>
          <w:spacing w:val="-2"/>
          <w:sz w:val="36"/>
          <w:szCs w:val="36"/>
          <w:highlight w:val="none"/>
        </w:rPr>
        <w:t>(项目名称)</w:t>
      </w:r>
      <w:r>
        <w:rPr>
          <w:rFonts w:hint="eastAsia" w:ascii="宋体" w:hAnsi="宋体" w:eastAsia="宋体" w:cs="宋体"/>
          <w:color w:val="auto"/>
          <w:spacing w:val="-2"/>
          <w:sz w:val="36"/>
          <w:szCs w:val="36"/>
          <w:highlight w:val="none"/>
          <w:u w:val="single" w:color="auto"/>
        </w:rPr>
        <w:t xml:space="preserve">      </w:t>
      </w:r>
      <w:r>
        <w:rPr>
          <w:rFonts w:hint="eastAsia" w:ascii="宋体" w:hAnsi="宋体" w:eastAsia="宋体" w:cs="宋体"/>
          <w:color w:val="auto"/>
          <w:spacing w:val="-1"/>
          <w:sz w:val="36"/>
          <w:szCs w:val="36"/>
          <w:highlight w:val="none"/>
          <w:u w:val="single" w:color="auto"/>
        </w:rPr>
        <w:t xml:space="preserve">       </w:t>
      </w:r>
      <w:r>
        <w:rPr>
          <w:rFonts w:hint="eastAsia" w:ascii="宋体" w:hAnsi="宋体" w:eastAsia="宋体" w:cs="宋体"/>
          <w:color w:val="auto"/>
          <w:spacing w:val="-1"/>
          <w:sz w:val="36"/>
          <w:szCs w:val="36"/>
          <w:highlight w:val="none"/>
        </w:rPr>
        <w:t>标段施工招标</w:t>
      </w:r>
      <w:bookmarkEnd w:id="721"/>
      <w:bookmarkEnd w:id="722"/>
    </w:p>
    <w:p>
      <w:pPr>
        <w:spacing w:line="254" w:lineRule="auto"/>
        <w:rPr>
          <w:rFonts w:hint="eastAsia" w:ascii="宋体" w:hAnsi="宋体" w:eastAsia="宋体" w:cs="宋体"/>
          <w:color w:val="auto"/>
          <w:sz w:val="21"/>
          <w:highlight w:val="none"/>
        </w:rPr>
      </w:pPr>
    </w:p>
    <w:p>
      <w:pPr>
        <w:spacing w:line="255" w:lineRule="auto"/>
        <w:rPr>
          <w:rFonts w:hint="eastAsia" w:ascii="宋体" w:hAnsi="宋体" w:eastAsia="宋体" w:cs="宋体"/>
          <w:color w:val="auto"/>
          <w:sz w:val="21"/>
          <w:highlight w:val="none"/>
        </w:rPr>
      </w:pPr>
    </w:p>
    <w:p>
      <w:pPr>
        <w:spacing w:line="255" w:lineRule="auto"/>
        <w:rPr>
          <w:rFonts w:hint="eastAsia" w:ascii="宋体" w:hAnsi="宋体" w:eastAsia="宋体" w:cs="宋体"/>
          <w:color w:val="auto"/>
          <w:sz w:val="21"/>
          <w:highlight w:val="none"/>
        </w:rPr>
      </w:pPr>
    </w:p>
    <w:p>
      <w:pPr>
        <w:spacing w:line="255" w:lineRule="auto"/>
        <w:rPr>
          <w:rFonts w:hint="eastAsia" w:ascii="宋体" w:hAnsi="宋体" w:eastAsia="宋体" w:cs="宋体"/>
          <w:color w:val="auto"/>
          <w:sz w:val="21"/>
          <w:highlight w:val="none"/>
        </w:rPr>
      </w:pPr>
    </w:p>
    <w:p>
      <w:pPr>
        <w:spacing w:line="255" w:lineRule="auto"/>
        <w:rPr>
          <w:rFonts w:hint="eastAsia" w:ascii="宋体" w:hAnsi="宋体" w:eastAsia="宋体" w:cs="宋体"/>
          <w:color w:val="auto"/>
          <w:sz w:val="21"/>
          <w:highlight w:val="none"/>
        </w:rPr>
      </w:pPr>
    </w:p>
    <w:p>
      <w:pPr>
        <w:spacing w:line="255" w:lineRule="auto"/>
        <w:rPr>
          <w:rFonts w:hint="eastAsia" w:ascii="宋体" w:hAnsi="宋体" w:eastAsia="宋体" w:cs="宋体"/>
          <w:color w:val="auto"/>
          <w:sz w:val="21"/>
          <w:highlight w:val="none"/>
        </w:rPr>
      </w:pPr>
    </w:p>
    <w:p>
      <w:pPr>
        <w:spacing w:line="255" w:lineRule="auto"/>
        <w:rPr>
          <w:rFonts w:hint="eastAsia" w:ascii="宋体" w:hAnsi="宋体" w:eastAsia="宋体" w:cs="宋体"/>
          <w:color w:val="auto"/>
          <w:sz w:val="21"/>
          <w:highlight w:val="none"/>
        </w:rPr>
      </w:pPr>
    </w:p>
    <w:p>
      <w:pPr>
        <w:spacing w:before="273" w:line="223" w:lineRule="auto"/>
        <w:ind w:left="2306"/>
        <w:rPr>
          <w:rFonts w:hint="eastAsia" w:ascii="宋体" w:hAnsi="宋体" w:eastAsia="宋体" w:cs="宋体"/>
          <w:color w:val="auto"/>
          <w:sz w:val="84"/>
          <w:szCs w:val="84"/>
          <w:highlight w:val="none"/>
        </w:rPr>
      </w:pPr>
      <w:r>
        <w:rPr>
          <w:rFonts w:hint="eastAsia" w:ascii="宋体" w:hAnsi="宋体" w:eastAsia="宋体" w:cs="宋体"/>
          <w:color w:val="auto"/>
          <w:sz w:val="84"/>
          <w:szCs w:val="84"/>
          <w:highlight w:val="none"/>
        </w:rPr>
        <w:t>投 标 文 件</w:t>
      </w:r>
    </w:p>
    <w:p>
      <w:pPr>
        <w:rPr>
          <w:rFonts w:hint="eastAsia" w:ascii="宋体" w:hAnsi="宋体" w:eastAsia="宋体" w:cs="宋体"/>
          <w:color w:val="auto"/>
          <w:sz w:val="21"/>
          <w:highlight w:val="none"/>
        </w:rPr>
      </w:pPr>
    </w:p>
    <w:p>
      <w:pPr>
        <w:spacing w:line="241" w:lineRule="auto"/>
        <w:rPr>
          <w:rFonts w:hint="eastAsia" w:ascii="宋体" w:hAnsi="宋体" w:eastAsia="宋体" w:cs="宋体"/>
          <w:color w:val="auto"/>
          <w:sz w:val="21"/>
          <w:highlight w:val="none"/>
        </w:rPr>
      </w:pPr>
    </w:p>
    <w:p>
      <w:pPr>
        <w:spacing w:line="241" w:lineRule="auto"/>
        <w:rPr>
          <w:rFonts w:hint="eastAsia" w:ascii="宋体" w:hAnsi="宋体" w:eastAsia="宋体" w:cs="宋体"/>
          <w:color w:val="auto"/>
          <w:sz w:val="21"/>
          <w:highlight w:val="none"/>
        </w:rPr>
      </w:pPr>
    </w:p>
    <w:p>
      <w:pPr>
        <w:spacing w:line="241" w:lineRule="auto"/>
        <w:rPr>
          <w:rFonts w:hint="eastAsia" w:ascii="宋体" w:hAnsi="宋体" w:eastAsia="宋体" w:cs="宋体"/>
          <w:color w:val="auto"/>
          <w:sz w:val="21"/>
          <w:highlight w:val="none"/>
        </w:rPr>
      </w:pPr>
    </w:p>
    <w:p>
      <w:pPr>
        <w:spacing w:before="117" w:line="222" w:lineRule="auto"/>
        <w:ind w:left="2082"/>
        <w:outlineLvl w:val="2"/>
        <w:rPr>
          <w:rFonts w:hint="eastAsia" w:ascii="宋体" w:hAnsi="宋体" w:eastAsia="宋体" w:cs="宋体"/>
          <w:color w:val="auto"/>
          <w:sz w:val="36"/>
          <w:szCs w:val="36"/>
          <w:highlight w:val="none"/>
        </w:rPr>
      </w:pPr>
      <w:bookmarkStart w:id="723" w:name="_Toc6064"/>
      <w:r>
        <w:rPr>
          <w:rFonts w:hint="eastAsia" w:ascii="宋体" w:hAnsi="宋体" w:eastAsia="宋体" w:cs="宋体"/>
          <w:color w:val="auto"/>
          <w:spacing w:val="-6"/>
          <w:sz w:val="36"/>
          <w:szCs w:val="36"/>
          <w:highlight w:val="none"/>
        </w:rPr>
        <w:t>第</w:t>
      </w:r>
      <w:r>
        <w:rPr>
          <w:rFonts w:hint="eastAsia" w:ascii="宋体" w:hAnsi="宋体" w:eastAsia="宋体" w:cs="宋体"/>
          <w:color w:val="auto"/>
          <w:spacing w:val="-3"/>
          <w:sz w:val="36"/>
          <w:szCs w:val="36"/>
          <w:highlight w:val="none"/>
        </w:rPr>
        <w:t>一个信封 (商务及技术文件)</w:t>
      </w:r>
      <w:bookmarkEnd w:id="723"/>
    </w:p>
    <w:p>
      <w:pPr>
        <w:spacing w:line="248" w:lineRule="auto"/>
        <w:rPr>
          <w:rFonts w:hint="eastAsia" w:ascii="宋体" w:hAnsi="宋体" w:eastAsia="宋体" w:cs="宋体"/>
          <w:color w:val="auto"/>
          <w:sz w:val="21"/>
          <w:highlight w:val="none"/>
        </w:rPr>
      </w:pPr>
    </w:p>
    <w:p>
      <w:pPr>
        <w:spacing w:line="248" w:lineRule="auto"/>
        <w:rPr>
          <w:rFonts w:hint="eastAsia" w:ascii="宋体" w:hAnsi="宋体" w:eastAsia="宋体" w:cs="宋体"/>
          <w:color w:val="auto"/>
          <w:sz w:val="21"/>
          <w:highlight w:val="none"/>
        </w:rPr>
      </w:pPr>
    </w:p>
    <w:p>
      <w:pPr>
        <w:spacing w:line="248" w:lineRule="auto"/>
        <w:rPr>
          <w:rFonts w:hint="eastAsia" w:ascii="宋体" w:hAnsi="宋体" w:eastAsia="宋体" w:cs="宋体"/>
          <w:color w:val="auto"/>
          <w:sz w:val="21"/>
          <w:highlight w:val="none"/>
        </w:rPr>
      </w:pPr>
    </w:p>
    <w:p>
      <w:pPr>
        <w:spacing w:line="248" w:lineRule="auto"/>
        <w:rPr>
          <w:rFonts w:hint="eastAsia" w:ascii="宋体" w:hAnsi="宋体" w:eastAsia="宋体" w:cs="宋体"/>
          <w:color w:val="auto"/>
          <w:sz w:val="21"/>
          <w:highlight w:val="none"/>
        </w:rPr>
      </w:pPr>
    </w:p>
    <w:p>
      <w:pPr>
        <w:spacing w:line="249" w:lineRule="auto"/>
        <w:rPr>
          <w:rFonts w:hint="eastAsia" w:ascii="宋体" w:hAnsi="宋体" w:eastAsia="宋体" w:cs="宋体"/>
          <w:color w:val="auto"/>
          <w:sz w:val="21"/>
          <w:highlight w:val="none"/>
        </w:rPr>
      </w:pPr>
    </w:p>
    <w:p>
      <w:pPr>
        <w:spacing w:line="249" w:lineRule="auto"/>
        <w:rPr>
          <w:rFonts w:hint="eastAsia" w:ascii="宋体" w:hAnsi="宋体" w:eastAsia="宋体" w:cs="宋体"/>
          <w:color w:val="auto"/>
          <w:sz w:val="21"/>
          <w:highlight w:val="none"/>
        </w:rPr>
      </w:pPr>
    </w:p>
    <w:p>
      <w:pPr>
        <w:spacing w:line="249" w:lineRule="auto"/>
        <w:rPr>
          <w:rFonts w:hint="eastAsia" w:ascii="宋体" w:hAnsi="宋体" w:eastAsia="宋体" w:cs="宋体"/>
          <w:color w:val="auto"/>
          <w:sz w:val="21"/>
          <w:highlight w:val="none"/>
        </w:rPr>
      </w:pPr>
    </w:p>
    <w:p>
      <w:pPr>
        <w:spacing w:line="249" w:lineRule="auto"/>
        <w:rPr>
          <w:rFonts w:hint="eastAsia" w:ascii="宋体" w:hAnsi="宋体" w:eastAsia="宋体" w:cs="宋体"/>
          <w:color w:val="auto"/>
          <w:sz w:val="21"/>
          <w:highlight w:val="none"/>
        </w:rPr>
      </w:pPr>
    </w:p>
    <w:p>
      <w:pPr>
        <w:spacing w:line="249" w:lineRule="auto"/>
        <w:rPr>
          <w:rFonts w:hint="eastAsia" w:ascii="宋体" w:hAnsi="宋体" w:eastAsia="宋体" w:cs="宋体"/>
          <w:color w:val="auto"/>
          <w:sz w:val="21"/>
          <w:highlight w:val="none"/>
        </w:rPr>
      </w:pPr>
    </w:p>
    <w:p>
      <w:pPr>
        <w:spacing w:line="249" w:lineRule="auto"/>
        <w:rPr>
          <w:rFonts w:hint="eastAsia" w:ascii="宋体" w:hAnsi="宋体" w:eastAsia="宋体" w:cs="宋体"/>
          <w:color w:val="auto"/>
          <w:sz w:val="21"/>
          <w:highlight w:val="none"/>
        </w:rPr>
      </w:pPr>
    </w:p>
    <w:p>
      <w:pPr>
        <w:spacing w:line="249" w:lineRule="auto"/>
        <w:rPr>
          <w:rFonts w:hint="eastAsia" w:ascii="宋体" w:hAnsi="宋体" w:eastAsia="宋体" w:cs="宋体"/>
          <w:color w:val="auto"/>
          <w:sz w:val="21"/>
          <w:highlight w:val="none"/>
        </w:rPr>
      </w:pPr>
    </w:p>
    <w:p>
      <w:pPr>
        <w:spacing w:line="249" w:lineRule="auto"/>
        <w:rPr>
          <w:rFonts w:hint="eastAsia" w:ascii="宋体" w:hAnsi="宋体" w:eastAsia="宋体" w:cs="宋体"/>
          <w:color w:val="auto"/>
          <w:sz w:val="21"/>
          <w:highlight w:val="none"/>
        </w:rPr>
      </w:pPr>
    </w:p>
    <w:p>
      <w:pPr>
        <w:spacing w:line="249" w:lineRule="auto"/>
        <w:rPr>
          <w:rFonts w:hint="eastAsia" w:ascii="宋体" w:hAnsi="宋体" w:eastAsia="宋体" w:cs="宋体"/>
          <w:color w:val="auto"/>
          <w:sz w:val="21"/>
          <w:highlight w:val="none"/>
        </w:rPr>
      </w:pPr>
    </w:p>
    <w:p>
      <w:pPr>
        <w:spacing w:line="249" w:lineRule="auto"/>
        <w:rPr>
          <w:rFonts w:hint="eastAsia" w:ascii="宋体" w:hAnsi="宋体" w:eastAsia="宋体" w:cs="宋体"/>
          <w:color w:val="auto"/>
          <w:sz w:val="21"/>
          <w:highlight w:val="none"/>
        </w:rPr>
      </w:pPr>
    </w:p>
    <w:p>
      <w:pPr>
        <w:spacing w:line="249" w:lineRule="auto"/>
        <w:rPr>
          <w:rFonts w:hint="eastAsia" w:ascii="宋体" w:hAnsi="宋体" w:eastAsia="宋体" w:cs="宋体"/>
          <w:color w:val="auto"/>
          <w:sz w:val="21"/>
          <w:highlight w:val="none"/>
        </w:rPr>
      </w:pPr>
    </w:p>
    <w:p>
      <w:pPr>
        <w:spacing w:line="249" w:lineRule="auto"/>
        <w:rPr>
          <w:rFonts w:hint="eastAsia" w:ascii="宋体" w:hAnsi="宋体" w:eastAsia="宋体" w:cs="宋体"/>
          <w:color w:val="auto"/>
          <w:sz w:val="21"/>
          <w:highlight w:val="none"/>
        </w:rPr>
      </w:pPr>
    </w:p>
    <w:p>
      <w:pPr>
        <w:spacing w:line="249" w:lineRule="auto"/>
        <w:rPr>
          <w:rFonts w:hint="eastAsia" w:ascii="宋体" w:hAnsi="宋体" w:eastAsia="宋体" w:cs="宋体"/>
          <w:color w:val="auto"/>
          <w:sz w:val="21"/>
          <w:highlight w:val="none"/>
        </w:rPr>
      </w:pPr>
    </w:p>
    <w:p>
      <w:pPr>
        <w:tabs>
          <w:tab w:val="left" w:pos="3621"/>
        </w:tabs>
        <w:spacing w:before="91" w:line="368" w:lineRule="auto"/>
        <w:ind w:left="2488" w:right="701" w:hanging="1810"/>
        <w:rPr>
          <w:rFonts w:hint="eastAsia" w:ascii="宋体" w:hAnsi="宋体" w:eastAsia="宋体" w:cs="宋体"/>
          <w:color w:val="auto"/>
          <w:spacing w:val="-4"/>
          <w:sz w:val="28"/>
          <w:szCs w:val="28"/>
          <w:highlight w:val="none"/>
        </w:rPr>
      </w:pPr>
      <w:r>
        <w:rPr>
          <w:rFonts w:hint="eastAsia" w:ascii="宋体" w:hAnsi="宋体" w:eastAsia="宋体" w:cs="宋体"/>
          <w:color w:val="auto"/>
          <w:spacing w:val="-4"/>
          <w:sz w:val="28"/>
          <w:szCs w:val="28"/>
          <w:highlight w:val="none"/>
        </w:rPr>
        <w:t>投标人：</w:t>
      </w:r>
      <w:r>
        <w:rPr>
          <w:rFonts w:hint="eastAsia" w:ascii="宋体" w:hAnsi="宋体" w:eastAsia="宋体" w:cs="宋体"/>
          <w:color w:val="auto"/>
          <w:spacing w:val="-4"/>
          <w:sz w:val="28"/>
          <w:szCs w:val="28"/>
          <w:highlight w:val="none"/>
          <w:u w:val="single" w:color="auto"/>
        </w:rPr>
        <w:t xml:space="preserve">                              </w:t>
      </w:r>
      <w:r>
        <w:rPr>
          <w:rFonts w:hint="eastAsia" w:ascii="宋体" w:hAnsi="宋体" w:eastAsia="宋体" w:cs="宋体"/>
          <w:color w:val="auto"/>
          <w:spacing w:val="-4"/>
          <w:sz w:val="28"/>
          <w:szCs w:val="28"/>
          <w:highlight w:val="none"/>
        </w:rPr>
        <w:t>（盖单位电子公章）</w:t>
      </w:r>
    </w:p>
    <w:p>
      <w:pPr>
        <w:tabs>
          <w:tab w:val="left" w:pos="3621"/>
        </w:tabs>
        <w:spacing w:before="91" w:line="368" w:lineRule="auto"/>
        <w:ind w:left="2461" w:leftChars="691" w:right="701" w:hanging="1010" w:hangingChars="361"/>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u w:val="single" w:color="auto"/>
        </w:rPr>
        <w:tab/>
      </w:r>
      <w:r>
        <w:rPr>
          <w:rFonts w:hint="eastAsia" w:ascii="宋体" w:hAnsi="宋体" w:eastAsia="宋体" w:cs="宋体"/>
          <w:color w:val="auto"/>
          <w:sz w:val="28"/>
          <w:szCs w:val="28"/>
          <w:highlight w:val="none"/>
          <w:u w:val="single" w:color="auto"/>
          <w:lang w:val="en-US" w:eastAsia="zh-CN"/>
        </w:rPr>
        <w:t xml:space="preserve">    </w:t>
      </w:r>
      <w:r>
        <w:rPr>
          <w:rFonts w:hint="eastAsia" w:ascii="宋体" w:hAnsi="宋体" w:eastAsia="宋体" w:cs="宋体"/>
          <w:color w:val="auto"/>
          <w:spacing w:val="4"/>
          <w:sz w:val="28"/>
          <w:szCs w:val="28"/>
          <w:highlight w:val="none"/>
        </w:rPr>
        <w:t>年</w:t>
      </w:r>
      <w:r>
        <w:rPr>
          <w:rFonts w:hint="eastAsia" w:ascii="宋体" w:hAnsi="宋体" w:eastAsia="宋体" w:cs="宋体"/>
          <w:color w:val="auto"/>
          <w:spacing w:val="4"/>
          <w:sz w:val="28"/>
          <w:szCs w:val="28"/>
          <w:highlight w:val="none"/>
          <w:u w:val="single" w:color="auto"/>
        </w:rPr>
        <w:t xml:space="preserve">  </w:t>
      </w:r>
      <w:r>
        <w:rPr>
          <w:rFonts w:hint="eastAsia" w:ascii="宋体" w:hAnsi="宋体" w:eastAsia="宋体" w:cs="宋体"/>
          <w:color w:val="auto"/>
          <w:spacing w:val="2"/>
          <w:sz w:val="28"/>
          <w:szCs w:val="28"/>
          <w:highlight w:val="none"/>
          <w:u w:val="single" w:color="auto"/>
        </w:rPr>
        <w:t xml:space="preserve">      </w:t>
      </w:r>
      <w:r>
        <w:rPr>
          <w:rFonts w:hint="eastAsia" w:ascii="宋体" w:hAnsi="宋体" w:eastAsia="宋体" w:cs="宋体"/>
          <w:color w:val="auto"/>
          <w:spacing w:val="2"/>
          <w:sz w:val="28"/>
          <w:szCs w:val="28"/>
          <w:highlight w:val="none"/>
        </w:rPr>
        <w:t>月</w:t>
      </w:r>
      <w:r>
        <w:rPr>
          <w:rFonts w:hint="eastAsia" w:ascii="宋体" w:hAnsi="宋体" w:eastAsia="宋体" w:cs="宋体"/>
          <w:color w:val="auto"/>
          <w:spacing w:val="2"/>
          <w:sz w:val="28"/>
          <w:szCs w:val="28"/>
          <w:highlight w:val="none"/>
          <w:u w:val="single" w:color="auto"/>
        </w:rPr>
        <w:t xml:space="preserve">        </w:t>
      </w:r>
      <w:r>
        <w:rPr>
          <w:rFonts w:hint="eastAsia" w:ascii="宋体" w:hAnsi="宋体" w:eastAsia="宋体" w:cs="宋体"/>
          <w:color w:val="auto"/>
          <w:spacing w:val="2"/>
          <w:sz w:val="28"/>
          <w:szCs w:val="28"/>
          <w:highlight w:val="none"/>
        </w:rPr>
        <w:t>日</w:t>
      </w:r>
    </w:p>
    <w:p>
      <w:pPr>
        <w:rPr>
          <w:color w:val="auto"/>
          <w:highlight w:val="none"/>
        </w:rPr>
        <w:sectPr>
          <w:pgSz w:w="11900" w:h="16840"/>
          <w:pgMar w:top="1160" w:right="1354" w:bottom="1448" w:left="1363" w:header="883" w:footer="1234" w:gutter="0"/>
          <w:pgNumType w:fmt="decimal"/>
          <w:cols w:space="720" w:num="1"/>
        </w:sectPr>
      </w:pPr>
    </w:p>
    <w:p>
      <w:pPr>
        <w:spacing w:before="269" w:line="222" w:lineRule="auto"/>
        <w:ind w:left="4287"/>
        <w:outlineLvl w:val="2"/>
        <w:rPr>
          <w:rFonts w:ascii="黑体" w:hAnsi="黑体" w:eastAsia="黑体" w:cs="黑体"/>
          <w:color w:val="auto"/>
          <w:sz w:val="36"/>
          <w:szCs w:val="36"/>
          <w:highlight w:val="none"/>
        </w:rPr>
      </w:pPr>
      <w:bookmarkStart w:id="724" w:name="_Toc1149"/>
      <w:r>
        <w:rPr>
          <w:rFonts w:ascii="黑体" w:hAnsi="黑体" w:eastAsia="黑体" w:cs="黑体"/>
          <w:color w:val="auto"/>
          <w:spacing w:val="-31"/>
          <w:sz w:val="36"/>
          <w:szCs w:val="36"/>
          <w:highlight w:val="none"/>
        </w:rPr>
        <w:t>目</w:t>
      </w:r>
      <w:r>
        <w:rPr>
          <w:rFonts w:hint="eastAsia" w:ascii="黑体" w:hAnsi="黑体" w:eastAsia="黑体" w:cs="黑体"/>
          <w:color w:val="auto"/>
          <w:spacing w:val="-31"/>
          <w:sz w:val="36"/>
          <w:szCs w:val="36"/>
          <w:highlight w:val="none"/>
          <w:lang w:val="en-US" w:eastAsia="zh-CN"/>
        </w:rPr>
        <w:t xml:space="preserve"> </w:t>
      </w:r>
      <w:r>
        <w:rPr>
          <w:rFonts w:ascii="黑体" w:hAnsi="黑体" w:eastAsia="黑体" w:cs="黑体"/>
          <w:color w:val="auto"/>
          <w:spacing w:val="-29"/>
          <w:sz w:val="36"/>
          <w:szCs w:val="36"/>
          <w:highlight w:val="none"/>
        </w:rPr>
        <w:t>录</w:t>
      </w:r>
      <w:bookmarkEnd w:id="724"/>
    </w:p>
    <w:p>
      <w:pPr>
        <w:spacing w:line="282" w:lineRule="auto"/>
        <w:rPr>
          <w:rFonts w:ascii="Arial"/>
          <w:color w:val="auto"/>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11"/>
        <w:textAlignment w:val="baseline"/>
        <w:rPr>
          <w:rFonts w:ascii="宋体" w:hAnsi="宋体" w:eastAsia="宋体" w:cs="宋体"/>
          <w:color w:val="auto"/>
          <w:spacing w:val="7"/>
          <w:position w:val="2"/>
          <w:sz w:val="21"/>
          <w:szCs w:val="21"/>
          <w:highlight w:val="none"/>
        </w:rPr>
      </w:pPr>
      <w:r>
        <w:rPr>
          <w:rFonts w:ascii="宋体" w:hAnsi="宋体" w:eastAsia="宋体" w:cs="宋体"/>
          <w:color w:val="auto"/>
          <w:spacing w:val="9"/>
          <w:position w:val="2"/>
          <w:sz w:val="21"/>
          <w:szCs w:val="21"/>
          <w:highlight w:val="none"/>
        </w:rPr>
        <w:t>一、投标函及投标函附</w:t>
      </w:r>
      <w:r>
        <w:rPr>
          <w:rFonts w:ascii="宋体" w:hAnsi="宋体" w:eastAsia="宋体" w:cs="宋体"/>
          <w:color w:val="auto"/>
          <w:spacing w:val="7"/>
          <w:position w:val="2"/>
          <w:sz w:val="21"/>
          <w:szCs w:val="21"/>
          <w:highlight w:val="none"/>
        </w:rPr>
        <w:t>录</w:t>
      </w: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11"/>
        <w:textAlignment w:val="baseline"/>
        <w:rPr>
          <w:rFonts w:ascii="宋体" w:hAnsi="宋体" w:eastAsia="宋体" w:cs="宋体"/>
          <w:color w:val="auto"/>
          <w:spacing w:val="9"/>
          <w:position w:val="1"/>
          <w:sz w:val="21"/>
          <w:szCs w:val="21"/>
          <w:highlight w:val="none"/>
        </w:rPr>
      </w:pPr>
      <w:r>
        <w:rPr>
          <w:rFonts w:ascii="宋体" w:hAnsi="宋体" w:eastAsia="宋体" w:cs="宋体"/>
          <w:color w:val="auto"/>
          <w:spacing w:val="13"/>
          <w:position w:val="1"/>
          <w:sz w:val="21"/>
          <w:szCs w:val="21"/>
          <w:highlight w:val="none"/>
        </w:rPr>
        <w:t>二</w:t>
      </w:r>
      <w:r>
        <w:rPr>
          <w:rFonts w:ascii="宋体" w:hAnsi="宋体" w:eastAsia="宋体" w:cs="宋体"/>
          <w:color w:val="auto"/>
          <w:spacing w:val="9"/>
          <w:position w:val="1"/>
          <w:sz w:val="21"/>
          <w:szCs w:val="21"/>
          <w:highlight w:val="none"/>
        </w:rPr>
        <w:t>、授权委托书或法定代表人身份证明</w:t>
      </w: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11"/>
        <w:textAlignment w:val="baseline"/>
        <w:rPr>
          <w:rFonts w:ascii="宋体" w:hAnsi="宋体" w:eastAsia="宋体" w:cs="宋体"/>
          <w:color w:val="auto"/>
          <w:spacing w:val="7"/>
          <w:sz w:val="21"/>
          <w:szCs w:val="21"/>
          <w:highlight w:val="none"/>
        </w:rPr>
      </w:pPr>
      <w:r>
        <w:rPr>
          <w:rFonts w:ascii="宋体" w:hAnsi="宋体" w:eastAsia="宋体" w:cs="宋体"/>
          <w:color w:val="auto"/>
          <w:spacing w:val="7"/>
          <w:sz w:val="21"/>
          <w:szCs w:val="21"/>
          <w:highlight w:val="none"/>
        </w:rPr>
        <w:t>三、联合体协议书 (如有)</w:t>
      </w: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11"/>
        <w:textAlignment w:val="baseline"/>
        <w:rPr>
          <w:rFonts w:ascii="宋体" w:hAnsi="宋体" w:eastAsia="宋体" w:cs="宋体"/>
          <w:color w:val="auto"/>
          <w:spacing w:val="5"/>
          <w:sz w:val="21"/>
          <w:szCs w:val="21"/>
          <w:highlight w:val="none"/>
        </w:rPr>
      </w:pPr>
      <w:r>
        <w:rPr>
          <w:rFonts w:ascii="宋体" w:hAnsi="宋体" w:eastAsia="宋体" w:cs="宋体"/>
          <w:color w:val="auto"/>
          <w:spacing w:val="6"/>
          <w:sz w:val="21"/>
          <w:szCs w:val="21"/>
          <w:highlight w:val="none"/>
        </w:rPr>
        <w:t>四、投标保证</w:t>
      </w:r>
      <w:r>
        <w:rPr>
          <w:rFonts w:ascii="宋体" w:hAnsi="宋体" w:eastAsia="宋体" w:cs="宋体"/>
          <w:color w:val="auto"/>
          <w:spacing w:val="5"/>
          <w:sz w:val="21"/>
          <w:szCs w:val="21"/>
          <w:highlight w:val="none"/>
        </w:rPr>
        <w:t>金</w:t>
      </w: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11"/>
        <w:textAlignment w:val="baseline"/>
        <w:rPr>
          <w:rFonts w:ascii="宋体" w:hAnsi="宋体" w:eastAsia="宋体" w:cs="宋体"/>
          <w:color w:val="auto"/>
          <w:spacing w:val="8"/>
          <w:sz w:val="21"/>
          <w:szCs w:val="21"/>
          <w:highlight w:val="none"/>
        </w:rPr>
      </w:pPr>
      <w:r>
        <w:rPr>
          <w:rFonts w:ascii="宋体" w:hAnsi="宋体" w:eastAsia="宋体" w:cs="宋体"/>
          <w:color w:val="auto"/>
          <w:spacing w:val="10"/>
          <w:sz w:val="21"/>
          <w:szCs w:val="21"/>
          <w:highlight w:val="none"/>
        </w:rPr>
        <w:t>五</w:t>
      </w:r>
      <w:r>
        <w:rPr>
          <w:rFonts w:ascii="宋体" w:hAnsi="宋体" w:eastAsia="宋体" w:cs="宋体"/>
          <w:color w:val="auto"/>
          <w:spacing w:val="8"/>
          <w:sz w:val="21"/>
          <w:szCs w:val="21"/>
          <w:highlight w:val="none"/>
        </w:rPr>
        <w:t>、施工组织设计</w:t>
      </w: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11"/>
        <w:textAlignment w:val="baseline"/>
        <w:rPr>
          <w:rFonts w:ascii="宋体" w:hAnsi="宋体" w:eastAsia="宋体" w:cs="宋体"/>
          <w:color w:val="auto"/>
          <w:spacing w:val="8"/>
          <w:sz w:val="21"/>
          <w:szCs w:val="21"/>
          <w:highlight w:val="none"/>
        </w:rPr>
      </w:pPr>
      <w:r>
        <w:rPr>
          <w:rFonts w:ascii="宋体" w:hAnsi="宋体" w:eastAsia="宋体" w:cs="宋体"/>
          <w:color w:val="auto"/>
          <w:spacing w:val="11"/>
          <w:sz w:val="21"/>
          <w:szCs w:val="21"/>
          <w:highlight w:val="none"/>
        </w:rPr>
        <w:t>六</w:t>
      </w:r>
      <w:r>
        <w:rPr>
          <w:rFonts w:ascii="宋体" w:hAnsi="宋体" w:eastAsia="宋体" w:cs="宋体"/>
          <w:color w:val="auto"/>
          <w:spacing w:val="8"/>
          <w:sz w:val="21"/>
          <w:szCs w:val="21"/>
          <w:highlight w:val="none"/>
        </w:rPr>
        <w:t>、项目管理机构</w:t>
      </w: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11"/>
        <w:textAlignment w:val="baseline"/>
        <w:rPr>
          <w:rFonts w:ascii="宋体" w:hAnsi="宋体" w:eastAsia="宋体" w:cs="宋体"/>
          <w:color w:val="auto"/>
          <w:spacing w:val="6"/>
          <w:sz w:val="21"/>
          <w:szCs w:val="21"/>
          <w:highlight w:val="none"/>
        </w:rPr>
      </w:pPr>
      <w:r>
        <w:rPr>
          <w:rFonts w:ascii="宋体" w:hAnsi="宋体" w:eastAsia="宋体" w:cs="宋体"/>
          <w:color w:val="auto"/>
          <w:spacing w:val="6"/>
          <w:sz w:val="21"/>
          <w:szCs w:val="21"/>
          <w:highlight w:val="none"/>
        </w:rPr>
        <w:t>七、资格审查资料</w:t>
      </w: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11"/>
        <w:textAlignment w:val="baseline"/>
        <w:rPr>
          <w:rFonts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lang w:val="en-US" w:eastAsia="zh-CN"/>
        </w:rPr>
        <w:t>八</w:t>
      </w:r>
      <w:r>
        <w:rPr>
          <w:rFonts w:ascii="宋体" w:hAnsi="宋体" w:eastAsia="宋体" w:cs="宋体"/>
          <w:color w:val="auto"/>
          <w:spacing w:val="6"/>
          <w:sz w:val="21"/>
          <w:szCs w:val="21"/>
          <w:highlight w:val="none"/>
        </w:rPr>
        <w:t>、承诺函</w:t>
      </w: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11"/>
        <w:textAlignment w:val="baseline"/>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lang w:val="en-US" w:eastAsia="zh-CN"/>
        </w:rPr>
        <w:t>九</w:t>
      </w:r>
      <w:r>
        <w:rPr>
          <w:rFonts w:hint="eastAsia" w:ascii="宋体" w:hAnsi="宋体" w:eastAsia="宋体" w:cs="宋体"/>
          <w:color w:val="auto"/>
          <w:spacing w:val="6"/>
          <w:sz w:val="21"/>
          <w:szCs w:val="21"/>
          <w:highlight w:val="none"/>
        </w:rPr>
        <w:t>、网上查询凭证</w:t>
      </w: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11"/>
        <w:textAlignment w:val="baseline"/>
        <w:rPr>
          <w:rFonts w:ascii="宋体" w:hAnsi="宋体" w:eastAsia="宋体" w:cs="宋体"/>
          <w:color w:val="auto"/>
          <w:spacing w:val="6"/>
          <w:sz w:val="21"/>
          <w:szCs w:val="21"/>
          <w:highlight w:val="none"/>
        </w:rPr>
        <w:sectPr>
          <w:footerReference r:id="rId47" w:type="default"/>
          <w:pgSz w:w="11900" w:h="16840"/>
          <w:pgMar w:top="1160" w:right="1354" w:bottom="1448" w:left="1363" w:header="883" w:footer="1234" w:gutter="0"/>
          <w:pgNumType w:fmt="decimal"/>
          <w:cols w:space="720" w:num="1"/>
        </w:sectPr>
      </w:pPr>
      <w:r>
        <w:rPr>
          <w:rFonts w:hint="eastAsia" w:ascii="宋体" w:hAnsi="宋体" w:eastAsia="宋体" w:cs="宋体"/>
          <w:color w:val="auto"/>
          <w:spacing w:val="6"/>
          <w:sz w:val="21"/>
          <w:szCs w:val="21"/>
          <w:highlight w:val="none"/>
        </w:rPr>
        <w:t>十、其他材料</w:t>
      </w:r>
    </w:p>
    <w:p>
      <w:pPr>
        <w:spacing w:line="263" w:lineRule="auto"/>
        <w:rPr>
          <w:rFonts w:ascii="Arial"/>
          <w:color w:val="auto"/>
          <w:sz w:val="21"/>
          <w:highlight w:val="none"/>
        </w:rPr>
      </w:pPr>
    </w:p>
    <w:p>
      <w:pPr>
        <w:spacing w:before="117" w:line="222" w:lineRule="auto"/>
        <w:ind w:left="2632"/>
        <w:outlineLvl w:val="2"/>
        <w:rPr>
          <w:rFonts w:hint="eastAsia" w:ascii="宋体" w:hAnsi="宋体" w:eastAsia="宋体" w:cs="宋体"/>
          <w:color w:val="auto"/>
          <w:sz w:val="36"/>
          <w:szCs w:val="36"/>
          <w:highlight w:val="none"/>
        </w:rPr>
      </w:pPr>
      <w:bookmarkStart w:id="725" w:name="_bookmark203"/>
      <w:bookmarkEnd w:id="725"/>
      <w:bookmarkStart w:id="726" w:name="_Toc12856"/>
      <w:r>
        <w:rPr>
          <w:rFonts w:hint="eastAsia" w:ascii="宋体" w:hAnsi="宋体" w:eastAsia="宋体" w:cs="宋体"/>
          <w:color w:val="auto"/>
          <w:spacing w:val="-2"/>
          <w:sz w:val="36"/>
          <w:szCs w:val="36"/>
          <w:highlight w:val="none"/>
        </w:rPr>
        <w:t>一、投标函及投标函附</w:t>
      </w:r>
      <w:r>
        <w:rPr>
          <w:rFonts w:hint="eastAsia" w:ascii="宋体" w:hAnsi="宋体" w:eastAsia="宋体" w:cs="宋体"/>
          <w:color w:val="auto"/>
          <w:sz w:val="36"/>
          <w:szCs w:val="36"/>
          <w:highlight w:val="none"/>
        </w:rPr>
        <w:t>录</w:t>
      </w:r>
      <w:bookmarkEnd w:id="726"/>
    </w:p>
    <w:p>
      <w:pPr>
        <w:spacing w:line="434" w:lineRule="auto"/>
        <w:rPr>
          <w:rFonts w:hint="eastAsia" w:ascii="宋体" w:hAnsi="宋体" w:eastAsia="宋体" w:cs="宋体"/>
          <w:color w:val="auto"/>
          <w:sz w:val="21"/>
          <w:highlight w:val="none"/>
        </w:rPr>
      </w:pPr>
    </w:p>
    <w:p>
      <w:pPr>
        <w:spacing w:before="117" w:line="222" w:lineRule="auto"/>
        <w:jc w:val="center"/>
        <w:outlineLvl w:val="2"/>
        <w:rPr>
          <w:rFonts w:hint="eastAsia" w:ascii="宋体" w:hAnsi="宋体" w:eastAsia="宋体" w:cs="宋体"/>
          <w:color w:val="auto"/>
          <w:spacing w:val="-3"/>
          <w:sz w:val="30"/>
          <w:szCs w:val="30"/>
          <w:highlight w:val="none"/>
        </w:rPr>
      </w:pPr>
      <w:bookmarkStart w:id="727" w:name="_Toc27025"/>
      <w:r>
        <w:rPr>
          <w:rFonts w:hint="eastAsia" w:ascii="宋体" w:hAnsi="宋体" w:eastAsia="宋体" w:cs="宋体"/>
          <w:color w:val="auto"/>
          <w:spacing w:val="-3"/>
          <w:sz w:val="30"/>
          <w:szCs w:val="30"/>
          <w:highlight w:val="none"/>
        </w:rPr>
        <w:t>(一)投标函</w:t>
      </w:r>
      <w:bookmarkEnd w:id="727"/>
    </w:p>
    <w:p>
      <w:pPr>
        <w:keepNext w:val="0"/>
        <w:keepLines w:val="0"/>
        <w:pageBreakBefore w:val="0"/>
        <w:widowControl/>
        <w:tabs>
          <w:tab w:val="left" w:pos="2521"/>
        </w:tabs>
        <w:kinsoku w:val="0"/>
        <w:wordWrap/>
        <w:overflowPunct/>
        <w:topLinePunct w:val="0"/>
        <w:autoSpaceDE w:val="0"/>
        <w:autoSpaceDN w:val="0"/>
        <w:bidi w:val="0"/>
        <w:adjustRightInd w:val="0"/>
        <w:snapToGrid w:val="0"/>
        <w:spacing w:line="400" w:lineRule="exact"/>
        <w:ind w:left="1"/>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u w:val="single" w:color="auto"/>
        </w:rPr>
        <w:tab/>
      </w:r>
      <w:r>
        <w:rPr>
          <w:rFonts w:hint="eastAsia" w:ascii="宋体" w:hAnsi="宋体" w:eastAsia="宋体" w:cs="宋体"/>
          <w:color w:val="auto"/>
          <w:spacing w:val="0"/>
          <w:position w:val="0"/>
          <w:sz w:val="21"/>
          <w:szCs w:val="21"/>
          <w:highlight w:val="none"/>
        </w:rPr>
        <w:t xml:space="preserve"> (招标人名称) ：</w:t>
      </w:r>
    </w:p>
    <w:p>
      <w:pPr>
        <w:pStyle w:val="2"/>
        <w:rPr>
          <w:rFonts w:hint="eastAsia"/>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right="82"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1．我方已仔细研究了</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(项目名称)</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标段施工招标文件的全部内容 (含补遗书第___号至第</w:t>
      </w:r>
      <w:r>
        <w:rPr>
          <w:rFonts w:hint="eastAsia" w:ascii="宋体" w:hAnsi="宋体" w:eastAsia="宋体" w:cs="宋体"/>
          <w:color w:val="auto"/>
          <w:spacing w:val="0"/>
          <w:position w:val="0"/>
          <w:sz w:val="21"/>
          <w:szCs w:val="21"/>
          <w:highlight w:val="none"/>
          <w:lang w:val="en-US" w:eastAsia="zh-CN"/>
        </w:rPr>
        <w:t>___</w:t>
      </w:r>
      <w:r>
        <w:rPr>
          <w:rFonts w:hint="eastAsia" w:ascii="宋体" w:hAnsi="宋体" w:eastAsia="宋体" w:cs="宋体"/>
          <w:color w:val="auto"/>
          <w:spacing w:val="0"/>
          <w:position w:val="0"/>
          <w:sz w:val="21"/>
          <w:szCs w:val="21"/>
          <w:highlight w:val="none"/>
        </w:rPr>
        <w:t>号)，愿意以第二个信封 (报价文件)中的投标总报价(或根据招标文件规定修正核实后确定的另一金额)</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按合同约定实施和完成承包工程</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修补工程中的任何缺陷。</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我方承诺在招标文件规定的投标有效期内不撤销投标文件。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34"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3.工程质量达到标段工程交工验收的质量评定：__________ ；标段工程竣工验收的质量评定： </w:t>
      </w:r>
      <w:r>
        <w:rPr>
          <w:rFonts w:hint="eastAsia" w:ascii="宋体" w:hAnsi="宋体" w:eastAsia="宋体" w:cs="宋体"/>
          <w:color w:val="auto"/>
          <w:spacing w:val="0"/>
          <w:position w:val="0"/>
          <w:sz w:val="21"/>
          <w:szCs w:val="21"/>
          <w:highlight w:val="none"/>
          <w:lang w:val="en-US" w:eastAsia="zh-CN"/>
        </w:rPr>
        <w:t>___________</w:t>
      </w:r>
      <w:r>
        <w:rPr>
          <w:rFonts w:hint="eastAsia" w:ascii="宋体" w:hAnsi="宋体" w:eastAsia="宋体" w:cs="宋体"/>
          <w:color w:val="auto"/>
          <w:spacing w:val="0"/>
          <w:position w:val="0"/>
          <w:sz w:val="21"/>
          <w:szCs w:val="21"/>
          <w:highlight w:val="none"/>
        </w:rPr>
        <w:t>。安全目标：____________；工期：______ 日历天；拟委任项目经理：_________； 项目技术负责人： ______________；安全负责人： ___________。</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如我方中标，我方承诺：</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(1)在收到中标通知书后，在中标通知书规定的期限内与你方签订合同；</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(2)在签订合同时不向你方提出条件；</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(3)按照招标文件要求向你方递交履约保证金；</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(4)在合同约定的期限内完成合同规定的全部义务；</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我方在此声明，所递交的投标文件及有关资料内容完整、真实和准确，且不存在招标文件第二章“投标人须知”第1.4.3项和1.4.4项规定的任何一种情形。</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97"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w:t>
      </w:r>
      <w:r>
        <w:rPr>
          <w:rFonts w:hint="eastAsia" w:ascii="宋体" w:hAnsi="宋体" w:eastAsia="宋体" w:cs="宋体"/>
          <w:color w:val="auto"/>
          <w:spacing w:val="0"/>
          <w:position w:val="0"/>
          <w:sz w:val="21"/>
          <w:szCs w:val="21"/>
          <w:highlight w:val="none"/>
          <w:lang w:val="en-US" w:eastAsia="zh-CN"/>
        </w:rPr>
        <w:t>.</w:t>
      </w:r>
      <w:r>
        <w:rPr>
          <w:rFonts w:hint="eastAsia" w:ascii="宋体" w:hAnsi="宋体" w:eastAsia="宋体" w:cs="宋体"/>
          <w:color w:val="auto"/>
          <w:spacing w:val="0"/>
          <w:position w:val="0"/>
          <w:sz w:val="21"/>
          <w:szCs w:val="21"/>
          <w:highlight w:val="none"/>
        </w:rPr>
        <w:t>在合同协议书正式签署生效之前，本投标函连同你方的中标通知书将构成我们双方之间共同 遵守的文件，对双方具有约束力。</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position w:val="0"/>
          <w:sz w:val="21"/>
          <w:szCs w:val="21"/>
          <w:highlight w:val="none"/>
        </w:rPr>
        <w:t>7.</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(其他补充说明)。</w:t>
      </w: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3713" w:firstLine="1"/>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投标人：</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 xml:space="preserve">（盖单位电子公章） </w:t>
      </w: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3713" w:firstLine="1"/>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法定代表人：</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u w:val="none" w:color="auto"/>
          <w:lang w:val="en-US" w:eastAsia="zh-CN"/>
        </w:rPr>
        <w:t>（盖法定代表人电子章）</w:t>
      </w: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3713" w:firstLine="1"/>
        <w:textAlignment w:val="baseline"/>
        <w:rPr>
          <w:rFonts w:hint="eastAsia" w:ascii="宋体" w:hAnsi="宋体" w:eastAsia="宋体" w:cs="宋体"/>
          <w:color w:val="auto"/>
          <w:spacing w:val="0"/>
          <w:sz w:val="21"/>
          <w:szCs w:val="21"/>
          <w:highlight w:val="none"/>
          <w:u w:val="single" w:color="auto"/>
        </w:rPr>
      </w:pPr>
      <w:r>
        <w:rPr>
          <w:rFonts w:hint="eastAsia" w:ascii="宋体" w:hAnsi="宋体" w:eastAsia="宋体" w:cs="宋体"/>
          <w:color w:val="auto"/>
          <w:spacing w:val="0"/>
          <w:sz w:val="21"/>
          <w:szCs w:val="21"/>
          <w:highlight w:val="none"/>
        </w:rPr>
        <w:t>地址：</w:t>
      </w:r>
      <w:r>
        <w:rPr>
          <w:rFonts w:hint="eastAsia" w:ascii="宋体" w:hAnsi="宋体" w:eastAsia="宋体" w:cs="宋体"/>
          <w:color w:val="auto"/>
          <w:spacing w:val="0"/>
          <w:sz w:val="21"/>
          <w:szCs w:val="21"/>
          <w:highlight w:val="none"/>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3713" w:firstLine="1"/>
        <w:textAlignment w:val="baseline"/>
        <w:rPr>
          <w:rFonts w:hint="eastAsia" w:ascii="宋体" w:hAnsi="宋体" w:eastAsia="宋体" w:cs="宋体"/>
          <w:color w:val="auto"/>
          <w:spacing w:val="0"/>
          <w:sz w:val="21"/>
          <w:szCs w:val="21"/>
          <w:highlight w:val="none"/>
          <w:u w:val="single" w:color="auto"/>
        </w:rPr>
      </w:pPr>
      <w:r>
        <w:rPr>
          <w:rFonts w:hint="eastAsia" w:ascii="宋体" w:hAnsi="宋体" w:eastAsia="宋体" w:cs="宋体"/>
          <w:color w:val="auto"/>
          <w:spacing w:val="0"/>
          <w:sz w:val="21"/>
          <w:szCs w:val="21"/>
          <w:highlight w:val="none"/>
        </w:rPr>
        <w:t>网址：</w:t>
      </w:r>
      <w:r>
        <w:rPr>
          <w:rFonts w:hint="eastAsia" w:ascii="宋体" w:hAnsi="宋体" w:eastAsia="宋体" w:cs="宋体"/>
          <w:color w:val="auto"/>
          <w:spacing w:val="0"/>
          <w:sz w:val="21"/>
          <w:szCs w:val="21"/>
          <w:highlight w:val="none"/>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3713" w:firstLine="1"/>
        <w:textAlignment w:val="baseline"/>
        <w:rPr>
          <w:rFonts w:hint="eastAsia" w:ascii="宋体" w:hAnsi="宋体" w:eastAsia="宋体" w:cs="宋体"/>
          <w:color w:val="auto"/>
          <w:spacing w:val="0"/>
          <w:sz w:val="21"/>
          <w:szCs w:val="21"/>
          <w:highlight w:val="none"/>
          <w:u w:val="single" w:color="auto"/>
        </w:rPr>
      </w:pPr>
      <w:r>
        <w:rPr>
          <w:rFonts w:hint="eastAsia" w:ascii="宋体" w:hAnsi="宋体" w:eastAsia="宋体" w:cs="宋体"/>
          <w:color w:val="auto"/>
          <w:spacing w:val="0"/>
          <w:sz w:val="21"/>
          <w:szCs w:val="21"/>
          <w:highlight w:val="none"/>
        </w:rPr>
        <w:t>电话：</w:t>
      </w:r>
      <w:r>
        <w:rPr>
          <w:rFonts w:hint="eastAsia" w:ascii="宋体" w:hAnsi="宋体" w:eastAsia="宋体" w:cs="宋体"/>
          <w:color w:val="auto"/>
          <w:spacing w:val="0"/>
          <w:sz w:val="21"/>
          <w:szCs w:val="21"/>
          <w:highlight w:val="none"/>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3713" w:firstLine="1"/>
        <w:textAlignment w:val="baseline"/>
        <w:rPr>
          <w:rFonts w:hint="eastAsia" w:ascii="宋体" w:hAnsi="宋体" w:eastAsia="宋体" w:cs="宋体"/>
          <w:color w:val="auto"/>
          <w:spacing w:val="0"/>
          <w:sz w:val="21"/>
          <w:szCs w:val="21"/>
          <w:highlight w:val="none"/>
          <w:u w:val="single" w:color="auto"/>
        </w:rPr>
      </w:pPr>
      <w:r>
        <w:rPr>
          <w:rFonts w:hint="eastAsia" w:ascii="宋体" w:hAnsi="宋体" w:eastAsia="宋体" w:cs="宋体"/>
          <w:color w:val="auto"/>
          <w:spacing w:val="0"/>
          <w:sz w:val="21"/>
          <w:szCs w:val="21"/>
          <w:highlight w:val="none"/>
        </w:rPr>
        <w:t>传真：</w:t>
      </w:r>
      <w:r>
        <w:rPr>
          <w:rFonts w:hint="eastAsia" w:ascii="宋体" w:hAnsi="宋体" w:eastAsia="宋体" w:cs="宋体"/>
          <w:color w:val="auto"/>
          <w:spacing w:val="0"/>
          <w:sz w:val="21"/>
          <w:szCs w:val="21"/>
          <w:highlight w:val="none"/>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3713" w:firstLine="1"/>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邮政编码：</w:t>
      </w:r>
      <w:r>
        <w:rPr>
          <w:rFonts w:hint="eastAsia" w:ascii="宋体" w:hAnsi="宋体" w:eastAsia="宋体" w:cs="宋体"/>
          <w:color w:val="auto"/>
          <w:spacing w:val="0"/>
          <w:sz w:val="21"/>
          <w:szCs w:val="21"/>
          <w:highlight w:val="none"/>
          <w:u w:val="single" w:color="auto"/>
        </w:rPr>
        <w:t xml:space="preserve">                                    </w:t>
      </w:r>
    </w:p>
    <w:p>
      <w:pPr>
        <w:keepNext w:val="0"/>
        <w:keepLines w:val="0"/>
        <w:pageBreakBefore w:val="0"/>
        <w:widowControl/>
        <w:tabs>
          <w:tab w:val="left" w:pos="5890"/>
        </w:tabs>
        <w:kinsoku w:val="0"/>
        <w:wordWrap/>
        <w:overflowPunct/>
        <w:topLinePunct w:val="0"/>
        <w:autoSpaceDE w:val="0"/>
        <w:autoSpaceDN w:val="0"/>
        <w:bidi w:val="0"/>
        <w:adjustRightInd w:val="0"/>
        <w:snapToGrid w:val="0"/>
        <w:spacing w:before="161" w:line="400" w:lineRule="exact"/>
        <w:ind w:left="5041"/>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u w:val="single" w:color="auto"/>
        </w:rPr>
        <w:tab/>
      </w:r>
      <w:r>
        <w:rPr>
          <w:rFonts w:hint="eastAsia" w:ascii="宋体" w:hAnsi="宋体" w:eastAsia="宋体" w:cs="宋体"/>
          <w:color w:val="auto"/>
          <w:spacing w:val="0"/>
          <w:sz w:val="21"/>
          <w:szCs w:val="21"/>
          <w:highlight w:val="none"/>
        </w:rPr>
        <w:t>年</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月</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日</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sectPr>
          <w:pgSz w:w="11900" w:h="16840"/>
          <w:pgMar w:top="1160" w:right="1269" w:bottom="1448" w:left="1359" w:header="883" w:footer="1234" w:gutter="0"/>
          <w:pgNumType w:fmt="decimal"/>
          <w:cols w:space="720" w:num="1"/>
        </w:sectPr>
      </w:pPr>
    </w:p>
    <w:p>
      <w:pPr>
        <w:spacing w:before="117" w:line="222" w:lineRule="auto"/>
        <w:jc w:val="center"/>
        <w:outlineLvl w:val="2"/>
        <w:rPr>
          <w:rFonts w:hint="eastAsia" w:ascii="宋体" w:hAnsi="宋体" w:eastAsia="宋体" w:cs="宋体"/>
          <w:color w:val="auto"/>
          <w:spacing w:val="-3"/>
          <w:sz w:val="30"/>
          <w:szCs w:val="30"/>
          <w:highlight w:val="none"/>
        </w:rPr>
      </w:pPr>
      <w:bookmarkStart w:id="728" w:name="_Toc27421"/>
      <w:r>
        <w:rPr>
          <w:rFonts w:hint="eastAsia" w:ascii="宋体" w:hAnsi="宋体" w:eastAsia="宋体" w:cs="宋体"/>
          <w:color w:val="auto"/>
          <w:spacing w:val="-3"/>
          <w:sz w:val="30"/>
          <w:szCs w:val="30"/>
          <w:highlight w:val="none"/>
        </w:rPr>
        <w:t>(二)投标函附录</w:t>
      </w:r>
      <w:bookmarkEnd w:id="728"/>
    </w:p>
    <w:p>
      <w:pPr>
        <w:rPr>
          <w:rFonts w:hint="eastAsia" w:ascii="宋体" w:hAnsi="宋体" w:eastAsia="宋体" w:cs="宋体"/>
          <w:color w:val="auto"/>
          <w:sz w:val="24"/>
          <w:szCs w:val="24"/>
          <w:highlight w:val="none"/>
        </w:rPr>
      </w:pPr>
    </w:p>
    <w:p>
      <w:pPr>
        <w:spacing w:line="82" w:lineRule="exact"/>
        <w:rPr>
          <w:rFonts w:hint="eastAsia" w:ascii="宋体" w:hAnsi="宋体" w:eastAsia="宋体" w:cs="宋体"/>
          <w:color w:val="auto"/>
          <w:sz w:val="24"/>
          <w:szCs w:val="24"/>
          <w:highlight w:val="none"/>
        </w:rPr>
      </w:pPr>
    </w:p>
    <w:tbl>
      <w:tblPr>
        <w:tblStyle w:val="26"/>
        <w:tblW w:w="947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0"/>
        <w:gridCol w:w="2568"/>
        <w:gridCol w:w="1671"/>
        <w:gridCol w:w="3590"/>
        <w:gridCol w:w="91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730" w:type="dxa"/>
            <w:tcBorders>
              <w:left w:val="single" w:color="000000" w:sz="10" w:space="0"/>
              <w:right w:val="single" w:color="000000" w:sz="4" w:space="0"/>
            </w:tcBorders>
            <w:vAlign w:val="top"/>
          </w:tcPr>
          <w:p>
            <w:pPr>
              <w:spacing w:before="187" w:line="230" w:lineRule="auto"/>
              <w:ind w:left="102"/>
              <w:rPr>
                <w:rFonts w:hint="eastAsia" w:ascii="宋体" w:hAnsi="宋体" w:eastAsia="宋体" w:cs="宋体"/>
                <w:b w:val="0"/>
                <w:bCs w:val="0"/>
                <w:color w:val="auto"/>
                <w:sz w:val="24"/>
                <w:szCs w:val="24"/>
                <w:highlight w:val="none"/>
              </w:rPr>
            </w:pPr>
            <w:bookmarkStart w:id="729" w:name="_bookmark204"/>
            <w:bookmarkEnd w:id="729"/>
            <w:r>
              <w:rPr>
                <w:rFonts w:hint="eastAsia" w:ascii="宋体" w:hAnsi="宋体" w:eastAsia="宋体" w:cs="宋体"/>
                <w:b w:val="0"/>
                <w:bCs w:val="0"/>
                <w:color w:val="auto"/>
                <w:spacing w:val="6"/>
                <w:sz w:val="24"/>
                <w:szCs w:val="24"/>
                <w:highlight w:val="none"/>
                <w14:textOutline w14:w="3788" w14:cap="flat" w14:cmpd="sng">
                  <w14:solidFill>
                    <w14:srgbClr w14:val="000000"/>
                  </w14:solidFill>
                  <w14:prstDash w14:val="solid"/>
                  <w14:miter w14:val="0"/>
                </w14:textOutline>
              </w:rPr>
              <w:t>序号</w:t>
            </w:r>
          </w:p>
        </w:tc>
        <w:tc>
          <w:tcPr>
            <w:tcW w:w="2568" w:type="dxa"/>
            <w:tcBorders>
              <w:left w:val="single" w:color="000000" w:sz="4" w:space="0"/>
              <w:right w:val="single" w:color="000000" w:sz="4" w:space="0"/>
            </w:tcBorders>
            <w:vAlign w:val="top"/>
          </w:tcPr>
          <w:p>
            <w:pPr>
              <w:spacing w:before="188" w:line="228" w:lineRule="auto"/>
              <w:ind w:left="9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pacing w:val="8"/>
                <w:sz w:val="24"/>
                <w:szCs w:val="24"/>
                <w:highlight w:val="none"/>
                <w14:textOutline w14:w="3788" w14:cap="flat" w14:cmpd="sng">
                  <w14:solidFill>
                    <w14:srgbClr w14:val="000000"/>
                  </w14:solidFill>
                  <w14:prstDash w14:val="solid"/>
                  <w14:miter w14:val="0"/>
                </w14:textOutline>
              </w:rPr>
              <w:t>条款名称</w:t>
            </w:r>
          </w:p>
        </w:tc>
        <w:tc>
          <w:tcPr>
            <w:tcW w:w="1671" w:type="dxa"/>
            <w:tcBorders>
              <w:left w:val="single" w:color="000000" w:sz="4" w:space="0"/>
              <w:right w:val="single" w:color="000000" w:sz="4" w:space="0"/>
            </w:tcBorders>
            <w:vAlign w:val="top"/>
          </w:tcPr>
          <w:p>
            <w:pPr>
              <w:spacing w:before="188" w:line="228" w:lineRule="auto"/>
              <w:ind w:left="108"/>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pacing w:val="10"/>
                <w:sz w:val="24"/>
                <w:szCs w:val="24"/>
                <w:highlight w:val="none"/>
                <w14:textOutline w14:w="3788" w14:cap="flat" w14:cmpd="sng">
                  <w14:solidFill>
                    <w14:srgbClr w14:val="000000"/>
                  </w14:solidFill>
                  <w14:prstDash w14:val="solid"/>
                  <w14:miter w14:val="0"/>
                </w14:textOutline>
              </w:rPr>
              <w:t>合</w:t>
            </w:r>
            <w:r>
              <w:rPr>
                <w:rFonts w:hint="eastAsia" w:ascii="宋体" w:hAnsi="宋体" w:eastAsia="宋体" w:cs="宋体"/>
                <w:b w:val="0"/>
                <w:bCs w:val="0"/>
                <w:color w:val="auto"/>
                <w:spacing w:val="8"/>
                <w:sz w:val="24"/>
                <w:szCs w:val="24"/>
                <w:highlight w:val="none"/>
                <w14:textOutline w14:w="3788" w14:cap="flat" w14:cmpd="sng">
                  <w14:solidFill>
                    <w14:srgbClr w14:val="000000"/>
                  </w14:solidFill>
                  <w14:prstDash w14:val="solid"/>
                  <w14:miter w14:val="0"/>
                </w14:textOutline>
              </w:rPr>
              <w:t>同条款号</w:t>
            </w:r>
          </w:p>
        </w:tc>
        <w:tc>
          <w:tcPr>
            <w:tcW w:w="3590" w:type="dxa"/>
            <w:tcBorders>
              <w:left w:val="single" w:color="000000" w:sz="4" w:space="0"/>
              <w:right w:val="single" w:color="000000" w:sz="4" w:space="0"/>
            </w:tcBorders>
            <w:vAlign w:val="top"/>
          </w:tcPr>
          <w:p>
            <w:pPr>
              <w:spacing w:before="188" w:line="228" w:lineRule="auto"/>
              <w:ind w:left="114"/>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pacing w:val="8"/>
                <w:sz w:val="24"/>
                <w:szCs w:val="24"/>
                <w:highlight w:val="none"/>
                <w14:textOutline w14:w="3788" w14:cap="flat" w14:cmpd="sng">
                  <w14:solidFill>
                    <w14:srgbClr w14:val="000000"/>
                  </w14:solidFill>
                  <w14:prstDash w14:val="solid"/>
                  <w14:miter w14:val="0"/>
                </w14:textOutline>
              </w:rPr>
              <w:t>约</w:t>
            </w:r>
            <w:r>
              <w:rPr>
                <w:rFonts w:hint="eastAsia" w:ascii="宋体" w:hAnsi="宋体" w:eastAsia="宋体" w:cs="宋体"/>
                <w:b w:val="0"/>
                <w:bCs w:val="0"/>
                <w:color w:val="auto"/>
                <w:spacing w:val="7"/>
                <w:sz w:val="24"/>
                <w:szCs w:val="24"/>
                <w:highlight w:val="none"/>
                <w14:textOutline w14:w="3788" w14:cap="flat" w14:cmpd="sng">
                  <w14:solidFill>
                    <w14:srgbClr w14:val="000000"/>
                  </w14:solidFill>
                  <w14:prstDash w14:val="solid"/>
                  <w14:miter w14:val="0"/>
                </w14:textOutline>
              </w:rPr>
              <w:t>定内容</w:t>
            </w:r>
          </w:p>
        </w:tc>
        <w:tc>
          <w:tcPr>
            <w:tcW w:w="912" w:type="dxa"/>
            <w:tcBorders>
              <w:left w:val="single" w:color="000000" w:sz="4" w:space="0"/>
              <w:right w:val="single" w:color="000000" w:sz="10" w:space="0"/>
            </w:tcBorders>
            <w:vAlign w:val="top"/>
          </w:tcPr>
          <w:p>
            <w:pPr>
              <w:spacing w:before="187" w:line="230" w:lineRule="auto"/>
              <w:ind w:left="122"/>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pacing w:val="5"/>
                <w:sz w:val="24"/>
                <w:szCs w:val="24"/>
                <w:highlight w:val="none"/>
                <w14:textOutline w14:w="3788" w14:cap="flat" w14:cmpd="sng">
                  <w14:solidFill>
                    <w14:srgbClr w14:val="000000"/>
                  </w14:solidFill>
                  <w14:prstDash w14:val="solid"/>
                  <w14:miter w14:val="0"/>
                </w14:textOutline>
              </w:rPr>
              <w:t>备</w:t>
            </w:r>
            <w:r>
              <w:rPr>
                <w:rFonts w:hint="eastAsia" w:ascii="宋体" w:hAnsi="宋体" w:eastAsia="宋体" w:cs="宋体"/>
                <w:b w:val="0"/>
                <w:bCs w:val="0"/>
                <w:color w:val="auto"/>
                <w:spacing w:val="4"/>
                <w:sz w:val="24"/>
                <w:szCs w:val="24"/>
                <w:highlight w:val="none"/>
                <w14:textOutline w14:w="3788" w14:cap="flat" w14:cmpd="sng">
                  <w14:solidFill>
                    <w14:srgbClr w14:val="000000"/>
                  </w14:solidFill>
                  <w14:prstDash w14:val="solid"/>
                  <w14:miter w14:val="0"/>
                </w14:textOutline>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730" w:type="dxa"/>
            <w:tcBorders>
              <w:left w:val="single" w:color="000000" w:sz="10" w:space="0"/>
              <w:right w:val="single" w:color="000000" w:sz="4" w:space="0"/>
            </w:tcBorders>
            <w:vAlign w:val="top"/>
          </w:tcPr>
          <w:p>
            <w:pPr>
              <w:spacing w:before="212" w:line="192" w:lineRule="auto"/>
              <w:ind w:left="11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568" w:type="dxa"/>
            <w:tcBorders>
              <w:left w:val="single" w:color="000000" w:sz="4" w:space="0"/>
              <w:right w:val="single" w:color="000000" w:sz="4" w:space="0"/>
            </w:tcBorders>
            <w:vAlign w:val="top"/>
          </w:tcPr>
          <w:p>
            <w:pPr>
              <w:spacing w:before="166" w:line="226" w:lineRule="auto"/>
              <w:ind w:left="98"/>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缺陷责任期</w:t>
            </w:r>
          </w:p>
        </w:tc>
        <w:tc>
          <w:tcPr>
            <w:tcW w:w="1671" w:type="dxa"/>
            <w:tcBorders>
              <w:left w:val="single" w:color="000000" w:sz="4" w:space="0"/>
              <w:right w:val="single" w:color="000000" w:sz="4" w:space="0"/>
            </w:tcBorders>
            <w:vAlign w:val="top"/>
          </w:tcPr>
          <w:p>
            <w:pPr>
              <w:spacing w:before="212" w:line="192" w:lineRule="auto"/>
              <w:ind w:left="124"/>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1.1.4</w:t>
            </w:r>
            <w:r>
              <w:rPr>
                <w:rFonts w:hint="eastAsia" w:ascii="宋体" w:hAnsi="宋体" w:eastAsia="宋体" w:cs="宋体"/>
                <w:color w:val="auto"/>
                <w:sz w:val="21"/>
                <w:szCs w:val="21"/>
                <w:highlight w:val="none"/>
              </w:rPr>
              <w:t>.5</w:t>
            </w:r>
          </w:p>
        </w:tc>
        <w:tc>
          <w:tcPr>
            <w:tcW w:w="3590" w:type="dxa"/>
            <w:tcBorders>
              <w:left w:val="single" w:color="000000" w:sz="4" w:space="0"/>
              <w:right w:val="single" w:color="000000" w:sz="4" w:space="0"/>
            </w:tcBorders>
            <w:vAlign w:val="top"/>
          </w:tcPr>
          <w:p>
            <w:pPr>
              <w:spacing w:before="166" w:line="221" w:lineRule="auto"/>
              <w:ind w:left="143"/>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自实</w:t>
            </w:r>
            <w:r>
              <w:rPr>
                <w:rFonts w:hint="eastAsia" w:ascii="宋体" w:hAnsi="宋体" w:eastAsia="宋体" w:cs="宋体"/>
                <w:color w:val="auto"/>
                <w:spacing w:val="6"/>
                <w:sz w:val="21"/>
                <w:szCs w:val="21"/>
                <w:highlight w:val="none"/>
              </w:rPr>
              <w:t>际</w:t>
            </w:r>
            <w:r>
              <w:rPr>
                <w:rFonts w:hint="eastAsia" w:ascii="宋体" w:hAnsi="宋体" w:eastAsia="宋体" w:cs="宋体"/>
                <w:color w:val="auto"/>
                <w:spacing w:val="5"/>
                <w:sz w:val="21"/>
                <w:szCs w:val="21"/>
                <w:highlight w:val="none"/>
              </w:rPr>
              <w:t>交工日期起计算____年</w:t>
            </w:r>
          </w:p>
        </w:tc>
        <w:tc>
          <w:tcPr>
            <w:tcW w:w="912"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30" w:type="dxa"/>
            <w:tcBorders>
              <w:left w:val="single" w:color="000000" w:sz="10" w:space="0"/>
              <w:right w:val="single" w:color="000000" w:sz="4" w:space="0"/>
            </w:tcBorders>
            <w:vAlign w:val="top"/>
          </w:tcPr>
          <w:p>
            <w:pPr>
              <w:spacing w:before="215" w:line="192" w:lineRule="auto"/>
              <w:ind w:left="9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568" w:type="dxa"/>
            <w:tcBorders>
              <w:left w:val="single" w:color="000000" w:sz="4" w:space="0"/>
              <w:right w:val="single" w:color="000000" w:sz="4" w:space="0"/>
            </w:tcBorders>
            <w:vAlign w:val="top"/>
          </w:tcPr>
          <w:p>
            <w:pPr>
              <w:spacing w:before="167" w:line="229" w:lineRule="auto"/>
              <w:ind w:left="96"/>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逾期交工违约</w:t>
            </w:r>
            <w:r>
              <w:rPr>
                <w:rFonts w:hint="eastAsia" w:ascii="宋体" w:hAnsi="宋体" w:eastAsia="宋体" w:cs="宋体"/>
                <w:color w:val="auto"/>
                <w:spacing w:val="8"/>
                <w:sz w:val="21"/>
                <w:szCs w:val="21"/>
                <w:highlight w:val="none"/>
              </w:rPr>
              <w:t>金</w:t>
            </w:r>
          </w:p>
        </w:tc>
        <w:tc>
          <w:tcPr>
            <w:tcW w:w="1671" w:type="dxa"/>
            <w:tcBorders>
              <w:left w:val="single" w:color="000000" w:sz="4" w:space="0"/>
              <w:right w:val="single" w:color="000000" w:sz="4" w:space="0"/>
            </w:tcBorders>
            <w:vAlign w:val="top"/>
          </w:tcPr>
          <w:p>
            <w:pPr>
              <w:spacing w:before="145" w:line="275" w:lineRule="exact"/>
              <w:ind w:left="124"/>
              <w:rPr>
                <w:rFonts w:hint="eastAsia" w:ascii="宋体" w:hAnsi="宋体" w:eastAsia="宋体" w:cs="宋体"/>
                <w:color w:val="auto"/>
                <w:sz w:val="21"/>
                <w:szCs w:val="21"/>
                <w:highlight w:val="none"/>
              </w:rPr>
            </w:pPr>
            <w:r>
              <w:rPr>
                <w:rFonts w:hint="eastAsia" w:ascii="宋体" w:hAnsi="宋体" w:eastAsia="宋体" w:cs="宋体"/>
                <w:color w:val="auto"/>
                <w:spacing w:val="-1"/>
                <w:position w:val="1"/>
                <w:sz w:val="21"/>
                <w:szCs w:val="21"/>
                <w:highlight w:val="none"/>
              </w:rPr>
              <w:t>11.</w:t>
            </w:r>
            <w:r>
              <w:rPr>
                <w:rFonts w:hint="eastAsia" w:ascii="宋体" w:hAnsi="宋体" w:eastAsia="宋体" w:cs="宋体"/>
                <w:color w:val="auto"/>
                <w:position w:val="1"/>
                <w:sz w:val="21"/>
                <w:szCs w:val="21"/>
                <w:highlight w:val="none"/>
              </w:rPr>
              <w:t>5(3)</w:t>
            </w:r>
          </w:p>
        </w:tc>
        <w:tc>
          <w:tcPr>
            <w:tcW w:w="3590" w:type="dxa"/>
            <w:tcBorders>
              <w:left w:val="single" w:color="000000" w:sz="4" w:space="0"/>
              <w:right w:val="single" w:color="000000" w:sz="4" w:space="0"/>
            </w:tcBorders>
            <w:vAlign w:val="top"/>
          </w:tcPr>
          <w:p>
            <w:pPr>
              <w:spacing w:before="136" w:line="274" w:lineRule="exact"/>
              <w:ind w:left="100"/>
              <w:rPr>
                <w:rFonts w:hint="eastAsia" w:ascii="宋体" w:hAnsi="宋体" w:eastAsia="宋体" w:cs="宋体"/>
                <w:color w:val="auto"/>
                <w:sz w:val="21"/>
                <w:szCs w:val="21"/>
                <w:highlight w:val="none"/>
              </w:rPr>
            </w:pPr>
            <w:r>
              <w:rPr>
                <w:rFonts w:hint="eastAsia" w:ascii="宋体" w:hAnsi="宋体" w:eastAsia="宋体" w:cs="宋体"/>
                <w:color w:val="auto"/>
                <w:spacing w:val="7"/>
                <w:position w:val="3"/>
                <w:sz w:val="21"/>
                <w:szCs w:val="21"/>
                <w:highlight w:val="none"/>
              </w:rPr>
              <w:t>_</w:t>
            </w:r>
            <w:r>
              <w:rPr>
                <w:rFonts w:hint="eastAsia" w:ascii="宋体" w:hAnsi="宋体" w:eastAsia="宋体" w:cs="宋体"/>
                <w:color w:val="auto"/>
                <w:spacing w:val="6"/>
                <w:position w:val="3"/>
                <w:sz w:val="21"/>
                <w:szCs w:val="21"/>
                <w:highlight w:val="none"/>
              </w:rPr>
              <w:t>___元/天</w:t>
            </w:r>
          </w:p>
        </w:tc>
        <w:tc>
          <w:tcPr>
            <w:tcW w:w="912"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730" w:type="dxa"/>
            <w:tcBorders>
              <w:left w:val="single" w:color="000000" w:sz="10" w:space="0"/>
              <w:right w:val="single" w:color="000000" w:sz="4" w:space="0"/>
            </w:tcBorders>
            <w:vAlign w:val="top"/>
          </w:tcPr>
          <w:p>
            <w:pPr>
              <w:spacing w:before="213" w:line="192" w:lineRule="auto"/>
              <w:ind w:left="10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568" w:type="dxa"/>
            <w:tcBorders>
              <w:left w:val="single" w:color="000000" w:sz="4" w:space="0"/>
              <w:right w:val="single" w:color="000000" w:sz="4" w:space="0"/>
            </w:tcBorders>
            <w:vAlign w:val="top"/>
          </w:tcPr>
          <w:p>
            <w:pPr>
              <w:spacing w:before="167" w:line="227" w:lineRule="auto"/>
              <w:ind w:left="96"/>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逾</w:t>
            </w:r>
            <w:r>
              <w:rPr>
                <w:rFonts w:hint="eastAsia" w:ascii="宋体" w:hAnsi="宋体" w:eastAsia="宋体" w:cs="宋体"/>
                <w:color w:val="auto"/>
                <w:spacing w:val="9"/>
                <w:sz w:val="21"/>
                <w:szCs w:val="21"/>
                <w:highlight w:val="none"/>
              </w:rPr>
              <w:t>期交工违约金限额</w:t>
            </w:r>
          </w:p>
        </w:tc>
        <w:tc>
          <w:tcPr>
            <w:tcW w:w="1671" w:type="dxa"/>
            <w:tcBorders>
              <w:left w:val="single" w:color="000000" w:sz="4" w:space="0"/>
              <w:right w:val="single" w:color="000000" w:sz="4" w:space="0"/>
            </w:tcBorders>
            <w:vAlign w:val="top"/>
          </w:tcPr>
          <w:p>
            <w:pPr>
              <w:spacing w:before="143" w:line="274" w:lineRule="exact"/>
              <w:ind w:left="124"/>
              <w:rPr>
                <w:rFonts w:hint="eastAsia" w:ascii="宋体" w:hAnsi="宋体" w:eastAsia="宋体" w:cs="宋体"/>
                <w:color w:val="auto"/>
                <w:sz w:val="21"/>
                <w:szCs w:val="21"/>
                <w:highlight w:val="none"/>
              </w:rPr>
            </w:pPr>
            <w:r>
              <w:rPr>
                <w:rFonts w:hint="eastAsia" w:ascii="宋体" w:hAnsi="宋体" w:eastAsia="宋体" w:cs="宋体"/>
                <w:color w:val="auto"/>
                <w:spacing w:val="-1"/>
                <w:position w:val="1"/>
                <w:sz w:val="21"/>
                <w:szCs w:val="21"/>
                <w:highlight w:val="none"/>
              </w:rPr>
              <w:t>11.</w:t>
            </w:r>
            <w:r>
              <w:rPr>
                <w:rFonts w:hint="eastAsia" w:ascii="宋体" w:hAnsi="宋体" w:eastAsia="宋体" w:cs="宋体"/>
                <w:color w:val="auto"/>
                <w:position w:val="1"/>
                <w:sz w:val="21"/>
                <w:szCs w:val="21"/>
                <w:highlight w:val="none"/>
              </w:rPr>
              <w:t>5(3)</w:t>
            </w:r>
          </w:p>
        </w:tc>
        <w:tc>
          <w:tcPr>
            <w:tcW w:w="3590" w:type="dxa"/>
            <w:tcBorders>
              <w:left w:val="single" w:color="000000" w:sz="4" w:space="0"/>
              <w:right w:val="single" w:color="000000" w:sz="4" w:space="0"/>
            </w:tcBorders>
            <w:vAlign w:val="top"/>
          </w:tcPr>
          <w:p>
            <w:pPr>
              <w:spacing w:before="136" w:line="274" w:lineRule="exact"/>
              <w:ind w:left="100"/>
              <w:rPr>
                <w:rFonts w:hint="eastAsia" w:ascii="宋体" w:hAnsi="宋体" w:eastAsia="宋体" w:cs="宋体"/>
                <w:color w:val="auto"/>
                <w:sz w:val="21"/>
                <w:szCs w:val="21"/>
                <w:highlight w:val="none"/>
              </w:rPr>
            </w:pPr>
            <w:r>
              <w:rPr>
                <w:rFonts w:hint="eastAsia" w:ascii="宋体" w:hAnsi="宋体" w:eastAsia="宋体" w:cs="宋体"/>
                <w:color w:val="auto"/>
                <w:spacing w:val="8"/>
                <w:position w:val="2"/>
                <w:sz w:val="21"/>
                <w:szCs w:val="21"/>
                <w:highlight w:val="none"/>
              </w:rPr>
              <w:t>____%签约合同</w:t>
            </w:r>
            <w:r>
              <w:rPr>
                <w:rFonts w:hint="eastAsia" w:ascii="宋体" w:hAnsi="宋体" w:eastAsia="宋体" w:cs="宋体"/>
                <w:color w:val="auto"/>
                <w:spacing w:val="6"/>
                <w:position w:val="2"/>
                <w:sz w:val="21"/>
                <w:szCs w:val="21"/>
                <w:highlight w:val="none"/>
              </w:rPr>
              <w:t>价</w:t>
            </w:r>
          </w:p>
        </w:tc>
        <w:tc>
          <w:tcPr>
            <w:tcW w:w="912"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30" w:type="dxa"/>
            <w:tcBorders>
              <w:left w:val="single" w:color="000000" w:sz="10" w:space="0"/>
              <w:right w:val="single" w:color="000000" w:sz="4" w:space="0"/>
            </w:tcBorders>
            <w:vAlign w:val="top"/>
          </w:tcPr>
          <w:p>
            <w:pPr>
              <w:spacing w:before="216" w:line="192" w:lineRule="auto"/>
              <w:ind w:left="98"/>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4</w:t>
            </w:r>
          </w:p>
        </w:tc>
        <w:tc>
          <w:tcPr>
            <w:tcW w:w="2568" w:type="dxa"/>
            <w:tcBorders>
              <w:left w:val="single" w:color="000000" w:sz="4" w:space="0"/>
              <w:right w:val="single" w:color="000000" w:sz="4" w:space="0"/>
            </w:tcBorders>
            <w:vAlign w:val="top"/>
          </w:tcPr>
          <w:p>
            <w:pPr>
              <w:spacing w:before="167" w:line="229" w:lineRule="auto"/>
              <w:ind w:left="99"/>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rPr>
              <w:t>提</w:t>
            </w:r>
            <w:r>
              <w:rPr>
                <w:rFonts w:hint="eastAsia" w:ascii="宋体" w:hAnsi="宋体" w:eastAsia="宋体" w:cs="宋体"/>
                <w:color w:val="auto"/>
                <w:spacing w:val="8"/>
                <w:sz w:val="21"/>
                <w:szCs w:val="21"/>
                <w:highlight w:val="none"/>
              </w:rPr>
              <w:t>前交工的奖金</w:t>
            </w:r>
          </w:p>
        </w:tc>
        <w:tc>
          <w:tcPr>
            <w:tcW w:w="1671" w:type="dxa"/>
            <w:tcBorders>
              <w:left w:val="single" w:color="000000" w:sz="4" w:space="0"/>
              <w:right w:val="single" w:color="000000" w:sz="4" w:space="0"/>
            </w:tcBorders>
            <w:vAlign w:val="top"/>
          </w:tcPr>
          <w:p>
            <w:pPr>
              <w:spacing w:before="216" w:line="192" w:lineRule="auto"/>
              <w:ind w:left="124"/>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1</w:t>
            </w:r>
            <w:r>
              <w:rPr>
                <w:rFonts w:hint="eastAsia" w:ascii="宋体" w:hAnsi="宋体" w:eastAsia="宋体" w:cs="宋体"/>
                <w:color w:val="auto"/>
                <w:spacing w:val="-3"/>
                <w:sz w:val="21"/>
                <w:szCs w:val="21"/>
                <w:highlight w:val="none"/>
              </w:rPr>
              <w:t>1.6</w:t>
            </w:r>
          </w:p>
        </w:tc>
        <w:tc>
          <w:tcPr>
            <w:tcW w:w="3590" w:type="dxa"/>
            <w:tcBorders>
              <w:left w:val="single" w:color="000000" w:sz="4" w:space="0"/>
              <w:right w:val="single" w:color="000000" w:sz="4" w:space="0"/>
            </w:tcBorders>
            <w:vAlign w:val="top"/>
          </w:tcPr>
          <w:p>
            <w:pPr>
              <w:spacing w:before="136" w:line="275" w:lineRule="exact"/>
              <w:ind w:left="100"/>
              <w:rPr>
                <w:rFonts w:hint="eastAsia" w:ascii="宋体" w:hAnsi="宋体" w:eastAsia="宋体" w:cs="宋体"/>
                <w:color w:val="auto"/>
                <w:sz w:val="21"/>
                <w:szCs w:val="21"/>
                <w:highlight w:val="none"/>
              </w:rPr>
            </w:pPr>
            <w:r>
              <w:rPr>
                <w:rFonts w:hint="eastAsia" w:ascii="宋体" w:hAnsi="宋体" w:eastAsia="宋体" w:cs="宋体"/>
                <w:color w:val="auto"/>
                <w:spacing w:val="7"/>
                <w:position w:val="3"/>
                <w:sz w:val="21"/>
                <w:szCs w:val="21"/>
                <w:highlight w:val="none"/>
              </w:rPr>
              <w:t>_</w:t>
            </w:r>
            <w:r>
              <w:rPr>
                <w:rFonts w:hint="eastAsia" w:ascii="宋体" w:hAnsi="宋体" w:eastAsia="宋体" w:cs="宋体"/>
                <w:color w:val="auto"/>
                <w:spacing w:val="6"/>
                <w:position w:val="3"/>
                <w:sz w:val="21"/>
                <w:szCs w:val="21"/>
                <w:highlight w:val="none"/>
              </w:rPr>
              <w:t>___元/天</w:t>
            </w:r>
          </w:p>
        </w:tc>
        <w:tc>
          <w:tcPr>
            <w:tcW w:w="912"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730" w:type="dxa"/>
            <w:tcBorders>
              <w:left w:val="single" w:color="000000" w:sz="10" w:space="0"/>
              <w:right w:val="single" w:color="000000" w:sz="4" w:space="0"/>
            </w:tcBorders>
            <w:vAlign w:val="top"/>
          </w:tcPr>
          <w:p>
            <w:pPr>
              <w:spacing w:before="216" w:line="189" w:lineRule="auto"/>
              <w:ind w:left="10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568" w:type="dxa"/>
            <w:tcBorders>
              <w:left w:val="single" w:color="000000" w:sz="4" w:space="0"/>
              <w:right w:val="single" w:color="000000" w:sz="4" w:space="0"/>
            </w:tcBorders>
            <w:vAlign w:val="top"/>
          </w:tcPr>
          <w:p>
            <w:pPr>
              <w:spacing w:before="167" w:line="227" w:lineRule="auto"/>
              <w:ind w:left="99"/>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提前交工的奖金限</w:t>
            </w:r>
            <w:r>
              <w:rPr>
                <w:rFonts w:hint="eastAsia" w:ascii="宋体" w:hAnsi="宋体" w:eastAsia="宋体" w:cs="宋体"/>
                <w:color w:val="auto"/>
                <w:spacing w:val="7"/>
                <w:sz w:val="21"/>
                <w:szCs w:val="21"/>
                <w:highlight w:val="none"/>
              </w:rPr>
              <w:t>额</w:t>
            </w:r>
          </w:p>
        </w:tc>
        <w:tc>
          <w:tcPr>
            <w:tcW w:w="1671" w:type="dxa"/>
            <w:tcBorders>
              <w:left w:val="single" w:color="000000" w:sz="4" w:space="0"/>
              <w:right w:val="single" w:color="000000" w:sz="4" w:space="0"/>
            </w:tcBorders>
            <w:vAlign w:val="top"/>
          </w:tcPr>
          <w:p>
            <w:pPr>
              <w:spacing w:before="213" w:line="192" w:lineRule="auto"/>
              <w:ind w:left="124"/>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1</w:t>
            </w:r>
            <w:r>
              <w:rPr>
                <w:rFonts w:hint="eastAsia" w:ascii="宋体" w:hAnsi="宋体" w:eastAsia="宋体" w:cs="宋体"/>
                <w:color w:val="auto"/>
                <w:spacing w:val="-3"/>
                <w:sz w:val="21"/>
                <w:szCs w:val="21"/>
                <w:highlight w:val="none"/>
              </w:rPr>
              <w:t>1.6</w:t>
            </w:r>
          </w:p>
        </w:tc>
        <w:tc>
          <w:tcPr>
            <w:tcW w:w="3590" w:type="dxa"/>
            <w:tcBorders>
              <w:left w:val="single" w:color="000000" w:sz="4" w:space="0"/>
              <w:right w:val="single" w:color="000000" w:sz="4" w:space="0"/>
            </w:tcBorders>
            <w:vAlign w:val="top"/>
          </w:tcPr>
          <w:p>
            <w:pPr>
              <w:spacing w:before="136" w:line="275" w:lineRule="exact"/>
              <w:ind w:left="100"/>
              <w:rPr>
                <w:rFonts w:hint="eastAsia" w:ascii="宋体" w:hAnsi="宋体" w:eastAsia="宋体" w:cs="宋体"/>
                <w:color w:val="auto"/>
                <w:sz w:val="21"/>
                <w:szCs w:val="21"/>
                <w:highlight w:val="none"/>
              </w:rPr>
            </w:pPr>
            <w:r>
              <w:rPr>
                <w:rFonts w:hint="eastAsia" w:ascii="宋体" w:hAnsi="宋体" w:eastAsia="宋体" w:cs="宋体"/>
                <w:color w:val="auto"/>
                <w:spacing w:val="8"/>
                <w:position w:val="2"/>
                <w:sz w:val="21"/>
                <w:szCs w:val="21"/>
                <w:highlight w:val="none"/>
              </w:rPr>
              <w:t>____%签约合同</w:t>
            </w:r>
            <w:r>
              <w:rPr>
                <w:rFonts w:hint="eastAsia" w:ascii="宋体" w:hAnsi="宋体" w:eastAsia="宋体" w:cs="宋体"/>
                <w:color w:val="auto"/>
                <w:spacing w:val="6"/>
                <w:position w:val="2"/>
                <w:sz w:val="21"/>
                <w:szCs w:val="21"/>
                <w:highlight w:val="none"/>
              </w:rPr>
              <w:t>价</w:t>
            </w:r>
          </w:p>
        </w:tc>
        <w:tc>
          <w:tcPr>
            <w:tcW w:w="912"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7" w:hRule="atLeast"/>
        </w:trPr>
        <w:tc>
          <w:tcPr>
            <w:tcW w:w="730" w:type="dxa"/>
            <w:tcBorders>
              <w:left w:val="single" w:color="000000" w:sz="10" w:space="0"/>
              <w:right w:val="single" w:color="000000" w:sz="4" w:space="0"/>
            </w:tcBorders>
            <w:vAlign w:val="center"/>
          </w:tcPr>
          <w:p>
            <w:pPr>
              <w:spacing w:before="216" w:line="189" w:lineRule="auto"/>
              <w:ind w:left="10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568" w:type="dxa"/>
            <w:tcBorders>
              <w:left w:val="single" w:color="000000" w:sz="4" w:space="0"/>
              <w:right w:val="single" w:color="000000" w:sz="4" w:space="0"/>
            </w:tcBorders>
            <w:vAlign w:val="center"/>
          </w:tcPr>
          <w:p>
            <w:pPr>
              <w:spacing w:before="216" w:line="189" w:lineRule="auto"/>
              <w:ind w:left="10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价格调整的差额计算</w:t>
            </w:r>
          </w:p>
        </w:tc>
        <w:tc>
          <w:tcPr>
            <w:tcW w:w="1671" w:type="dxa"/>
            <w:tcBorders>
              <w:left w:val="single" w:color="000000" w:sz="4" w:space="0"/>
              <w:right w:val="single" w:color="000000" w:sz="4" w:space="0"/>
            </w:tcBorders>
            <w:vAlign w:val="top"/>
          </w:tcPr>
          <w:p>
            <w:pPr>
              <w:spacing w:line="430" w:lineRule="auto"/>
              <w:rPr>
                <w:rFonts w:hint="eastAsia" w:ascii="宋体" w:hAnsi="宋体" w:eastAsia="宋体" w:cs="宋体"/>
                <w:color w:val="auto"/>
                <w:sz w:val="21"/>
                <w:szCs w:val="21"/>
                <w:highlight w:val="none"/>
              </w:rPr>
            </w:pPr>
          </w:p>
          <w:p>
            <w:pPr>
              <w:spacing w:before="57" w:line="192" w:lineRule="auto"/>
              <w:ind w:left="124"/>
              <w:rPr>
                <w:rFonts w:hint="eastAsia" w:ascii="宋体" w:hAnsi="宋体" w:eastAsia="宋体" w:cs="宋体"/>
                <w:color w:val="auto"/>
                <w:spacing w:val="-2"/>
                <w:sz w:val="21"/>
                <w:szCs w:val="21"/>
                <w:highlight w:val="none"/>
              </w:rPr>
            </w:pPr>
          </w:p>
          <w:p>
            <w:pPr>
              <w:spacing w:before="57" w:line="192" w:lineRule="auto"/>
              <w:ind w:left="124"/>
              <w:rPr>
                <w:rFonts w:hint="eastAsia" w:ascii="宋体" w:hAnsi="宋体" w:eastAsia="宋体" w:cs="宋体"/>
                <w:color w:val="auto"/>
                <w:spacing w:val="-2"/>
                <w:sz w:val="21"/>
                <w:szCs w:val="21"/>
                <w:highlight w:val="none"/>
              </w:rPr>
            </w:pPr>
          </w:p>
          <w:p>
            <w:pPr>
              <w:spacing w:before="57" w:line="192" w:lineRule="auto"/>
              <w:ind w:left="124"/>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16.</w:t>
            </w:r>
            <w:r>
              <w:rPr>
                <w:rFonts w:hint="eastAsia" w:ascii="宋体" w:hAnsi="宋体" w:eastAsia="宋体" w:cs="宋体"/>
                <w:color w:val="auto"/>
                <w:spacing w:val="-1"/>
                <w:sz w:val="21"/>
                <w:szCs w:val="21"/>
                <w:highlight w:val="none"/>
              </w:rPr>
              <w:t>1</w:t>
            </w:r>
          </w:p>
        </w:tc>
        <w:tc>
          <w:tcPr>
            <w:tcW w:w="3590"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firstLine="400" w:firstLineChars="200"/>
              <w:textAlignment w:val="baseline"/>
              <w:rPr>
                <w:rFonts w:hint="eastAsia" w:ascii="宋体" w:hAnsi="宋体" w:eastAsia="宋体" w:cs="宋体"/>
                <w:color w:val="auto"/>
                <w:sz w:val="20"/>
                <w:szCs w:val="20"/>
                <w:highlight w:val="none"/>
                <w:u w:val="wave"/>
              </w:rPr>
            </w:pPr>
            <w:r>
              <w:rPr>
                <w:rFonts w:hint="eastAsia" w:ascii="宋体" w:hAnsi="宋体" w:eastAsia="宋体" w:cs="宋体"/>
                <w:color w:val="auto"/>
                <w:sz w:val="20"/>
                <w:szCs w:val="20"/>
                <w:highlight w:val="none"/>
              </w:rPr>
              <w:t>合同期内调价</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rPr>
              <w:t>因物价波动引起的价格调整按照</w:t>
            </w:r>
            <w:r>
              <w:rPr>
                <w:rFonts w:hint="eastAsia" w:ascii="宋体" w:hAnsi="宋体" w:eastAsia="宋体" w:cs="宋体"/>
                <w:color w:val="auto"/>
                <w:sz w:val="20"/>
                <w:szCs w:val="20"/>
                <w:highlight w:val="none"/>
                <w:u w:val="wave"/>
              </w:rPr>
              <w:t>第16.1项</w:t>
            </w:r>
          </w:p>
          <w:p>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firstLine="400" w:firstLineChars="200"/>
              <w:textAlignment w:val="baseline"/>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u w:val="none"/>
              </w:rPr>
              <w:t>若按第16.1项的约定采用价格调整公式进行调价，</w:t>
            </w:r>
            <w:r>
              <w:rPr>
                <w:rFonts w:hint="eastAsia" w:ascii="宋体" w:hAnsi="宋体" w:eastAsia="宋体" w:cs="宋体"/>
                <w:color w:val="auto"/>
                <w:sz w:val="20"/>
                <w:szCs w:val="20"/>
                <w:highlight w:val="none"/>
                <w:u w:val="none"/>
                <w:lang w:val="en-US" w:eastAsia="zh-CN"/>
              </w:rPr>
              <w:t>进度款不作调整，在工程结算时</w:t>
            </w:r>
            <w:r>
              <w:rPr>
                <w:rFonts w:hint="eastAsia" w:ascii="宋体" w:hAnsi="宋体" w:eastAsia="宋体" w:cs="宋体"/>
                <w:color w:val="auto"/>
                <w:sz w:val="20"/>
                <w:szCs w:val="20"/>
                <w:highlight w:val="none"/>
                <w:u w:val="none"/>
              </w:rPr>
              <w:t>按价格调整公式</w:t>
            </w:r>
            <w:r>
              <w:rPr>
                <w:rFonts w:hint="eastAsia" w:ascii="宋体" w:hAnsi="宋体" w:eastAsia="宋体" w:cs="宋体"/>
                <w:color w:val="auto"/>
                <w:sz w:val="20"/>
                <w:szCs w:val="20"/>
                <w:highlight w:val="none"/>
                <w:u w:val="none"/>
                <w:lang w:val="en-US" w:eastAsia="zh-CN"/>
              </w:rPr>
              <w:t>统一调整。</w:t>
            </w:r>
          </w:p>
          <w:p>
            <w:pPr>
              <w:spacing w:before="32" w:line="303" w:lineRule="auto"/>
              <w:ind w:right="99"/>
              <w:rPr>
                <w:rFonts w:hint="default" w:ascii="宋体" w:hAnsi="宋体" w:eastAsia="宋体" w:cs="宋体"/>
                <w:color w:val="auto"/>
                <w:sz w:val="21"/>
                <w:szCs w:val="21"/>
                <w:highlight w:val="none"/>
                <w:lang w:val="en-US" w:eastAsia="zh-CN"/>
              </w:rPr>
            </w:pPr>
          </w:p>
        </w:tc>
        <w:tc>
          <w:tcPr>
            <w:tcW w:w="912"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730" w:type="dxa"/>
            <w:tcBorders>
              <w:left w:val="single" w:color="000000" w:sz="10" w:space="0"/>
              <w:right w:val="single" w:color="000000" w:sz="4" w:space="0"/>
            </w:tcBorders>
            <w:vAlign w:val="top"/>
          </w:tcPr>
          <w:p>
            <w:pPr>
              <w:spacing w:before="218" w:line="189" w:lineRule="auto"/>
              <w:ind w:left="10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568" w:type="dxa"/>
            <w:tcBorders>
              <w:left w:val="single" w:color="000000" w:sz="4" w:space="0"/>
              <w:right w:val="single" w:color="000000" w:sz="4" w:space="0"/>
            </w:tcBorders>
            <w:vAlign w:val="top"/>
          </w:tcPr>
          <w:p>
            <w:pPr>
              <w:spacing w:before="169" w:line="227" w:lineRule="auto"/>
              <w:ind w:left="99"/>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rPr>
              <w:t>开</w:t>
            </w:r>
            <w:r>
              <w:rPr>
                <w:rFonts w:hint="eastAsia" w:ascii="宋体" w:hAnsi="宋体" w:eastAsia="宋体" w:cs="宋体"/>
                <w:color w:val="auto"/>
                <w:spacing w:val="8"/>
                <w:sz w:val="21"/>
                <w:szCs w:val="21"/>
                <w:highlight w:val="none"/>
              </w:rPr>
              <w:t>工预付款金额</w:t>
            </w:r>
          </w:p>
        </w:tc>
        <w:tc>
          <w:tcPr>
            <w:tcW w:w="1671" w:type="dxa"/>
            <w:tcBorders>
              <w:left w:val="single" w:color="000000" w:sz="4" w:space="0"/>
              <w:right w:val="single" w:color="000000" w:sz="4" w:space="0"/>
            </w:tcBorders>
            <w:vAlign w:val="top"/>
          </w:tcPr>
          <w:p>
            <w:pPr>
              <w:spacing w:before="145" w:line="275" w:lineRule="exact"/>
              <w:ind w:left="124"/>
              <w:rPr>
                <w:rFonts w:hint="eastAsia" w:ascii="宋体" w:hAnsi="宋体" w:eastAsia="宋体" w:cs="宋体"/>
                <w:color w:val="auto"/>
                <w:sz w:val="21"/>
                <w:szCs w:val="21"/>
                <w:highlight w:val="none"/>
              </w:rPr>
            </w:pPr>
            <w:r>
              <w:rPr>
                <w:rFonts w:hint="eastAsia" w:ascii="宋体" w:hAnsi="宋体" w:eastAsia="宋体" w:cs="宋体"/>
                <w:color w:val="auto"/>
                <w:spacing w:val="-6"/>
                <w:position w:val="2"/>
                <w:sz w:val="21"/>
                <w:szCs w:val="21"/>
                <w:highlight w:val="none"/>
              </w:rPr>
              <w:t>1</w:t>
            </w:r>
            <w:r>
              <w:rPr>
                <w:rFonts w:hint="eastAsia" w:ascii="宋体" w:hAnsi="宋体" w:eastAsia="宋体" w:cs="宋体"/>
                <w:color w:val="auto"/>
                <w:spacing w:val="-5"/>
                <w:position w:val="2"/>
                <w:sz w:val="21"/>
                <w:szCs w:val="21"/>
                <w:highlight w:val="none"/>
              </w:rPr>
              <w:t>7</w:t>
            </w:r>
            <w:r>
              <w:rPr>
                <w:rFonts w:hint="eastAsia" w:ascii="宋体" w:hAnsi="宋体" w:eastAsia="宋体" w:cs="宋体"/>
                <w:color w:val="auto"/>
                <w:spacing w:val="-3"/>
                <w:position w:val="2"/>
                <w:sz w:val="21"/>
                <w:szCs w:val="21"/>
                <w:highlight w:val="none"/>
              </w:rPr>
              <w:t>.2.1</w:t>
            </w:r>
          </w:p>
        </w:tc>
        <w:tc>
          <w:tcPr>
            <w:tcW w:w="3590" w:type="dxa"/>
            <w:tcBorders>
              <w:left w:val="single" w:color="000000" w:sz="4" w:space="0"/>
              <w:right w:val="single" w:color="000000" w:sz="4" w:space="0"/>
            </w:tcBorders>
            <w:vAlign w:val="top"/>
          </w:tcPr>
          <w:p>
            <w:pPr>
              <w:spacing w:before="138" w:line="275" w:lineRule="exact"/>
              <w:ind w:left="100"/>
              <w:rPr>
                <w:rFonts w:hint="eastAsia" w:ascii="宋体" w:hAnsi="宋体" w:eastAsia="宋体" w:cs="宋体"/>
                <w:color w:val="auto"/>
                <w:sz w:val="21"/>
                <w:szCs w:val="21"/>
                <w:highlight w:val="none"/>
              </w:rPr>
            </w:pPr>
            <w:r>
              <w:rPr>
                <w:rFonts w:hint="eastAsia" w:ascii="宋体" w:hAnsi="宋体" w:eastAsia="宋体" w:cs="宋体"/>
                <w:color w:val="auto"/>
                <w:spacing w:val="8"/>
                <w:position w:val="2"/>
                <w:sz w:val="21"/>
                <w:szCs w:val="21"/>
                <w:highlight w:val="none"/>
              </w:rPr>
              <w:t>____%签约合同</w:t>
            </w:r>
            <w:r>
              <w:rPr>
                <w:rFonts w:hint="eastAsia" w:ascii="宋体" w:hAnsi="宋体" w:eastAsia="宋体" w:cs="宋体"/>
                <w:color w:val="auto"/>
                <w:spacing w:val="6"/>
                <w:position w:val="2"/>
                <w:sz w:val="21"/>
                <w:szCs w:val="21"/>
                <w:highlight w:val="none"/>
              </w:rPr>
              <w:t>价</w:t>
            </w:r>
          </w:p>
        </w:tc>
        <w:tc>
          <w:tcPr>
            <w:tcW w:w="912"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 w:hRule="atLeast"/>
        </w:trPr>
        <w:tc>
          <w:tcPr>
            <w:tcW w:w="730" w:type="dxa"/>
            <w:tcBorders>
              <w:left w:val="single" w:color="000000" w:sz="10" w:space="0"/>
              <w:right w:val="single" w:color="000000" w:sz="4" w:space="0"/>
            </w:tcBorders>
            <w:vAlign w:val="top"/>
          </w:tcPr>
          <w:p>
            <w:pPr>
              <w:spacing w:before="285" w:line="192" w:lineRule="auto"/>
              <w:ind w:left="10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2568" w:type="dxa"/>
            <w:tcBorders>
              <w:left w:val="single" w:color="000000" w:sz="4" w:space="0"/>
              <w:right w:val="single" w:color="000000" w:sz="4" w:space="0"/>
            </w:tcBorders>
            <w:vAlign w:val="top"/>
          </w:tcPr>
          <w:p>
            <w:pPr>
              <w:spacing w:before="239" w:line="228" w:lineRule="auto"/>
              <w:ind w:left="98"/>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材料、设备预付款比</w:t>
            </w:r>
            <w:r>
              <w:rPr>
                <w:rFonts w:hint="eastAsia" w:ascii="宋体" w:hAnsi="宋体" w:eastAsia="宋体" w:cs="宋体"/>
                <w:color w:val="auto"/>
                <w:spacing w:val="8"/>
                <w:sz w:val="21"/>
                <w:szCs w:val="21"/>
                <w:highlight w:val="none"/>
              </w:rPr>
              <w:t>例</w:t>
            </w:r>
          </w:p>
        </w:tc>
        <w:tc>
          <w:tcPr>
            <w:tcW w:w="1671" w:type="dxa"/>
            <w:tcBorders>
              <w:left w:val="single" w:color="000000" w:sz="4" w:space="0"/>
              <w:right w:val="single" w:color="000000" w:sz="4" w:space="0"/>
            </w:tcBorders>
            <w:vAlign w:val="top"/>
          </w:tcPr>
          <w:p>
            <w:pPr>
              <w:spacing w:before="216" w:line="274" w:lineRule="exact"/>
              <w:ind w:left="124"/>
              <w:rPr>
                <w:rFonts w:hint="eastAsia" w:ascii="宋体" w:hAnsi="宋体" w:eastAsia="宋体" w:cs="宋体"/>
                <w:color w:val="auto"/>
                <w:sz w:val="21"/>
                <w:szCs w:val="21"/>
                <w:highlight w:val="none"/>
              </w:rPr>
            </w:pPr>
            <w:r>
              <w:rPr>
                <w:rFonts w:hint="eastAsia" w:ascii="宋体" w:hAnsi="宋体" w:eastAsia="宋体" w:cs="宋体"/>
                <w:color w:val="auto"/>
                <w:spacing w:val="-6"/>
                <w:position w:val="2"/>
                <w:sz w:val="21"/>
                <w:szCs w:val="21"/>
                <w:highlight w:val="none"/>
              </w:rPr>
              <w:t>1</w:t>
            </w:r>
            <w:r>
              <w:rPr>
                <w:rFonts w:hint="eastAsia" w:ascii="宋体" w:hAnsi="宋体" w:eastAsia="宋体" w:cs="宋体"/>
                <w:color w:val="auto"/>
                <w:spacing w:val="-5"/>
                <w:position w:val="2"/>
                <w:sz w:val="21"/>
                <w:szCs w:val="21"/>
                <w:highlight w:val="none"/>
              </w:rPr>
              <w:t>7</w:t>
            </w:r>
            <w:r>
              <w:rPr>
                <w:rFonts w:hint="eastAsia" w:ascii="宋体" w:hAnsi="宋体" w:eastAsia="宋体" w:cs="宋体"/>
                <w:color w:val="auto"/>
                <w:spacing w:val="-3"/>
                <w:position w:val="2"/>
                <w:sz w:val="21"/>
                <w:szCs w:val="21"/>
                <w:highlight w:val="none"/>
              </w:rPr>
              <w:t>.2.1</w:t>
            </w:r>
          </w:p>
        </w:tc>
        <w:tc>
          <w:tcPr>
            <w:tcW w:w="3590" w:type="dxa"/>
            <w:tcBorders>
              <w:left w:val="single" w:color="000000" w:sz="4" w:space="0"/>
              <w:right w:val="single" w:color="000000" w:sz="4" w:space="0"/>
            </w:tcBorders>
            <w:vAlign w:val="top"/>
          </w:tcPr>
          <w:p>
            <w:pPr>
              <w:spacing w:before="138" w:line="275" w:lineRule="exact"/>
              <w:rPr>
                <w:rFonts w:hint="default" w:ascii="宋体" w:hAnsi="宋体" w:eastAsia="宋体" w:cs="宋体"/>
                <w:color w:val="auto"/>
                <w:sz w:val="21"/>
                <w:szCs w:val="21"/>
                <w:highlight w:val="none"/>
                <w:lang w:val="en-US"/>
              </w:rPr>
            </w:pPr>
            <w:r>
              <w:rPr>
                <w:rFonts w:hint="eastAsia" w:ascii="宋体" w:hAnsi="宋体" w:eastAsia="宋体" w:cs="宋体"/>
                <w:color w:val="auto"/>
                <w:spacing w:val="8"/>
                <w:position w:val="2"/>
                <w:sz w:val="21"/>
                <w:szCs w:val="21"/>
                <w:highlight w:val="none"/>
                <w:u w:val="single"/>
                <w:lang w:val="en-US" w:eastAsia="zh-CN"/>
              </w:rPr>
              <w:t xml:space="preserve">   </w:t>
            </w:r>
            <w:r>
              <w:rPr>
                <w:rFonts w:hint="eastAsia" w:ascii="宋体" w:hAnsi="宋体" w:eastAsia="宋体" w:cs="宋体"/>
                <w:color w:val="auto"/>
                <w:spacing w:val="8"/>
                <w:position w:val="2"/>
                <w:sz w:val="21"/>
                <w:szCs w:val="21"/>
                <w:highlight w:val="none"/>
                <w:lang w:val="en-US" w:eastAsia="zh-CN"/>
              </w:rPr>
              <w:t>等主要材料、设备单据所列费用的</w:t>
            </w:r>
            <w:r>
              <w:rPr>
                <w:rFonts w:hint="eastAsia" w:ascii="宋体" w:hAnsi="宋体" w:eastAsia="宋体" w:cs="宋体"/>
                <w:color w:val="auto"/>
                <w:spacing w:val="8"/>
                <w:position w:val="2"/>
                <w:sz w:val="21"/>
                <w:szCs w:val="21"/>
                <w:highlight w:val="none"/>
                <w:u w:val="single"/>
                <w:lang w:val="en-US" w:eastAsia="zh-CN"/>
              </w:rPr>
              <w:t xml:space="preserve">     </w:t>
            </w:r>
            <w:r>
              <w:rPr>
                <w:rFonts w:hint="eastAsia" w:ascii="宋体" w:hAnsi="宋体" w:eastAsia="宋体" w:cs="宋体"/>
                <w:color w:val="auto"/>
                <w:spacing w:val="8"/>
                <w:position w:val="2"/>
                <w:sz w:val="21"/>
                <w:szCs w:val="21"/>
                <w:highlight w:val="none"/>
                <w:lang w:val="en-US" w:eastAsia="zh-CN"/>
              </w:rPr>
              <w:t>%</w:t>
            </w:r>
          </w:p>
        </w:tc>
        <w:tc>
          <w:tcPr>
            <w:tcW w:w="912"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730" w:type="dxa"/>
            <w:tcBorders>
              <w:left w:val="single" w:color="000000" w:sz="10" w:space="0"/>
              <w:right w:val="single" w:color="000000" w:sz="4" w:space="0"/>
            </w:tcBorders>
            <w:vAlign w:val="top"/>
          </w:tcPr>
          <w:p>
            <w:pPr>
              <w:spacing w:before="216" w:line="192" w:lineRule="auto"/>
              <w:ind w:left="10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2568" w:type="dxa"/>
            <w:tcBorders>
              <w:left w:val="single" w:color="000000" w:sz="4" w:space="0"/>
              <w:right w:val="single" w:color="000000" w:sz="4" w:space="0"/>
            </w:tcBorders>
            <w:vAlign w:val="top"/>
          </w:tcPr>
          <w:p>
            <w:pPr>
              <w:spacing w:before="171" w:line="227" w:lineRule="auto"/>
              <w:ind w:left="96"/>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进</w:t>
            </w:r>
            <w:r>
              <w:rPr>
                <w:rFonts w:hint="eastAsia" w:ascii="宋体" w:hAnsi="宋体" w:eastAsia="宋体" w:cs="宋体"/>
                <w:color w:val="auto"/>
                <w:spacing w:val="9"/>
                <w:sz w:val="21"/>
                <w:szCs w:val="21"/>
                <w:highlight w:val="none"/>
              </w:rPr>
              <w:t>度付款证书最低限额</w:t>
            </w:r>
          </w:p>
        </w:tc>
        <w:tc>
          <w:tcPr>
            <w:tcW w:w="1671" w:type="dxa"/>
            <w:tcBorders>
              <w:left w:val="single" w:color="000000" w:sz="4" w:space="0"/>
              <w:right w:val="single" w:color="000000" w:sz="4" w:space="0"/>
            </w:tcBorders>
            <w:vAlign w:val="top"/>
          </w:tcPr>
          <w:p>
            <w:pPr>
              <w:spacing w:before="147" w:line="274" w:lineRule="exact"/>
              <w:ind w:left="124"/>
              <w:rPr>
                <w:rFonts w:hint="eastAsia" w:ascii="宋体" w:hAnsi="宋体" w:eastAsia="宋体" w:cs="宋体"/>
                <w:color w:val="auto"/>
                <w:sz w:val="21"/>
                <w:szCs w:val="21"/>
                <w:highlight w:val="none"/>
              </w:rPr>
            </w:pPr>
            <w:r>
              <w:rPr>
                <w:rFonts w:hint="eastAsia" w:ascii="宋体" w:hAnsi="宋体" w:eastAsia="宋体" w:cs="宋体"/>
                <w:color w:val="auto"/>
                <w:spacing w:val="2"/>
                <w:position w:val="2"/>
                <w:sz w:val="21"/>
                <w:szCs w:val="21"/>
                <w:highlight w:val="none"/>
              </w:rPr>
              <w:t>17.3.3</w:t>
            </w:r>
            <w:r>
              <w:rPr>
                <w:rFonts w:hint="eastAsia" w:ascii="宋体" w:hAnsi="宋体" w:eastAsia="宋体" w:cs="宋体"/>
                <w:color w:val="auto"/>
                <w:spacing w:val="1"/>
                <w:position w:val="2"/>
                <w:sz w:val="21"/>
                <w:szCs w:val="21"/>
                <w:highlight w:val="none"/>
              </w:rPr>
              <w:t>(1)</w:t>
            </w:r>
          </w:p>
        </w:tc>
        <w:tc>
          <w:tcPr>
            <w:tcW w:w="3590" w:type="dxa"/>
            <w:tcBorders>
              <w:left w:val="single" w:color="000000" w:sz="4" w:space="0"/>
              <w:right w:val="single" w:color="000000" w:sz="4" w:space="0"/>
            </w:tcBorders>
            <w:vAlign w:val="top"/>
          </w:tcPr>
          <w:p>
            <w:pPr>
              <w:spacing w:before="140" w:line="267" w:lineRule="auto"/>
              <w:ind w:left="100"/>
              <w:rPr>
                <w:rFonts w:hint="eastAsia" w:ascii="宋体" w:hAnsi="宋体" w:eastAsia="宋体" w:cs="宋体"/>
                <w:color w:val="auto"/>
                <w:sz w:val="21"/>
                <w:szCs w:val="21"/>
                <w:highlight w:val="none"/>
              </w:rPr>
            </w:pPr>
            <w:r>
              <w:rPr>
                <w:rFonts w:hint="eastAsia" w:ascii="宋体" w:hAnsi="宋体" w:eastAsia="宋体" w:cs="宋体"/>
                <w:color w:val="auto"/>
                <w:spacing w:val="14"/>
                <w:sz w:val="21"/>
                <w:szCs w:val="21"/>
                <w:highlight w:val="none"/>
              </w:rPr>
              <w:t>_</w:t>
            </w:r>
            <w:r>
              <w:rPr>
                <w:rFonts w:hint="eastAsia" w:ascii="宋体" w:hAnsi="宋体" w:eastAsia="宋体" w:cs="宋体"/>
                <w:color w:val="auto"/>
                <w:spacing w:val="8"/>
                <w:sz w:val="21"/>
                <w:szCs w:val="21"/>
                <w:highlight w:val="none"/>
              </w:rPr>
              <w:t>_</w:t>
            </w:r>
            <w:r>
              <w:rPr>
                <w:rFonts w:hint="eastAsia" w:ascii="宋体" w:hAnsi="宋体" w:eastAsia="宋体" w:cs="宋体"/>
                <w:color w:val="auto"/>
                <w:spacing w:val="7"/>
                <w:sz w:val="21"/>
                <w:szCs w:val="21"/>
                <w:highlight w:val="none"/>
              </w:rPr>
              <w:t>__%签约合同价或</w:t>
            </w:r>
            <w:r>
              <w:rPr>
                <w:rFonts w:hint="eastAsia" w:ascii="宋体" w:hAnsi="宋体" w:eastAsia="宋体" w:cs="宋体"/>
                <w:color w:val="auto"/>
                <w:spacing w:val="7"/>
                <w:sz w:val="21"/>
                <w:szCs w:val="21"/>
                <w:highlight w:val="none"/>
                <w:u w:val="single" w:color="auto"/>
              </w:rPr>
              <w:t xml:space="preserve">    </w:t>
            </w:r>
            <w:r>
              <w:rPr>
                <w:rFonts w:hint="eastAsia" w:ascii="宋体" w:hAnsi="宋体" w:eastAsia="宋体" w:cs="宋体"/>
                <w:color w:val="auto"/>
                <w:spacing w:val="7"/>
                <w:sz w:val="21"/>
                <w:szCs w:val="21"/>
                <w:highlight w:val="none"/>
              </w:rPr>
              <w:t>万元</w:t>
            </w:r>
          </w:p>
        </w:tc>
        <w:tc>
          <w:tcPr>
            <w:tcW w:w="912"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30" w:type="dxa"/>
            <w:tcBorders>
              <w:left w:val="single" w:color="000000" w:sz="10" w:space="0"/>
              <w:right w:val="single" w:color="000000" w:sz="4" w:space="0"/>
            </w:tcBorders>
            <w:vAlign w:val="center"/>
          </w:tcPr>
          <w:p>
            <w:pPr>
              <w:spacing w:before="216" w:line="192"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2568" w:type="dxa"/>
            <w:tcBorders>
              <w:left w:val="single" w:color="000000" w:sz="4" w:space="0"/>
              <w:right w:val="single" w:color="000000" w:sz="4" w:space="0"/>
            </w:tcBorders>
            <w:vAlign w:val="center"/>
          </w:tcPr>
          <w:p>
            <w:pPr>
              <w:spacing w:before="216" w:line="192" w:lineRule="auto"/>
              <w:ind w:left="103"/>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逾期付款违约金的利率</w:t>
            </w:r>
          </w:p>
        </w:tc>
        <w:tc>
          <w:tcPr>
            <w:tcW w:w="1671" w:type="dxa"/>
            <w:tcBorders>
              <w:left w:val="single" w:color="000000" w:sz="4" w:space="0"/>
              <w:right w:val="single" w:color="000000" w:sz="4" w:space="0"/>
            </w:tcBorders>
            <w:vAlign w:val="top"/>
          </w:tcPr>
          <w:p>
            <w:pPr>
              <w:spacing w:before="150" w:line="274" w:lineRule="exact"/>
              <w:ind w:left="124"/>
              <w:rPr>
                <w:rFonts w:hint="eastAsia" w:ascii="宋体" w:hAnsi="宋体" w:eastAsia="宋体" w:cs="宋体"/>
                <w:color w:val="auto"/>
                <w:spacing w:val="2"/>
                <w:position w:val="2"/>
                <w:sz w:val="21"/>
                <w:szCs w:val="21"/>
                <w:highlight w:val="none"/>
              </w:rPr>
            </w:pPr>
          </w:p>
          <w:p>
            <w:pPr>
              <w:spacing w:before="150" w:line="274" w:lineRule="exact"/>
              <w:ind w:left="124"/>
              <w:rPr>
                <w:rFonts w:hint="eastAsia" w:ascii="宋体" w:hAnsi="宋体" w:eastAsia="宋体" w:cs="宋体"/>
                <w:color w:val="auto"/>
                <w:sz w:val="21"/>
                <w:szCs w:val="21"/>
                <w:highlight w:val="none"/>
              </w:rPr>
            </w:pPr>
            <w:r>
              <w:rPr>
                <w:rFonts w:hint="eastAsia" w:ascii="宋体" w:hAnsi="宋体" w:eastAsia="宋体" w:cs="宋体"/>
                <w:color w:val="auto"/>
                <w:spacing w:val="2"/>
                <w:position w:val="2"/>
                <w:sz w:val="21"/>
                <w:szCs w:val="21"/>
                <w:highlight w:val="none"/>
              </w:rPr>
              <w:t>17.3.3</w:t>
            </w:r>
            <w:r>
              <w:rPr>
                <w:rFonts w:hint="eastAsia" w:ascii="宋体" w:hAnsi="宋体" w:eastAsia="宋体" w:cs="宋体"/>
                <w:color w:val="auto"/>
                <w:spacing w:val="1"/>
                <w:position w:val="2"/>
                <w:sz w:val="21"/>
                <w:szCs w:val="21"/>
                <w:highlight w:val="none"/>
              </w:rPr>
              <w:t>(2)</w:t>
            </w:r>
          </w:p>
        </w:tc>
        <w:tc>
          <w:tcPr>
            <w:tcW w:w="3590"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60" w:lineRule="exact"/>
              <w:ind w:left="102"/>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逾期付款违约金的利率：按全国银行 </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102"/>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间同业拆借中心发布的贷款市场报价 </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102"/>
              <w:textAlignment w:val="baseline"/>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利率（LPR）（1年期）加手续费(不计复利）</w:t>
            </w:r>
          </w:p>
        </w:tc>
        <w:tc>
          <w:tcPr>
            <w:tcW w:w="912"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30" w:type="dxa"/>
            <w:tcBorders>
              <w:left w:val="single" w:color="000000" w:sz="10" w:space="0"/>
              <w:right w:val="single" w:color="000000" w:sz="4" w:space="0"/>
            </w:tcBorders>
            <w:vAlign w:val="top"/>
          </w:tcPr>
          <w:p>
            <w:pPr>
              <w:spacing w:before="217" w:line="192" w:lineRule="auto"/>
              <w:ind w:left="119"/>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11</w:t>
            </w:r>
          </w:p>
        </w:tc>
        <w:tc>
          <w:tcPr>
            <w:tcW w:w="2568" w:type="dxa"/>
            <w:tcBorders>
              <w:left w:val="single" w:color="000000" w:sz="4" w:space="0"/>
              <w:right w:val="single" w:color="000000" w:sz="4" w:space="0"/>
            </w:tcBorders>
            <w:vAlign w:val="top"/>
          </w:tcPr>
          <w:p>
            <w:pPr>
              <w:spacing w:before="171" w:line="227" w:lineRule="auto"/>
              <w:ind w:left="99"/>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rPr>
              <w:t>质</w:t>
            </w:r>
            <w:r>
              <w:rPr>
                <w:rFonts w:hint="eastAsia" w:ascii="宋体" w:hAnsi="宋体" w:eastAsia="宋体" w:cs="宋体"/>
                <w:color w:val="auto"/>
                <w:spacing w:val="8"/>
                <w:sz w:val="21"/>
                <w:szCs w:val="21"/>
                <w:highlight w:val="none"/>
              </w:rPr>
              <w:t>量保证金金额</w:t>
            </w:r>
          </w:p>
        </w:tc>
        <w:tc>
          <w:tcPr>
            <w:tcW w:w="1671" w:type="dxa"/>
            <w:tcBorders>
              <w:left w:val="single" w:color="000000" w:sz="4" w:space="0"/>
              <w:right w:val="single" w:color="000000" w:sz="4" w:space="0"/>
            </w:tcBorders>
            <w:vAlign w:val="top"/>
          </w:tcPr>
          <w:p>
            <w:pPr>
              <w:spacing w:before="217" w:line="192" w:lineRule="auto"/>
              <w:ind w:left="124"/>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w:t>
            </w:r>
            <w:r>
              <w:rPr>
                <w:rFonts w:hint="eastAsia" w:ascii="宋体" w:hAnsi="宋体" w:eastAsia="宋体" w:cs="宋体"/>
                <w:color w:val="auto"/>
                <w:sz w:val="21"/>
                <w:szCs w:val="21"/>
                <w:highlight w:val="none"/>
              </w:rPr>
              <w:t>7.4.1</w:t>
            </w:r>
          </w:p>
        </w:tc>
        <w:tc>
          <w:tcPr>
            <w:tcW w:w="3590" w:type="dxa"/>
            <w:tcBorders>
              <w:left w:val="single" w:color="000000" w:sz="4" w:space="0"/>
              <w:right w:val="single" w:color="000000" w:sz="4" w:space="0"/>
            </w:tcBorders>
            <w:vAlign w:val="top"/>
          </w:tcPr>
          <w:p>
            <w:pPr>
              <w:spacing w:before="140" w:line="287" w:lineRule="auto"/>
              <w:ind w:left="125"/>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u w:val="single" w:color="auto"/>
              </w:rPr>
              <w:t>1</w:t>
            </w:r>
            <w:r>
              <w:rPr>
                <w:rFonts w:hint="eastAsia" w:ascii="宋体" w:hAnsi="宋体" w:eastAsia="宋体" w:cs="宋体"/>
                <w:color w:val="auto"/>
                <w:spacing w:val="4"/>
                <w:sz w:val="21"/>
                <w:szCs w:val="21"/>
                <w:highlight w:val="none"/>
                <w:u w:val="single" w:color="auto"/>
              </w:rPr>
              <w:t>.5</w:t>
            </w:r>
            <w:r>
              <w:rPr>
                <w:rFonts w:hint="eastAsia" w:ascii="宋体" w:hAnsi="宋体" w:eastAsia="宋体" w:cs="宋体"/>
                <w:color w:val="auto"/>
                <w:spacing w:val="4"/>
                <w:sz w:val="21"/>
                <w:szCs w:val="21"/>
                <w:highlight w:val="none"/>
              </w:rPr>
              <w:t>%合同价格</w:t>
            </w:r>
          </w:p>
        </w:tc>
        <w:tc>
          <w:tcPr>
            <w:tcW w:w="912"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730" w:type="dxa"/>
            <w:tcBorders>
              <w:left w:val="single" w:color="000000" w:sz="10" w:space="0"/>
              <w:right w:val="single" w:color="000000" w:sz="4" w:space="0"/>
            </w:tcBorders>
            <w:vAlign w:val="top"/>
          </w:tcPr>
          <w:p>
            <w:pPr>
              <w:spacing w:before="217" w:line="192" w:lineRule="auto"/>
              <w:ind w:left="119"/>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1</w:t>
            </w:r>
            <w:r>
              <w:rPr>
                <w:rFonts w:hint="eastAsia" w:ascii="宋体" w:hAnsi="宋体" w:eastAsia="宋体" w:cs="宋体"/>
                <w:color w:val="auto"/>
                <w:spacing w:val="-3"/>
                <w:sz w:val="21"/>
                <w:szCs w:val="21"/>
                <w:highlight w:val="none"/>
              </w:rPr>
              <w:t>2</w:t>
            </w:r>
          </w:p>
        </w:tc>
        <w:tc>
          <w:tcPr>
            <w:tcW w:w="2568" w:type="dxa"/>
            <w:tcBorders>
              <w:left w:val="single" w:color="000000" w:sz="4" w:space="0"/>
              <w:right w:val="single" w:color="000000" w:sz="4" w:space="0"/>
            </w:tcBorders>
            <w:vAlign w:val="top"/>
          </w:tcPr>
          <w:p>
            <w:pPr>
              <w:spacing w:before="172" w:line="228" w:lineRule="auto"/>
              <w:ind w:left="99"/>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保</w:t>
            </w:r>
            <w:r>
              <w:rPr>
                <w:rFonts w:hint="eastAsia" w:ascii="宋体" w:hAnsi="宋体" w:eastAsia="宋体" w:cs="宋体"/>
                <w:color w:val="auto"/>
                <w:spacing w:val="6"/>
                <w:sz w:val="21"/>
                <w:szCs w:val="21"/>
                <w:highlight w:val="none"/>
              </w:rPr>
              <w:t>修期</w:t>
            </w:r>
          </w:p>
        </w:tc>
        <w:tc>
          <w:tcPr>
            <w:tcW w:w="1671" w:type="dxa"/>
            <w:tcBorders>
              <w:left w:val="single" w:color="000000" w:sz="4" w:space="0"/>
              <w:right w:val="single" w:color="000000" w:sz="4" w:space="0"/>
            </w:tcBorders>
            <w:vAlign w:val="top"/>
          </w:tcPr>
          <w:p>
            <w:pPr>
              <w:spacing w:before="147" w:line="275" w:lineRule="exact"/>
              <w:ind w:left="124"/>
              <w:rPr>
                <w:rFonts w:hint="eastAsia" w:ascii="宋体" w:hAnsi="宋体" w:eastAsia="宋体" w:cs="宋体"/>
                <w:color w:val="auto"/>
                <w:sz w:val="21"/>
                <w:szCs w:val="21"/>
                <w:highlight w:val="none"/>
              </w:rPr>
            </w:pPr>
            <w:r>
              <w:rPr>
                <w:rFonts w:hint="eastAsia" w:ascii="宋体" w:hAnsi="宋体" w:eastAsia="宋体" w:cs="宋体"/>
                <w:color w:val="auto"/>
                <w:spacing w:val="2"/>
                <w:position w:val="2"/>
                <w:sz w:val="21"/>
                <w:szCs w:val="21"/>
                <w:highlight w:val="none"/>
              </w:rPr>
              <w:t>19</w:t>
            </w:r>
            <w:r>
              <w:rPr>
                <w:rFonts w:hint="eastAsia" w:ascii="宋体" w:hAnsi="宋体" w:eastAsia="宋体" w:cs="宋体"/>
                <w:color w:val="auto"/>
                <w:spacing w:val="1"/>
                <w:position w:val="2"/>
                <w:sz w:val="21"/>
                <w:szCs w:val="21"/>
                <w:highlight w:val="none"/>
              </w:rPr>
              <w:t>.7(1)</w:t>
            </w:r>
          </w:p>
        </w:tc>
        <w:tc>
          <w:tcPr>
            <w:tcW w:w="3590" w:type="dxa"/>
            <w:tcBorders>
              <w:left w:val="single" w:color="000000" w:sz="4" w:space="0"/>
              <w:right w:val="single" w:color="000000" w:sz="4" w:space="0"/>
            </w:tcBorders>
            <w:vAlign w:val="top"/>
          </w:tcPr>
          <w:p>
            <w:pPr>
              <w:spacing w:before="171" w:line="221" w:lineRule="auto"/>
              <w:ind w:left="143"/>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自实</w:t>
            </w:r>
            <w:r>
              <w:rPr>
                <w:rFonts w:hint="eastAsia" w:ascii="宋体" w:hAnsi="宋体" w:eastAsia="宋体" w:cs="宋体"/>
                <w:color w:val="auto"/>
                <w:spacing w:val="6"/>
                <w:sz w:val="21"/>
                <w:szCs w:val="21"/>
                <w:highlight w:val="none"/>
              </w:rPr>
              <w:t>际</w:t>
            </w:r>
            <w:r>
              <w:rPr>
                <w:rFonts w:hint="eastAsia" w:ascii="宋体" w:hAnsi="宋体" w:eastAsia="宋体" w:cs="宋体"/>
                <w:color w:val="auto"/>
                <w:spacing w:val="5"/>
                <w:sz w:val="21"/>
                <w:szCs w:val="21"/>
                <w:highlight w:val="none"/>
              </w:rPr>
              <w:t>交工日期起计算____年</w:t>
            </w:r>
          </w:p>
        </w:tc>
        <w:tc>
          <w:tcPr>
            <w:tcW w:w="912"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bl>
    <w:p>
      <w:pPr>
        <w:spacing w:line="307" w:lineRule="auto"/>
        <w:rPr>
          <w:rFonts w:hint="eastAsia" w:ascii="宋体" w:hAnsi="宋体" w:eastAsia="宋体" w:cs="宋体"/>
          <w:color w:val="auto"/>
          <w:sz w:val="21"/>
          <w:szCs w:val="21"/>
          <w:highlight w:val="none"/>
        </w:rPr>
      </w:pPr>
    </w:p>
    <w:p>
      <w:pPr>
        <w:spacing w:before="65" w:line="228" w:lineRule="auto"/>
        <w:ind w:right="231"/>
        <w:jc w:val="right"/>
        <w:rPr>
          <w:rFonts w:hint="eastAsia" w:ascii="宋体" w:hAnsi="宋体" w:eastAsia="宋体" w:cs="宋体"/>
          <w:color w:val="auto"/>
          <w:spacing w:val="-2"/>
          <w:sz w:val="21"/>
          <w:szCs w:val="21"/>
          <w:highlight w:val="none"/>
        </w:rPr>
      </w:pPr>
    </w:p>
    <w:p>
      <w:pPr>
        <w:spacing w:before="65" w:line="228" w:lineRule="auto"/>
        <w:ind w:right="231"/>
        <w:jc w:val="righ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投标人：</w:t>
      </w:r>
      <w:r>
        <w:rPr>
          <w:rFonts w:hint="eastAsia"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（盖单位电子公章）</w:t>
      </w:r>
      <w:r>
        <w:rPr>
          <w:rFonts w:hint="eastAsia" w:ascii="宋体" w:hAnsi="宋体" w:eastAsia="宋体" w:cs="宋体"/>
          <w:color w:val="auto"/>
          <w:spacing w:val="2"/>
          <w:sz w:val="21"/>
          <w:szCs w:val="21"/>
          <w:highlight w:val="none"/>
          <w:lang w:val="en-US" w:eastAsia="zh-CN"/>
        </w:rPr>
        <w:t xml:space="preserve">                      </w:t>
      </w:r>
    </w:p>
    <w:p>
      <w:pPr>
        <w:spacing w:before="161" w:line="227" w:lineRule="auto"/>
        <w:ind w:right="106"/>
        <w:jc w:val="right"/>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法定代表人：</w:t>
      </w:r>
      <w:r>
        <w:rPr>
          <w:rFonts w:hint="eastAsia"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lang w:val="en-US" w:eastAsia="zh-CN"/>
        </w:rPr>
        <w:t xml:space="preserve">  </w:t>
      </w:r>
      <w:r>
        <w:rPr>
          <w:rFonts w:hint="eastAsia"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lang w:val="en-US" w:eastAsia="zh-CN"/>
        </w:rPr>
        <w:t xml:space="preserve"> </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（盖法定代表人电子章）</w:t>
      </w:r>
    </w:p>
    <w:p>
      <w:pPr>
        <w:rPr>
          <w:color w:val="auto"/>
          <w:highlight w:val="none"/>
        </w:rPr>
        <w:sectPr>
          <w:pgSz w:w="11900" w:h="16840"/>
          <w:pgMar w:top="1160" w:right="1162" w:bottom="1448" w:left="1240" w:header="883" w:footer="1234" w:gutter="0"/>
          <w:pgNumType w:fmt="decimal"/>
          <w:cols w:space="720" w:num="1"/>
        </w:sectPr>
      </w:pPr>
    </w:p>
    <w:p>
      <w:pPr>
        <w:spacing w:before="280" w:line="222" w:lineRule="auto"/>
        <w:ind w:left="1548"/>
        <w:outlineLvl w:val="2"/>
        <w:rPr>
          <w:rFonts w:hint="eastAsia" w:ascii="宋体" w:hAnsi="宋体" w:eastAsia="宋体" w:cs="宋体"/>
          <w:color w:val="auto"/>
          <w:sz w:val="36"/>
          <w:szCs w:val="36"/>
          <w:highlight w:val="none"/>
        </w:rPr>
      </w:pPr>
      <w:bookmarkStart w:id="730" w:name="_bookmark205"/>
      <w:bookmarkEnd w:id="730"/>
      <w:bookmarkStart w:id="731" w:name="_Toc29734"/>
      <w:r>
        <w:rPr>
          <w:rFonts w:hint="eastAsia" w:ascii="宋体" w:hAnsi="宋体" w:eastAsia="宋体" w:cs="宋体"/>
          <w:color w:val="auto"/>
          <w:spacing w:val="-13"/>
          <w:sz w:val="36"/>
          <w:szCs w:val="36"/>
          <w:highlight w:val="none"/>
        </w:rPr>
        <w:t>二</w:t>
      </w:r>
      <w:r>
        <w:rPr>
          <w:rFonts w:hint="eastAsia" w:ascii="宋体" w:hAnsi="宋体" w:eastAsia="宋体" w:cs="宋体"/>
          <w:color w:val="auto"/>
          <w:spacing w:val="-11"/>
          <w:sz w:val="36"/>
          <w:szCs w:val="36"/>
          <w:highlight w:val="none"/>
        </w:rPr>
        <w:t>、授权委托书或法定代表人身份证明</w:t>
      </w:r>
      <w:bookmarkEnd w:id="731"/>
    </w:p>
    <w:p>
      <w:pPr>
        <w:spacing w:line="293" w:lineRule="auto"/>
        <w:rPr>
          <w:rFonts w:ascii="Arial"/>
          <w:color w:val="auto"/>
          <w:sz w:val="21"/>
          <w:highlight w:val="none"/>
        </w:rPr>
      </w:pPr>
    </w:p>
    <w:p>
      <w:pPr>
        <w:spacing w:line="294" w:lineRule="auto"/>
        <w:rPr>
          <w:rFonts w:ascii="Arial"/>
          <w:color w:val="auto"/>
          <w:sz w:val="21"/>
          <w:highlight w:val="none"/>
        </w:rPr>
      </w:pPr>
    </w:p>
    <w:p>
      <w:pPr>
        <w:spacing w:before="117" w:line="222" w:lineRule="auto"/>
        <w:jc w:val="center"/>
        <w:outlineLvl w:val="2"/>
        <w:rPr>
          <w:rFonts w:hint="eastAsia" w:ascii="宋体" w:hAnsi="宋体" w:eastAsia="宋体" w:cs="宋体"/>
          <w:color w:val="auto"/>
          <w:spacing w:val="-3"/>
          <w:sz w:val="30"/>
          <w:szCs w:val="30"/>
          <w:highlight w:val="none"/>
        </w:rPr>
      </w:pPr>
      <w:bookmarkStart w:id="732" w:name="_Toc25267"/>
      <w:r>
        <w:rPr>
          <w:rFonts w:hint="eastAsia" w:ascii="宋体" w:hAnsi="宋体" w:eastAsia="宋体" w:cs="宋体"/>
          <w:color w:val="auto"/>
          <w:spacing w:val="-3"/>
          <w:sz w:val="30"/>
          <w:szCs w:val="30"/>
          <w:highlight w:val="none"/>
        </w:rPr>
        <w:t>(一) 授权委托书</w:t>
      </w:r>
      <w:bookmarkEnd w:id="732"/>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right="89"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本人</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 xml:space="preserve"> (姓名) 系</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(投标人名称)的法定代表人， 现委托</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(姓名) 为我方代理人。代理人根据授权，以我方名义签署、澄清确认、递交、撤回、修改</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(项目名称)</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标段施工投标文件、签订合同和处理有关事宜，其法律后果由我方承担。</w:t>
      </w: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4" w:right="89" w:firstLine="421"/>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委托期限：自本委托书签署之至投标有效期满。代理人无转委托权。</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6" w:line="400" w:lineRule="exact"/>
        <w:ind w:left="442"/>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附：法定代表人身份证扫描件及委托代理人身份证扫描件 (正反双面)。</w:t>
      </w:r>
    </w:p>
    <w:p>
      <w:pPr>
        <w:spacing w:line="273" w:lineRule="auto"/>
        <w:rPr>
          <w:rFonts w:hint="eastAsia" w:ascii="宋体" w:hAnsi="宋体" w:eastAsia="宋体" w:cs="宋体"/>
          <w:color w:val="auto"/>
          <w:sz w:val="21"/>
          <w:szCs w:val="21"/>
          <w:highlight w:val="none"/>
        </w:rPr>
      </w:pPr>
    </w:p>
    <w:p>
      <w:pPr>
        <w:spacing w:line="273" w:lineRule="auto"/>
        <w:rPr>
          <w:rFonts w:hint="eastAsia" w:ascii="宋体" w:hAnsi="宋体" w:eastAsia="宋体" w:cs="宋体"/>
          <w:color w:val="auto"/>
          <w:sz w:val="21"/>
          <w:szCs w:val="21"/>
          <w:highlight w:val="none"/>
        </w:rPr>
      </w:pPr>
    </w:p>
    <w:p>
      <w:pPr>
        <w:spacing w:before="65" w:line="383" w:lineRule="auto"/>
        <w:ind w:left="3606" w:firstLine="1"/>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投标人：</w:t>
      </w:r>
      <w:r>
        <w:rPr>
          <w:rFonts w:hint="eastAsia"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（盖单位电子公章）</w:t>
      </w:r>
      <w:r>
        <w:rPr>
          <w:rFonts w:hint="eastAsia" w:ascii="宋体" w:hAnsi="宋体" w:eastAsia="宋体" w:cs="宋体"/>
          <w:color w:val="auto"/>
          <w:sz w:val="21"/>
          <w:szCs w:val="21"/>
          <w:highlight w:val="none"/>
        </w:rPr>
        <w:t xml:space="preserve">  </w:t>
      </w:r>
    </w:p>
    <w:p>
      <w:pPr>
        <w:spacing w:before="65" w:line="383" w:lineRule="auto"/>
        <w:ind w:left="3606" w:firstLine="1"/>
        <w:rPr>
          <w:rFonts w:hint="eastAsia" w:ascii="宋体" w:hAnsi="宋体" w:eastAsia="宋体" w:cs="宋体"/>
          <w:color w:val="auto"/>
          <w:spacing w:val="1"/>
          <w:sz w:val="21"/>
          <w:szCs w:val="21"/>
          <w:highlight w:val="none"/>
        </w:rPr>
      </w:pPr>
      <w:r>
        <w:rPr>
          <w:rFonts w:hint="eastAsia" w:ascii="宋体" w:hAnsi="宋体" w:eastAsia="宋体" w:cs="宋体"/>
          <w:color w:val="auto"/>
          <w:spacing w:val="2"/>
          <w:sz w:val="21"/>
          <w:szCs w:val="21"/>
          <w:highlight w:val="none"/>
        </w:rPr>
        <w:t>法定代表人：</w:t>
      </w:r>
      <w:r>
        <w:rPr>
          <w:rFonts w:hint="eastAsia"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（盖法定代表人电子章）</w:t>
      </w:r>
    </w:p>
    <w:p>
      <w:pPr>
        <w:spacing w:before="65" w:line="383" w:lineRule="auto"/>
        <w:ind w:left="3606" w:firstLine="1"/>
        <w:rPr>
          <w:rFonts w:hint="eastAsia" w:ascii="宋体" w:hAnsi="宋体" w:eastAsia="宋体" w:cs="宋体"/>
          <w:color w:val="auto"/>
          <w:sz w:val="21"/>
          <w:szCs w:val="21"/>
          <w:highlight w:val="none"/>
          <w:u w:val="single" w:color="auto"/>
        </w:rPr>
      </w:pPr>
      <w:r>
        <w:rPr>
          <w:rFonts w:hint="eastAsia" w:ascii="宋体" w:hAnsi="宋体" w:eastAsia="宋体" w:cs="宋体"/>
          <w:color w:val="auto"/>
          <w:spacing w:val="9"/>
          <w:sz w:val="21"/>
          <w:szCs w:val="21"/>
          <w:highlight w:val="none"/>
        </w:rPr>
        <w:t>身</w:t>
      </w:r>
      <w:r>
        <w:rPr>
          <w:rFonts w:hint="eastAsia" w:ascii="宋体" w:hAnsi="宋体" w:eastAsia="宋体" w:cs="宋体"/>
          <w:color w:val="auto"/>
          <w:spacing w:val="6"/>
          <w:sz w:val="21"/>
          <w:szCs w:val="21"/>
          <w:highlight w:val="none"/>
        </w:rPr>
        <w:t>份证号码：</w:t>
      </w:r>
      <w:r>
        <w:rPr>
          <w:rFonts w:hint="eastAsia" w:ascii="宋体" w:hAnsi="宋体" w:eastAsia="宋体" w:cs="宋体"/>
          <w:color w:val="auto"/>
          <w:sz w:val="21"/>
          <w:szCs w:val="21"/>
          <w:highlight w:val="none"/>
          <w:u w:val="single" w:color="auto"/>
        </w:rPr>
        <w:t xml:space="preserve">                           </w:t>
      </w:r>
    </w:p>
    <w:p>
      <w:pPr>
        <w:spacing w:line="277" w:lineRule="auto"/>
        <w:rPr>
          <w:rFonts w:hint="eastAsia" w:ascii="宋体" w:hAnsi="宋体" w:eastAsia="宋体" w:cs="宋体"/>
          <w:color w:val="auto"/>
          <w:sz w:val="21"/>
          <w:szCs w:val="21"/>
          <w:highlight w:val="none"/>
        </w:rPr>
      </w:pPr>
    </w:p>
    <w:p>
      <w:pPr>
        <w:tabs>
          <w:tab w:val="left" w:pos="6649"/>
        </w:tabs>
        <w:spacing w:before="66" w:line="228" w:lineRule="auto"/>
        <w:ind w:left="590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color="auto"/>
        </w:rPr>
        <w:tab/>
      </w:r>
      <w:r>
        <w:rPr>
          <w:rFonts w:hint="eastAsia" w:ascii="宋体" w:hAnsi="宋体" w:eastAsia="宋体" w:cs="宋体"/>
          <w:color w:val="auto"/>
          <w:spacing w:val="14"/>
          <w:sz w:val="21"/>
          <w:szCs w:val="21"/>
          <w:highlight w:val="none"/>
        </w:rPr>
        <w:t>年</w:t>
      </w:r>
      <w:r>
        <w:rPr>
          <w:rFonts w:hint="eastAsia" w:ascii="宋体" w:hAnsi="宋体" w:eastAsia="宋体" w:cs="宋体"/>
          <w:color w:val="auto"/>
          <w:spacing w:val="8"/>
          <w:sz w:val="21"/>
          <w:szCs w:val="21"/>
          <w:highlight w:val="none"/>
          <w:u w:val="single" w:color="auto"/>
        </w:rPr>
        <w:t xml:space="preserve"> </w:t>
      </w:r>
      <w:r>
        <w:rPr>
          <w:rFonts w:hint="eastAsia" w:ascii="宋体" w:hAnsi="宋体" w:eastAsia="宋体" w:cs="宋体"/>
          <w:color w:val="auto"/>
          <w:spacing w:val="7"/>
          <w:sz w:val="21"/>
          <w:szCs w:val="21"/>
          <w:highlight w:val="none"/>
          <w:u w:val="single" w:color="auto"/>
        </w:rPr>
        <w:t xml:space="preserve">      </w:t>
      </w:r>
      <w:r>
        <w:rPr>
          <w:rFonts w:hint="eastAsia" w:ascii="宋体" w:hAnsi="宋体" w:eastAsia="宋体" w:cs="宋体"/>
          <w:color w:val="auto"/>
          <w:spacing w:val="7"/>
          <w:sz w:val="21"/>
          <w:szCs w:val="21"/>
          <w:highlight w:val="none"/>
        </w:rPr>
        <w:t>月</w:t>
      </w:r>
      <w:r>
        <w:rPr>
          <w:rFonts w:hint="eastAsia" w:ascii="宋体" w:hAnsi="宋体" w:eastAsia="宋体" w:cs="宋体"/>
          <w:color w:val="auto"/>
          <w:spacing w:val="7"/>
          <w:sz w:val="21"/>
          <w:szCs w:val="21"/>
          <w:highlight w:val="none"/>
          <w:u w:val="single" w:color="auto"/>
        </w:rPr>
        <w:t xml:space="preserve">       </w:t>
      </w:r>
      <w:r>
        <w:rPr>
          <w:rFonts w:hint="eastAsia" w:ascii="宋体" w:hAnsi="宋体" w:eastAsia="宋体" w:cs="宋体"/>
          <w:color w:val="auto"/>
          <w:spacing w:val="7"/>
          <w:sz w:val="21"/>
          <w:szCs w:val="21"/>
          <w:highlight w:val="none"/>
        </w:rPr>
        <w:t>日</w:t>
      </w:r>
    </w:p>
    <w:p>
      <w:pPr>
        <w:rPr>
          <w:rFonts w:hint="eastAsia" w:ascii="宋体" w:hAnsi="宋体" w:eastAsia="宋体" w:cs="宋体"/>
          <w:color w:val="auto"/>
          <w:sz w:val="21"/>
          <w:szCs w:val="21"/>
          <w:highlight w:val="none"/>
        </w:rPr>
      </w:pPr>
    </w:p>
    <w:p>
      <w:pPr>
        <w:spacing w:line="110" w:lineRule="auto"/>
        <w:rPr>
          <w:rFonts w:hint="eastAsia" w:ascii="宋体" w:hAnsi="宋体" w:eastAsia="宋体" w:cs="宋体"/>
          <w:color w:val="auto"/>
          <w:sz w:val="21"/>
          <w:szCs w:val="21"/>
          <w:highlight w:val="none"/>
        </w:rPr>
      </w:pPr>
    </w:p>
    <w:tbl>
      <w:tblPr>
        <w:tblStyle w:val="26"/>
        <w:tblW w:w="5889" w:type="dxa"/>
        <w:tblInd w:w="1797"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5889"/>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694" w:hRule="atLeast"/>
        </w:trPr>
        <w:tc>
          <w:tcPr>
            <w:tcW w:w="5889" w:type="dxa"/>
            <w:vAlign w:val="top"/>
          </w:tcPr>
          <w:p>
            <w:pPr>
              <w:spacing w:line="344" w:lineRule="auto"/>
              <w:rPr>
                <w:rFonts w:hint="eastAsia" w:ascii="宋体" w:hAnsi="宋体" w:eastAsia="宋体" w:cs="宋体"/>
                <w:color w:val="auto"/>
                <w:sz w:val="21"/>
                <w:szCs w:val="21"/>
                <w:highlight w:val="none"/>
              </w:rPr>
            </w:pPr>
          </w:p>
          <w:p>
            <w:pPr>
              <w:spacing w:line="345" w:lineRule="auto"/>
              <w:rPr>
                <w:rFonts w:hint="eastAsia" w:ascii="宋体" w:hAnsi="宋体" w:eastAsia="宋体" w:cs="宋体"/>
                <w:color w:val="auto"/>
                <w:sz w:val="21"/>
                <w:szCs w:val="21"/>
                <w:highlight w:val="none"/>
              </w:rPr>
            </w:pPr>
          </w:p>
          <w:p>
            <w:pPr>
              <w:spacing w:before="65" w:line="225"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8"/>
                <w:sz w:val="21"/>
                <w:szCs w:val="21"/>
                <w:highlight w:val="none"/>
              </w:rPr>
              <w:t>法</w:t>
            </w:r>
            <w:r>
              <w:rPr>
                <w:rFonts w:hint="eastAsia" w:ascii="宋体" w:hAnsi="宋体" w:eastAsia="宋体" w:cs="宋体"/>
                <w:color w:val="auto"/>
                <w:spacing w:val="12"/>
                <w:sz w:val="21"/>
                <w:szCs w:val="21"/>
                <w:highlight w:val="none"/>
              </w:rPr>
              <w:t>定</w:t>
            </w:r>
            <w:r>
              <w:rPr>
                <w:rFonts w:hint="eastAsia" w:ascii="宋体" w:hAnsi="宋体" w:eastAsia="宋体" w:cs="宋体"/>
                <w:color w:val="auto"/>
                <w:spacing w:val="9"/>
                <w:sz w:val="21"/>
                <w:szCs w:val="21"/>
                <w:highlight w:val="none"/>
              </w:rPr>
              <w:t>代表人身份证扫描件及委托代理人身份证扫描件</w:t>
            </w:r>
          </w:p>
        </w:tc>
      </w:tr>
    </w:tbl>
    <w:p>
      <w:pPr>
        <w:spacing w:line="342" w:lineRule="auto"/>
        <w:rPr>
          <w:rFonts w:ascii="Arial"/>
          <w:color w:val="auto"/>
          <w:sz w:val="22"/>
          <w:szCs w:val="22"/>
          <w:highlight w:val="none"/>
        </w:rPr>
      </w:pPr>
    </w:p>
    <w:p>
      <w:pPr>
        <w:spacing w:line="342" w:lineRule="auto"/>
        <w:rPr>
          <w:rFonts w:ascii="Arial"/>
          <w:color w:val="auto"/>
          <w:sz w:val="22"/>
          <w:szCs w:val="22"/>
          <w:highlight w:val="none"/>
        </w:rPr>
      </w:pPr>
    </w:p>
    <w:p>
      <w:pPr>
        <w:spacing w:before="65" w:line="228" w:lineRule="auto"/>
        <w:rPr>
          <w:rFonts w:ascii="宋体" w:hAnsi="宋体" w:eastAsia="宋体" w:cs="宋体"/>
          <w:color w:val="auto"/>
          <w:sz w:val="22"/>
          <w:szCs w:val="22"/>
          <w:highlight w:val="none"/>
        </w:rPr>
      </w:pPr>
      <w:r>
        <w:rPr>
          <w:rFonts w:ascii="宋体" w:hAnsi="宋体" w:eastAsia="宋体" w:cs="宋体"/>
          <w:color w:val="auto"/>
          <w:spacing w:val="7"/>
          <w:sz w:val="22"/>
          <w:szCs w:val="22"/>
          <w:highlight w:val="none"/>
        </w:rPr>
        <w:t>注：以联合体形式投标的，本授权委托书应由联合体牵头人的法定代表人按上述规定签署</w:t>
      </w:r>
      <w:r>
        <w:rPr>
          <w:rFonts w:ascii="宋体" w:hAnsi="宋体" w:eastAsia="宋体" w:cs="宋体"/>
          <w:color w:val="auto"/>
          <w:sz w:val="22"/>
          <w:szCs w:val="22"/>
          <w:highlight w:val="none"/>
        </w:rPr>
        <w:t>。</w:t>
      </w:r>
    </w:p>
    <w:p>
      <w:pPr>
        <w:spacing w:line="269" w:lineRule="auto"/>
        <w:rPr>
          <w:rFonts w:ascii="Arial"/>
          <w:color w:val="auto"/>
          <w:sz w:val="22"/>
          <w:szCs w:val="22"/>
          <w:highlight w:val="none"/>
        </w:rPr>
      </w:pPr>
    </w:p>
    <w:p>
      <w:pPr>
        <w:spacing w:line="270" w:lineRule="auto"/>
        <w:rPr>
          <w:rFonts w:ascii="Arial"/>
          <w:color w:val="auto"/>
          <w:sz w:val="22"/>
          <w:szCs w:val="22"/>
          <w:highlight w:val="none"/>
        </w:rPr>
      </w:pPr>
    </w:p>
    <w:p>
      <w:pPr>
        <w:spacing w:line="270" w:lineRule="auto"/>
        <w:rPr>
          <w:rFonts w:ascii="Arial"/>
          <w:color w:val="auto"/>
          <w:sz w:val="22"/>
          <w:szCs w:val="22"/>
          <w:highlight w:val="none"/>
        </w:rPr>
      </w:pPr>
    </w:p>
    <w:p>
      <w:pPr>
        <w:rPr>
          <w:color w:val="auto"/>
          <w:sz w:val="22"/>
          <w:szCs w:val="22"/>
          <w:highlight w:val="none"/>
        </w:rPr>
        <w:sectPr>
          <w:pgSz w:w="11900" w:h="16840"/>
          <w:pgMar w:top="1160" w:right="1269" w:bottom="1448" w:left="1363" w:header="883" w:footer="1234" w:gutter="0"/>
          <w:pgNumType w:fmt="decimal"/>
          <w:cols w:space="720" w:num="1"/>
        </w:sectPr>
      </w:pPr>
    </w:p>
    <w:p>
      <w:pPr>
        <w:spacing w:before="117" w:line="222" w:lineRule="auto"/>
        <w:jc w:val="center"/>
        <w:outlineLvl w:val="2"/>
        <w:rPr>
          <w:rFonts w:hint="eastAsia" w:ascii="宋体" w:hAnsi="宋体" w:eastAsia="宋体" w:cs="宋体"/>
          <w:color w:val="auto"/>
          <w:spacing w:val="-3"/>
          <w:sz w:val="30"/>
          <w:szCs w:val="30"/>
          <w:highlight w:val="none"/>
        </w:rPr>
      </w:pPr>
      <w:bookmarkStart w:id="733" w:name="_bookmark206"/>
      <w:bookmarkEnd w:id="733"/>
      <w:bookmarkStart w:id="734" w:name="_Toc8705"/>
    </w:p>
    <w:p>
      <w:pPr>
        <w:spacing w:before="117" w:line="222" w:lineRule="auto"/>
        <w:jc w:val="center"/>
        <w:outlineLvl w:val="2"/>
        <w:rPr>
          <w:rFonts w:hint="default" w:ascii="宋体" w:hAnsi="宋体" w:eastAsia="宋体" w:cs="宋体"/>
          <w:color w:val="auto"/>
          <w:spacing w:val="-3"/>
          <w:sz w:val="30"/>
          <w:szCs w:val="30"/>
          <w:highlight w:val="none"/>
          <w:lang w:val="en-US" w:eastAsia="zh-CN"/>
        </w:rPr>
      </w:pPr>
      <w:r>
        <w:rPr>
          <w:rFonts w:hint="eastAsia" w:ascii="宋体" w:hAnsi="宋体" w:eastAsia="宋体" w:cs="宋体"/>
          <w:color w:val="auto"/>
          <w:spacing w:val="-3"/>
          <w:sz w:val="30"/>
          <w:szCs w:val="30"/>
          <w:highlight w:val="none"/>
        </w:rPr>
        <w:t>(</w:t>
      </w:r>
      <w:r>
        <w:rPr>
          <w:rFonts w:hint="eastAsia" w:ascii="宋体" w:hAnsi="宋体" w:eastAsia="宋体" w:cs="宋体"/>
          <w:color w:val="auto"/>
          <w:spacing w:val="-3"/>
          <w:sz w:val="30"/>
          <w:szCs w:val="30"/>
          <w:highlight w:val="none"/>
          <w:lang w:val="en-US" w:eastAsia="zh-CN"/>
        </w:rPr>
        <w:t>二</w:t>
      </w:r>
      <w:r>
        <w:rPr>
          <w:rFonts w:hint="eastAsia" w:ascii="宋体" w:hAnsi="宋体" w:eastAsia="宋体" w:cs="宋体"/>
          <w:color w:val="auto"/>
          <w:spacing w:val="-3"/>
          <w:sz w:val="30"/>
          <w:szCs w:val="30"/>
          <w:highlight w:val="none"/>
        </w:rPr>
        <w:t xml:space="preserve">) </w:t>
      </w:r>
      <w:r>
        <w:rPr>
          <w:rFonts w:hint="eastAsia" w:ascii="宋体" w:hAnsi="宋体" w:eastAsia="宋体" w:cs="宋体"/>
          <w:color w:val="auto"/>
          <w:spacing w:val="-3"/>
          <w:sz w:val="30"/>
          <w:szCs w:val="30"/>
          <w:highlight w:val="none"/>
          <w:lang w:val="en-US" w:eastAsia="zh-CN"/>
        </w:rPr>
        <w:t>法定代表人身份证</w:t>
      </w:r>
      <w:bookmarkEnd w:id="734"/>
    </w:p>
    <w:p>
      <w:pPr>
        <w:pStyle w:val="2"/>
        <w:numPr>
          <w:ilvl w:val="0"/>
          <w:numId w:val="0"/>
        </w:numPr>
        <w:ind w:right="0" w:rightChars="0"/>
        <w:rPr>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Arial"/>
          <w:color w:val="auto"/>
          <w:sz w:val="22"/>
          <w:szCs w:val="22"/>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360" w:lineRule="auto"/>
        <w:ind w:left="8"/>
        <w:textAlignment w:val="baseline"/>
        <w:rPr>
          <w:rFonts w:ascii="宋体" w:hAnsi="宋体" w:eastAsia="宋体" w:cs="宋体"/>
          <w:color w:val="auto"/>
          <w:spacing w:val="0"/>
          <w:sz w:val="21"/>
          <w:szCs w:val="21"/>
          <w:highlight w:val="none"/>
          <w:u w:val="single" w:color="auto"/>
        </w:rPr>
      </w:pPr>
      <w:r>
        <w:rPr>
          <w:rFonts w:ascii="宋体" w:hAnsi="宋体" w:eastAsia="宋体" w:cs="宋体"/>
          <w:color w:val="auto"/>
          <w:spacing w:val="0"/>
          <w:sz w:val="21"/>
          <w:szCs w:val="21"/>
          <w:highlight w:val="none"/>
        </w:rPr>
        <w:t>投标人名称：</w:t>
      </w:r>
      <w:r>
        <w:rPr>
          <w:rFonts w:ascii="宋体" w:hAnsi="宋体" w:eastAsia="宋体" w:cs="宋体"/>
          <w:color w:val="auto"/>
          <w:spacing w:val="0"/>
          <w:sz w:val="21"/>
          <w:szCs w:val="21"/>
          <w:highlight w:val="none"/>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before="65" w:line="360" w:lineRule="auto"/>
        <w:ind w:left="8"/>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姓名：</w:t>
      </w:r>
      <w:r>
        <w:rPr>
          <w:rFonts w:ascii="宋体" w:hAnsi="宋体" w:eastAsia="宋体" w:cs="宋体"/>
          <w:color w:val="auto"/>
          <w:spacing w:val="0"/>
          <w:sz w:val="21"/>
          <w:szCs w:val="21"/>
          <w:highlight w:val="none"/>
          <w:u w:val="single" w:color="auto"/>
        </w:rPr>
        <w:t xml:space="preserve">             </w:t>
      </w:r>
      <w:r>
        <w:rPr>
          <w:rFonts w:ascii="宋体" w:hAnsi="宋体" w:eastAsia="宋体" w:cs="宋体"/>
          <w:color w:val="auto"/>
          <w:spacing w:val="0"/>
          <w:sz w:val="21"/>
          <w:szCs w:val="21"/>
          <w:highlight w:val="none"/>
        </w:rPr>
        <w:t>性别：</w:t>
      </w:r>
      <w:r>
        <w:rPr>
          <w:rFonts w:ascii="宋体" w:hAnsi="宋体" w:eastAsia="宋体" w:cs="宋体"/>
          <w:color w:val="auto"/>
          <w:spacing w:val="0"/>
          <w:sz w:val="21"/>
          <w:szCs w:val="21"/>
          <w:highlight w:val="none"/>
          <w:u w:val="single" w:color="auto"/>
        </w:rPr>
        <w:t xml:space="preserve">            </w:t>
      </w:r>
      <w:r>
        <w:rPr>
          <w:rFonts w:ascii="宋体" w:hAnsi="宋体" w:eastAsia="宋体" w:cs="宋体"/>
          <w:color w:val="auto"/>
          <w:spacing w:val="0"/>
          <w:sz w:val="21"/>
          <w:szCs w:val="21"/>
          <w:highlight w:val="none"/>
        </w:rPr>
        <w:t>年龄：</w:t>
      </w:r>
      <w:r>
        <w:rPr>
          <w:rFonts w:ascii="宋体" w:hAnsi="宋体" w:eastAsia="宋体" w:cs="宋体"/>
          <w:color w:val="auto"/>
          <w:spacing w:val="0"/>
          <w:sz w:val="21"/>
          <w:szCs w:val="21"/>
          <w:highlight w:val="none"/>
          <w:u w:val="single" w:color="auto"/>
        </w:rPr>
        <w:t xml:space="preserve">          </w:t>
      </w:r>
      <w:r>
        <w:rPr>
          <w:rFonts w:ascii="宋体" w:hAnsi="宋体" w:eastAsia="宋体" w:cs="宋体"/>
          <w:color w:val="auto"/>
          <w:spacing w:val="0"/>
          <w:sz w:val="21"/>
          <w:szCs w:val="21"/>
          <w:highlight w:val="none"/>
        </w:rPr>
        <w:t>职务：</w:t>
      </w:r>
      <w:r>
        <w:rPr>
          <w:rFonts w:ascii="宋体" w:hAnsi="宋体" w:eastAsia="宋体" w:cs="宋体"/>
          <w:color w:val="auto"/>
          <w:spacing w:val="0"/>
          <w:sz w:val="21"/>
          <w:szCs w:val="21"/>
          <w:highlight w:val="none"/>
          <w:u w:val="single" w:color="auto"/>
        </w:rPr>
        <w:t xml:space="preserve">          </w:t>
      </w:r>
      <w:r>
        <w:rPr>
          <w:rFonts w:ascii="宋体" w:hAnsi="宋体" w:eastAsia="宋体" w:cs="宋体"/>
          <w:color w:val="auto"/>
          <w:spacing w:val="0"/>
          <w:sz w:val="21"/>
          <w:szCs w:val="21"/>
          <w:highlight w:val="none"/>
        </w:rPr>
        <w:t>系</w:t>
      </w:r>
      <w:r>
        <w:rPr>
          <w:rFonts w:ascii="宋体" w:hAnsi="宋体" w:eastAsia="宋体" w:cs="宋体"/>
          <w:color w:val="auto"/>
          <w:spacing w:val="0"/>
          <w:sz w:val="21"/>
          <w:szCs w:val="21"/>
          <w:highlight w:val="none"/>
          <w:u w:val="single" w:color="auto"/>
        </w:rPr>
        <w:t xml:space="preserve">   (投标人名称)</w:t>
      </w:r>
      <w:r>
        <w:rPr>
          <w:rFonts w:ascii="宋体" w:hAnsi="宋体" w:eastAsia="宋体" w:cs="宋体"/>
          <w:color w:val="auto"/>
          <w:spacing w:val="0"/>
          <w:sz w:val="21"/>
          <w:szCs w:val="21"/>
          <w:highlight w:val="none"/>
        </w:rPr>
        <w:t>的法定代表人。</w:t>
      </w:r>
    </w:p>
    <w:p>
      <w:pPr>
        <w:keepNext w:val="0"/>
        <w:keepLines w:val="0"/>
        <w:pageBreakBefore w:val="0"/>
        <w:widowControl/>
        <w:kinsoku w:val="0"/>
        <w:wordWrap/>
        <w:overflowPunct/>
        <w:topLinePunct w:val="0"/>
        <w:autoSpaceDE w:val="0"/>
        <w:autoSpaceDN w:val="0"/>
        <w:bidi w:val="0"/>
        <w:adjustRightInd w:val="0"/>
        <w:snapToGrid w:val="0"/>
        <w:spacing w:before="65" w:line="360" w:lineRule="auto"/>
        <w:ind w:left="8" w:firstLine="420" w:firstLineChars="200"/>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特此证明。</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Arial"/>
          <w:color w:val="auto"/>
          <w:spacing w:val="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360" w:lineRule="auto"/>
        <w:ind w:left="22"/>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附：法定代表人身份证扫描件 (正反双面)。</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Arial"/>
          <w:color w:val="auto"/>
          <w:sz w:val="21"/>
          <w:szCs w:val="21"/>
          <w:highlight w:val="none"/>
        </w:rPr>
      </w:pPr>
    </w:p>
    <w:p>
      <w:pPr>
        <w:spacing w:before="65" w:line="383" w:lineRule="auto"/>
        <w:ind w:left="3606" w:firstLine="1"/>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投标人：</w:t>
      </w:r>
      <w:r>
        <w:rPr>
          <w:rFonts w:hint="eastAsia"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（盖单位电子公章）</w:t>
      </w:r>
      <w:r>
        <w:rPr>
          <w:rFonts w:hint="eastAsia" w:ascii="宋体" w:hAnsi="宋体" w:eastAsia="宋体" w:cs="宋体"/>
          <w:color w:val="auto"/>
          <w:sz w:val="21"/>
          <w:szCs w:val="21"/>
          <w:highlight w:val="none"/>
        </w:rPr>
        <w:t xml:space="preserve">  </w:t>
      </w:r>
    </w:p>
    <w:p>
      <w:pPr>
        <w:spacing w:before="65" w:line="383" w:lineRule="auto"/>
        <w:ind w:left="3606" w:firstLine="1"/>
        <w:rPr>
          <w:rFonts w:hint="eastAsia" w:ascii="宋体" w:hAnsi="宋体" w:eastAsia="宋体" w:cs="宋体"/>
          <w:color w:val="auto"/>
          <w:spacing w:val="1"/>
          <w:sz w:val="21"/>
          <w:szCs w:val="21"/>
          <w:highlight w:val="none"/>
        </w:rPr>
      </w:pPr>
      <w:r>
        <w:rPr>
          <w:rFonts w:hint="eastAsia" w:ascii="宋体" w:hAnsi="宋体" w:eastAsia="宋体" w:cs="宋体"/>
          <w:color w:val="auto"/>
          <w:spacing w:val="2"/>
          <w:sz w:val="21"/>
          <w:szCs w:val="21"/>
          <w:highlight w:val="none"/>
        </w:rPr>
        <w:t>法定代表人：</w:t>
      </w:r>
      <w:r>
        <w:rPr>
          <w:rFonts w:hint="eastAsia"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rPr>
        <w:t>（盖法定代表人电子章）</w:t>
      </w:r>
    </w:p>
    <w:p>
      <w:pPr>
        <w:keepNext w:val="0"/>
        <w:keepLines w:val="0"/>
        <w:pageBreakBefore w:val="0"/>
        <w:widowControl/>
        <w:tabs>
          <w:tab w:val="left" w:pos="4626"/>
        </w:tabs>
        <w:kinsoku w:val="0"/>
        <w:wordWrap/>
        <w:overflowPunct/>
        <w:topLinePunct w:val="0"/>
        <w:autoSpaceDE w:val="0"/>
        <w:autoSpaceDN w:val="0"/>
        <w:bidi w:val="0"/>
        <w:adjustRightInd w:val="0"/>
        <w:snapToGrid w:val="0"/>
        <w:spacing w:before="163" w:line="360" w:lineRule="auto"/>
        <w:ind w:left="3883"/>
        <w:textAlignment w:val="baseline"/>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14"/>
          <w:sz w:val="21"/>
          <w:szCs w:val="21"/>
          <w:highlight w:val="none"/>
        </w:rPr>
        <w:t>年</w:t>
      </w:r>
      <w:r>
        <w:rPr>
          <w:rFonts w:ascii="宋体" w:hAnsi="宋体" w:eastAsia="宋体" w:cs="宋体"/>
          <w:color w:val="auto"/>
          <w:spacing w:val="7"/>
          <w:sz w:val="21"/>
          <w:szCs w:val="21"/>
          <w:highlight w:val="none"/>
          <w:u w:val="single" w:color="auto"/>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7"/>
          <w:sz w:val="21"/>
          <w:szCs w:val="21"/>
          <w:highlight w:val="none"/>
          <w:u w:val="single" w:color="auto"/>
        </w:rPr>
        <w:t xml:space="preserve">       </w:t>
      </w:r>
      <w:r>
        <w:rPr>
          <w:rFonts w:ascii="宋体" w:hAnsi="宋体" w:eastAsia="宋体" w:cs="宋体"/>
          <w:color w:val="auto"/>
          <w:spacing w:val="7"/>
          <w:sz w:val="21"/>
          <w:szCs w:val="21"/>
          <w:highlight w:val="none"/>
        </w:rPr>
        <w:t>日</w:t>
      </w:r>
    </w:p>
    <w:p>
      <w:pPr>
        <w:rPr>
          <w:color w:val="auto"/>
          <w:sz w:val="21"/>
          <w:szCs w:val="21"/>
          <w:highlight w:val="none"/>
        </w:rPr>
      </w:pPr>
    </w:p>
    <w:p>
      <w:pPr>
        <w:rPr>
          <w:color w:val="auto"/>
          <w:sz w:val="21"/>
          <w:szCs w:val="21"/>
          <w:highlight w:val="none"/>
        </w:rPr>
      </w:pPr>
    </w:p>
    <w:p>
      <w:pPr>
        <w:pStyle w:val="2"/>
        <w:rPr>
          <w:color w:val="auto"/>
          <w:sz w:val="21"/>
          <w:szCs w:val="21"/>
          <w:highlight w:val="none"/>
        </w:rPr>
      </w:pPr>
    </w:p>
    <w:p>
      <w:pPr>
        <w:pStyle w:val="2"/>
        <w:rPr>
          <w:color w:val="auto"/>
          <w:sz w:val="21"/>
          <w:szCs w:val="21"/>
          <w:highlight w:val="none"/>
        </w:rPr>
      </w:pPr>
    </w:p>
    <w:p>
      <w:pPr>
        <w:spacing w:line="115" w:lineRule="auto"/>
        <w:rPr>
          <w:rFonts w:ascii="Arial"/>
          <w:color w:val="auto"/>
          <w:sz w:val="21"/>
          <w:szCs w:val="21"/>
          <w:highlight w:val="none"/>
        </w:rPr>
      </w:pPr>
    </w:p>
    <w:tbl>
      <w:tblPr>
        <w:tblStyle w:val="26"/>
        <w:tblW w:w="5889" w:type="dxa"/>
        <w:tblInd w:w="1977"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5889"/>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231" w:hRule="atLeast"/>
        </w:trPr>
        <w:tc>
          <w:tcPr>
            <w:tcW w:w="5889" w:type="dxa"/>
            <w:vAlign w:val="top"/>
          </w:tcPr>
          <w:p>
            <w:pPr>
              <w:spacing w:line="329" w:lineRule="auto"/>
              <w:rPr>
                <w:rFonts w:ascii="Arial"/>
                <w:color w:val="auto"/>
                <w:sz w:val="21"/>
                <w:szCs w:val="21"/>
                <w:highlight w:val="none"/>
              </w:rPr>
            </w:pPr>
          </w:p>
          <w:p>
            <w:pPr>
              <w:spacing w:before="65" w:line="227" w:lineRule="auto"/>
              <w:ind w:left="1899"/>
              <w:rPr>
                <w:rFonts w:ascii="宋体" w:hAnsi="宋体" w:eastAsia="宋体" w:cs="宋体"/>
                <w:color w:val="auto"/>
                <w:sz w:val="21"/>
                <w:szCs w:val="21"/>
                <w:highlight w:val="none"/>
              </w:rPr>
            </w:pPr>
            <w:r>
              <w:rPr>
                <w:rFonts w:ascii="宋体" w:hAnsi="宋体" w:eastAsia="宋体" w:cs="宋体"/>
                <w:color w:val="auto"/>
                <w:spacing w:val="9"/>
                <w:sz w:val="21"/>
                <w:szCs w:val="21"/>
                <w:highlight w:val="none"/>
              </w:rPr>
              <w:t>法定代表人身份证扫描件</w:t>
            </w:r>
          </w:p>
        </w:tc>
      </w:tr>
    </w:tbl>
    <w:p>
      <w:pPr>
        <w:rPr>
          <w:rFonts w:ascii="Arial"/>
          <w:color w:val="auto"/>
          <w:sz w:val="21"/>
          <w:highlight w:val="none"/>
        </w:rPr>
      </w:pPr>
    </w:p>
    <w:p>
      <w:pPr>
        <w:rPr>
          <w:color w:val="auto"/>
          <w:highlight w:val="none"/>
        </w:rPr>
        <w:sectPr>
          <w:pgSz w:w="11900" w:h="16840"/>
          <w:pgMar w:top="1160" w:right="1354" w:bottom="1448" w:left="1363" w:header="883" w:footer="1234" w:gutter="0"/>
          <w:pgNumType w:fmt="decimal"/>
          <w:cols w:space="720" w:num="1"/>
        </w:sectPr>
      </w:pPr>
    </w:p>
    <w:p>
      <w:pPr>
        <w:numPr>
          <w:ilvl w:val="0"/>
          <w:numId w:val="0"/>
        </w:numPr>
        <w:spacing w:before="282" w:line="220" w:lineRule="auto"/>
        <w:ind w:left="3170" w:leftChars="0" w:right="3174" w:rightChars="0"/>
        <w:outlineLvl w:val="2"/>
        <w:rPr>
          <w:rFonts w:hint="eastAsia" w:ascii="宋体" w:hAnsi="宋体" w:eastAsia="宋体" w:cs="宋体"/>
          <w:color w:val="auto"/>
          <w:sz w:val="36"/>
          <w:szCs w:val="36"/>
          <w:highlight w:val="none"/>
        </w:rPr>
      </w:pPr>
      <w:bookmarkStart w:id="735" w:name="_bookmark207"/>
      <w:bookmarkEnd w:id="735"/>
      <w:bookmarkStart w:id="736" w:name="_Toc2922"/>
      <w:r>
        <w:rPr>
          <w:rFonts w:hint="eastAsia" w:ascii="宋体" w:hAnsi="宋体" w:eastAsia="宋体" w:cs="宋体"/>
          <w:color w:val="auto"/>
          <w:spacing w:val="-22"/>
          <w:sz w:val="36"/>
          <w:szCs w:val="36"/>
          <w:highlight w:val="none"/>
          <w:lang w:val="en-US" w:eastAsia="zh-CN"/>
        </w:rPr>
        <w:t>三、</w:t>
      </w:r>
      <w:r>
        <w:rPr>
          <w:rFonts w:hint="eastAsia" w:ascii="宋体" w:hAnsi="宋体" w:eastAsia="宋体" w:cs="宋体"/>
          <w:color w:val="auto"/>
          <w:spacing w:val="-22"/>
          <w:sz w:val="36"/>
          <w:szCs w:val="36"/>
          <w:highlight w:val="none"/>
        </w:rPr>
        <w:t>联合体协议书</w:t>
      </w:r>
      <w:bookmarkEnd w:id="736"/>
      <w:r>
        <w:rPr>
          <w:rFonts w:hint="eastAsia" w:ascii="宋体" w:hAnsi="宋体" w:eastAsia="宋体" w:cs="宋体"/>
          <w:color w:val="auto"/>
          <w:sz w:val="36"/>
          <w:szCs w:val="36"/>
          <w:highlight w:val="none"/>
        </w:rPr>
        <w:t xml:space="preserve"> </w:t>
      </w:r>
    </w:p>
    <w:p>
      <w:pPr>
        <w:numPr>
          <w:ilvl w:val="0"/>
          <w:numId w:val="0"/>
        </w:numPr>
        <w:spacing w:before="282" w:line="220" w:lineRule="auto"/>
        <w:ind w:right="3174" w:rightChars="0"/>
        <w:jc w:val="center"/>
        <w:rPr>
          <w:rFonts w:hint="eastAsia" w:ascii="宋体" w:hAnsi="宋体" w:eastAsia="宋体" w:cs="宋体"/>
          <w:color w:val="auto"/>
          <w:sz w:val="22"/>
          <w:szCs w:val="22"/>
          <w:highlight w:val="none"/>
        </w:rPr>
      </w:pPr>
      <w:r>
        <w:rPr>
          <w:rFonts w:hint="eastAsia" w:ascii="宋体" w:hAnsi="宋体" w:eastAsia="宋体" w:cs="宋体"/>
          <w:color w:val="auto"/>
          <w:spacing w:val="26"/>
          <w:sz w:val="20"/>
          <w:szCs w:val="20"/>
          <w:highlight w:val="none"/>
          <w:lang w:val="en-US" w:eastAsia="zh-CN"/>
        </w:rPr>
        <w:t xml:space="preserve">                      </w:t>
      </w:r>
      <w:r>
        <w:rPr>
          <w:rFonts w:hint="eastAsia" w:ascii="宋体" w:hAnsi="宋体" w:eastAsia="宋体" w:cs="宋体"/>
          <w:color w:val="auto"/>
          <w:spacing w:val="26"/>
          <w:sz w:val="22"/>
          <w:szCs w:val="22"/>
          <w:highlight w:val="none"/>
          <w:lang w:val="en-US" w:eastAsia="zh-CN"/>
        </w:rPr>
        <w:t xml:space="preserve"> </w:t>
      </w:r>
      <w:r>
        <w:rPr>
          <w:rFonts w:hint="eastAsia" w:ascii="宋体" w:hAnsi="宋体" w:eastAsia="宋体" w:cs="宋体"/>
          <w:color w:val="auto"/>
          <w:spacing w:val="26"/>
          <w:sz w:val="22"/>
          <w:szCs w:val="22"/>
          <w:highlight w:val="none"/>
        </w:rPr>
        <w:t>(</w:t>
      </w:r>
      <w:r>
        <w:rPr>
          <w:rFonts w:hint="eastAsia" w:ascii="宋体" w:hAnsi="宋体" w:eastAsia="宋体" w:cs="宋体"/>
          <w:color w:val="auto"/>
          <w:spacing w:val="25"/>
          <w:sz w:val="22"/>
          <w:szCs w:val="22"/>
          <w:highlight w:val="none"/>
        </w:rPr>
        <w:t>如有)</w:t>
      </w:r>
    </w:p>
    <w:p>
      <w:pPr>
        <w:spacing w:line="454" w:lineRule="auto"/>
        <w:rPr>
          <w:rFonts w:hint="eastAsia" w:ascii="宋体" w:hAnsi="宋体" w:eastAsia="宋体" w:cs="宋体"/>
          <w:color w:val="auto"/>
          <w:sz w:val="22"/>
          <w:szCs w:val="22"/>
          <w:highlight w:val="none"/>
        </w:rPr>
      </w:pPr>
    </w:p>
    <w:p>
      <w:pPr>
        <w:keepNext w:val="0"/>
        <w:keepLines w:val="0"/>
        <w:pageBreakBefore w:val="0"/>
        <w:widowControl/>
        <w:tabs>
          <w:tab w:val="left" w:pos="2215"/>
        </w:tabs>
        <w:kinsoku/>
        <w:wordWrap/>
        <w:overflowPunct/>
        <w:topLinePunct w:val="0"/>
        <w:autoSpaceDE w:val="0"/>
        <w:autoSpaceDN w:val="0"/>
        <w:bidi w:val="0"/>
        <w:adjustRightInd w:val="0"/>
        <w:snapToGrid w:val="0"/>
        <w:spacing w:line="400" w:lineRule="exact"/>
        <w:ind w:right="26"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u w:val="single" w:color="auto"/>
        </w:rPr>
        <w:tab/>
      </w:r>
      <w:r>
        <w:rPr>
          <w:rFonts w:hint="eastAsia" w:ascii="宋体" w:hAnsi="宋体" w:eastAsia="宋体" w:cs="宋体"/>
          <w:color w:val="auto"/>
          <w:spacing w:val="0"/>
          <w:position w:val="0"/>
          <w:sz w:val="21"/>
          <w:szCs w:val="21"/>
          <w:highlight w:val="none"/>
        </w:rPr>
        <w:t>(所有成员单位名称) 自愿组成_________________ (联合体名称) ，共同参 加</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(项目名称) _____标段施工投标。现就联合体投标事宜订立如下协议。</w:t>
      </w:r>
    </w:p>
    <w:p>
      <w:pPr>
        <w:keepNext w:val="0"/>
        <w:keepLines w:val="0"/>
        <w:pageBreakBefore w:val="0"/>
        <w:widowControl/>
        <w:kinsoku/>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(某成员单位名称) 为_________________  (联合体名称) 牵头人。</w:t>
      </w:r>
    </w:p>
    <w:p>
      <w:pPr>
        <w:keepNext w:val="0"/>
        <w:keepLines w:val="0"/>
        <w:pageBreakBefore w:val="0"/>
        <w:widowControl/>
        <w:kinsoku/>
        <w:wordWrap/>
        <w:overflowPunct/>
        <w:topLinePunct w:val="0"/>
        <w:autoSpaceDE w:val="0"/>
        <w:autoSpaceDN w:val="0"/>
        <w:bidi w:val="0"/>
        <w:adjustRightInd w:val="0"/>
        <w:snapToGrid w:val="0"/>
        <w:spacing w:line="400" w:lineRule="exact"/>
        <w:ind w:right="23"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2、联合体各成员授权牵头人代表联合体参加投标活动，签署文件，提交和接收相关的资料、信息及指示，进行合同谈判活动，负责合同实施阶段的组织和协调工作，以及处理与本招标项目有关的一切事宜。</w:t>
      </w:r>
    </w:p>
    <w:p>
      <w:pPr>
        <w:keepNext w:val="0"/>
        <w:keepLines w:val="0"/>
        <w:pageBreakBefore w:val="0"/>
        <w:widowControl/>
        <w:kinsoku/>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3、联合体牵头人在本项目中签署的一切文件和处理的一切事宜，联合体各成员均予以承认。联合体各成员将严格按照招标文件、投标文件和合同的要求全面履行义务，并向招标人承担连带责任。</w:t>
      </w:r>
    </w:p>
    <w:p>
      <w:pPr>
        <w:keepNext w:val="0"/>
        <w:keepLines w:val="0"/>
        <w:pageBreakBefore w:val="0"/>
        <w:widowControl/>
        <w:kinsoku/>
        <w:wordWrap/>
        <w:overflowPunct/>
        <w:topLinePunct w:val="0"/>
        <w:autoSpaceDE w:val="0"/>
        <w:autoSpaceDN w:val="0"/>
        <w:bidi w:val="0"/>
        <w:adjustRightInd w:val="0"/>
        <w:snapToGrid w:val="0"/>
        <w:spacing w:line="400" w:lineRule="exact"/>
        <w:ind w:right="26"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4、联合体各成员单位内部的职责分工如下：</w:t>
      </w:r>
      <w:r>
        <w:rPr>
          <w:rFonts w:hint="eastAsia" w:ascii="宋体" w:hAnsi="宋体" w:eastAsia="宋体" w:cs="宋体"/>
          <w:color w:val="auto"/>
          <w:spacing w:val="0"/>
          <w:position w:val="0"/>
          <w:sz w:val="21"/>
          <w:szCs w:val="21"/>
          <w:highlight w:val="none"/>
          <w:u w:val="single" w:color="auto"/>
        </w:rPr>
        <w:t xml:space="preserve"> (牵头人名称) </w:t>
      </w:r>
      <w:r>
        <w:rPr>
          <w:rFonts w:hint="eastAsia" w:ascii="宋体" w:hAnsi="宋体" w:eastAsia="宋体" w:cs="宋体"/>
          <w:color w:val="auto"/>
          <w:spacing w:val="0"/>
          <w:position w:val="0"/>
          <w:sz w:val="21"/>
          <w:szCs w:val="21"/>
          <w:highlight w:val="none"/>
        </w:rPr>
        <w:t>承担________专业工程，占总工程量的____%；</w:t>
      </w:r>
      <w:r>
        <w:rPr>
          <w:rFonts w:hint="eastAsia" w:ascii="宋体" w:hAnsi="宋体" w:eastAsia="宋体" w:cs="宋体"/>
          <w:color w:val="auto"/>
          <w:spacing w:val="0"/>
          <w:position w:val="0"/>
          <w:sz w:val="21"/>
          <w:szCs w:val="21"/>
          <w:highlight w:val="none"/>
          <w:u w:val="single" w:color="auto"/>
        </w:rPr>
        <w:t xml:space="preserve"> (成员一名称) </w:t>
      </w:r>
      <w:r>
        <w:rPr>
          <w:rFonts w:hint="eastAsia" w:ascii="宋体" w:hAnsi="宋体" w:eastAsia="宋体" w:cs="宋体"/>
          <w:color w:val="auto"/>
          <w:spacing w:val="0"/>
          <w:position w:val="0"/>
          <w:sz w:val="21"/>
          <w:szCs w:val="21"/>
          <w:highlight w:val="none"/>
        </w:rPr>
        <w:t>承担________专业工程，占总工程量的______ %； ……。</w:t>
      </w:r>
    </w:p>
    <w:p>
      <w:pPr>
        <w:keepNext w:val="0"/>
        <w:keepLines w:val="0"/>
        <w:pageBreakBefore w:val="0"/>
        <w:widowControl/>
        <w:kinsoku/>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w:t>
      </w:r>
      <w:r>
        <w:rPr>
          <w:rFonts w:hint="eastAsia" w:ascii="宋体" w:hAnsi="宋体" w:eastAsia="宋体" w:cs="宋体"/>
          <w:color w:val="auto"/>
          <w:spacing w:val="0"/>
          <w:position w:val="0"/>
          <w:sz w:val="21"/>
          <w:szCs w:val="21"/>
          <w:highlight w:val="none"/>
          <w:lang w:eastAsia="zh-CN"/>
        </w:rPr>
        <w:t>、</w:t>
      </w:r>
      <w:r>
        <w:rPr>
          <w:rFonts w:hint="eastAsia" w:ascii="宋体" w:hAnsi="宋体" w:eastAsia="宋体" w:cs="宋体"/>
          <w:color w:val="auto"/>
          <w:spacing w:val="0"/>
          <w:position w:val="0"/>
          <w:sz w:val="21"/>
          <w:szCs w:val="21"/>
          <w:highlight w:val="none"/>
        </w:rPr>
        <w:t>投标工作和联合体在中标后工程实施过程中的有关费用按各自承担的工作量分摊。</w:t>
      </w:r>
    </w:p>
    <w:p>
      <w:pPr>
        <w:keepNext w:val="0"/>
        <w:keepLines w:val="0"/>
        <w:pageBreakBefore w:val="0"/>
        <w:widowControl/>
        <w:kinsoku/>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6、本协议书自所有成员单位签署之日起生效，合同履行完毕后自动失效。</w:t>
      </w:r>
    </w:p>
    <w:p>
      <w:pPr>
        <w:keepNext w:val="0"/>
        <w:keepLines w:val="0"/>
        <w:pageBreakBefore w:val="0"/>
        <w:widowControl/>
        <w:kinsoku/>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7、本协议书一式</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份，联合体成员和招标人各执一份。</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牵头人名称：</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u w:val="single" w:color="auto"/>
          <w:lang w:val="en-US" w:eastAsia="zh-CN"/>
        </w:rPr>
        <w:t xml:space="preserve"> </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1"/>
          <w:sz w:val="21"/>
          <w:szCs w:val="21"/>
          <w:highlight w:val="none"/>
        </w:rPr>
        <w:t>（盖单位电子公章）</w:t>
      </w:r>
      <w:r>
        <w:rPr>
          <w:rFonts w:hint="eastAsia" w:ascii="宋体" w:hAnsi="宋体" w:eastAsia="宋体" w:cs="宋体"/>
          <w:color w:val="auto"/>
          <w:spacing w:val="0"/>
          <w:position w:val="0"/>
          <w:sz w:val="21"/>
          <w:szCs w:val="21"/>
          <w:highlight w:val="none"/>
          <w:lang w:val="en-US" w:eastAsia="zh-CN"/>
        </w:rPr>
        <w:t xml:space="preserve">  </w:t>
      </w:r>
      <w:r>
        <w:rPr>
          <w:rFonts w:hint="eastAsia" w:ascii="宋体" w:hAnsi="宋体" w:eastAsia="宋体" w:cs="宋体"/>
          <w:color w:val="auto"/>
          <w:spacing w:val="0"/>
          <w:position w:val="0"/>
          <w:sz w:val="21"/>
          <w:szCs w:val="21"/>
          <w:highlight w:val="none"/>
        </w:rPr>
        <w:t>法定代表人：</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u w:val="none" w:color="auto"/>
        </w:rPr>
        <w:t>（盖法定代表人电子章）</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7"/>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成员一名称：</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1"/>
          <w:sz w:val="21"/>
          <w:szCs w:val="21"/>
          <w:highlight w:val="none"/>
        </w:rPr>
        <w:t>（盖单位电子公章）</w:t>
      </w:r>
      <w:r>
        <w:rPr>
          <w:rFonts w:hint="eastAsia" w:ascii="宋体" w:hAnsi="宋体" w:eastAsia="宋体" w:cs="宋体"/>
          <w:color w:val="auto"/>
          <w:spacing w:val="0"/>
          <w:position w:val="0"/>
          <w:sz w:val="21"/>
          <w:szCs w:val="21"/>
          <w:highlight w:val="none"/>
          <w:lang w:val="en-US" w:eastAsia="zh-CN"/>
        </w:rPr>
        <w:t xml:space="preserve">  </w:t>
      </w:r>
      <w:r>
        <w:rPr>
          <w:rFonts w:hint="eastAsia" w:ascii="宋体" w:hAnsi="宋体" w:eastAsia="宋体" w:cs="宋体"/>
          <w:color w:val="auto"/>
          <w:spacing w:val="0"/>
          <w:position w:val="0"/>
          <w:sz w:val="21"/>
          <w:szCs w:val="21"/>
          <w:highlight w:val="none"/>
        </w:rPr>
        <w:t>法定代表人：</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u w:val="single" w:color="auto"/>
          <w:lang w:val="en-US" w:eastAsia="zh-CN"/>
        </w:rPr>
        <w:t xml:space="preserve">   </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u w:val="none" w:color="auto"/>
        </w:rPr>
        <w:t>（盖法定代表人电子章）</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7"/>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成员二名称：</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1"/>
          <w:sz w:val="21"/>
          <w:szCs w:val="21"/>
          <w:highlight w:val="none"/>
        </w:rPr>
        <w:t>（盖单位电子公章）</w:t>
      </w:r>
      <w:r>
        <w:rPr>
          <w:rFonts w:hint="eastAsia" w:ascii="宋体" w:hAnsi="宋体" w:eastAsia="宋体" w:cs="宋体"/>
          <w:color w:val="auto"/>
          <w:spacing w:val="0"/>
          <w:position w:val="0"/>
          <w:sz w:val="21"/>
          <w:szCs w:val="21"/>
          <w:highlight w:val="none"/>
          <w:lang w:val="en-US" w:eastAsia="zh-CN"/>
        </w:rPr>
        <w:t xml:space="preserve">  </w:t>
      </w:r>
      <w:r>
        <w:rPr>
          <w:rFonts w:hint="eastAsia" w:ascii="宋体" w:hAnsi="宋体" w:eastAsia="宋体" w:cs="宋体"/>
          <w:color w:val="auto"/>
          <w:spacing w:val="0"/>
          <w:position w:val="0"/>
          <w:sz w:val="21"/>
          <w:szCs w:val="21"/>
          <w:highlight w:val="none"/>
        </w:rPr>
        <w:t>法定代表人：</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u w:val="single" w:color="auto"/>
          <w:lang w:val="en-US" w:eastAsia="zh-CN"/>
        </w:rPr>
        <w:t xml:space="preserve">  </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u w:val="none" w:color="auto"/>
        </w:rPr>
        <w:t>（盖法定代表人电子章）</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57" w:line="400" w:lineRule="exact"/>
        <w:ind w:left="2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w:t>
      </w:r>
    </w:p>
    <w:p>
      <w:pPr>
        <w:keepNext w:val="0"/>
        <w:keepLines w:val="0"/>
        <w:pageBreakBefore w:val="0"/>
        <w:widowControl/>
        <w:tabs>
          <w:tab w:val="left" w:pos="3726"/>
        </w:tabs>
        <w:kinsoku w:val="0"/>
        <w:wordWrap/>
        <w:overflowPunct/>
        <w:topLinePunct w:val="0"/>
        <w:autoSpaceDE w:val="0"/>
        <w:autoSpaceDN w:val="0"/>
        <w:bidi w:val="0"/>
        <w:adjustRightInd w:val="0"/>
        <w:snapToGrid w:val="0"/>
        <w:spacing w:before="155" w:line="400" w:lineRule="exact"/>
        <w:ind w:left="2877"/>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u w:val="single" w:color="auto"/>
        </w:rPr>
        <w:tab/>
      </w:r>
      <w:r>
        <w:rPr>
          <w:rFonts w:hint="eastAsia" w:ascii="宋体" w:hAnsi="宋体" w:eastAsia="宋体" w:cs="宋体"/>
          <w:color w:val="auto"/>
          <w:spacing w:val="0"/>
          <w:position w:val="0"/>
          <w:sz w:val="21"/>
          <w:szCs w:val="21"/>
          <w:highlight w:val="none"/>
        </w:rPr>
        <w:t>年</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月</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日</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7"/>
        <w:textAlignment w:val="baseline"/>
        <w:rPr>
          <w:rFonts w:hint="eastAsia" w:ascii="宋体" w:hAnsi="宋体" w:eastAsia="宋体" w:cs="宋体"/>
          <w:color w:val="auto"/>
          <w:spacing w:val="0"/>
          <w:position w:val="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7"/>
        <w:textAlignment w:val="baseline"/>
        <w:rPr>
          <w:rFonts w:hint="eastAsia" w:ascii="宋体" w:hAnsi="宋体" w:eastAsia="宋体" w:cs="宋体"/>
          <w:color w:val="auto"/>
          <w:sz w:val="22"/>
          <w:szCs w:val="22"/>
          <w:highlight w:val="none"/>
        </w:rPr>
        <w:sectPr>
          <w:pgSz w:w="11900" w:h="16840"/>
          <w:pgMar w:top="1160" w:right="1333" w:bottom="1448" w:left="1363" w:header="883" w:footer="1234" w:gutter="0"/>
          <w:pgNumType w:fmt="decimal"/>
          <w:cols w:space="720" w:num="1"/>
        </w:sectPr>
      </w:pPr>
      <w:r>
        <w:rPr>
          <w:rFonts w:hint="eastAsia" w:ascii="宋体" w:hAnsi="宋体" w:eastAsia="宋体" w:cs="宋体"/>
          <w:color w:val="auto"/>
          <w:spacing w:val="0"/>
          <w:position w:val="0"/>
          <w:sz w:val="21"/>
          <w:szCs w:val="21"/>
          <w:highlight w:val="none"/>
        </w:rPr>
        <w:t>注：联合体协议书允许以纸质签署盖章扫描上传，联合体成员单位电子章可以单位公章代替，法定代表人电子章可以法定代表人签字或法定代表人印章代替。</w:t>
      </w:r>
    </w:p>
    <w:p>
      <w:pPr>
        <w:spacing w:before="269" w:line="223" w:lineRule="auto"/>
        <w:ind w:left="3367"/>
        <w:outlineLvl w:val="2"/>
        <w:rPr>
          <w:rFonts w:hint="eastAsia" w:ascii="宋体" w:hAnsi="宋体" w:eastAsia="宋体" w:cs="宋体"/>
          <w:color w:val="auto"/>
          <w:sz w:val="36"/>
          <w:szCs w:val="36"/>
          <w:highlight w:val="none"/>
        </w:rPr>
      </w:pPr>
      <w:bookmarkStart w:id="737" w:name="_bookmark208"/>
      <w:bookmarkEnd w:id="737"/>
      <w:bookmarkStart w:id="738" w:name="_Toc16550"/>
      <w:r>
        <w:rPr>
          <w:rFonts w:hint="eastAsia" w:ascii="宋体" w:hAnsi="宋体" w:eastAsia="宋体" w:cs="宋体"/>
          <w:color w:val="auto"/>
          <w:spacing w:val="-6"/>
          <w:sz w:val="36"/>
          <w:szCs w:val="36"/>
          <w:highlight w:val="none"/>
        </w:rPr>
        <w:t>四</w:t>
      </w:r>
      <w:r>
        <w:rPr>
          <w:rFonts w:hint="eastAsia" w:ascii="宋体" w:hAnsi="宋体" w:eastAsia="宋体" w:cs="宋体"/>
          <w:color w:val="auto"/>
          <w:spacing w:val="-5"/>
          <w:sz w:val="36"/>
          <w:szCs w:val="36"/>
          <w:highlight w:val="none"/>
        </w:rPr>
        <w:t>、投标保证金</w:t>
      </w:r>
      <w:bookmarkEnd w:id="738"/>
    </w:p>
    <w:p>
      <w:pPr>
        <w:spacing w:line="280" w:lineRule="auto"/>
        <w:rPr>
          <w:rFonts w:ascii="Arial"/>
          <w:color w:val="auto"/>
          <w:sz w:val="21"/>
          <w:highlight w:val="none"/>
        </w:rPr>
      </w:pPr>
    </w:p>
    <w:p>
      <w:pPr>
        <w:jc w:val="center"/>
        <w:rPr>
          <w:color w:val="auto"/>
          <w:sz w:val="22"/>
          <w:szCs w:val="22"/>
          <w:highlight w:val="none"/>
        </w:rPr>
        <w:sectPr>
          <w:pgSz w:w="11900" w:h="16840"/>
          <w:pgMar w:top="1160" w:right="1266" w:bottom="1448" w:left="1359" w:header="883" w:footer="1234" w:gutter="0"/>
          <w:pgNumType w:fmt="decimal"/>
          <w:cols w:space="720" w:num="1"/>
        </w:sectPr>
      </w:pPr>
      <w:r>
        <w:rPr>
          <w:rFonts w:hint="eastAsia" w:ascii="宋体" w:hAnsi="宋体" w:eastAsia="宋体" w:cs="宋体"/>
          <w:color w:val="auto"/>
          <w:spacing w:val="10"/>
          <w:sz w:val="22"/>
          <w:szCs w:val="22"/>
          <w:highlight w:val="none"/>
        </w:rPr>
        <w:t>(</w:t>
      </w:r>
      <w:r>
        <w:rPr>
          <w:rFonts w:hint="eastAsia" w:ascii="宋体" w:hAnsi="宋体" w:eastAsia="宋体" w:cs="宋体"/>
          <w:color w:val="auto"/>
          <w:spacing w:val="10"/>
          <w:sz w:val="21"/>
          <w:szCs w:val="21"/>
          <w:highlight w:val="none"/>
        </w:rPr>
        <w:t>投标保证金（或年度保证金）由评标专家在评标系统中核查是否有“已缴纳有效保证金的标识")</w:t>
      </w:r>
    </w:p>
    <w:p>
      <w:pPr>
        <w:spacing w:line="241" w:lineRule="auto"/>
        <w:rPr>
          <w:rFonts w:ascii="Arial"/>
          <w:color w:val="auto"/>
          <w:sz w:val="21"/>
          <w:highlight w:val="none"/>
        </w:rPr>
      </w:pPr>
    </w:p>
    <w:p>
      <w:pPr>
        <w:spacing w:line="241" w:lineRule="auto"/>
        <w:rPr>
          <w:rFonts w:hint="eastAsia" w:ascii="宋体" w:hAnsi="宋体" w:eastAsia="宋体" w:cs="宋体"/>
          <w:color w:val="auto"/>
          <w:sz w:val="21"/>
          <w:highlight w:val="none"/>
        </w:rPr>
      </w:pPr>
    </w:p>
    <w:p>
      <w:pPr>
        <w:spacing w:line="314" w:lineRule="auto"/>
        <w:jc w:val="center"/>
        <w:outlineLvl w:val="2"/>
        <w:rPr>
          <w:rFonts w:hint="eastAsia" w:ascii="宋体" w:hAnsi="宋体" w:eastAsia="宋体" w:cs="宋体"/>
          <w:color w:val="auto"/>
          <w:sz w:val="21"/>
          <w:highlight w:val="none"/>
        </w:rPr>
      </w:pPr>
      <w:bookmarkStart w:id="739" w:name="_bookmark210"/>
      <w:bookmarkEnd w:id="739"/>
      <w:bookmarkStart w:id="740" w:name="_bookmark209"/>
      <w:bookmarkEnd w:id="740"/>
      <w:bookmarkStart w:id="741" w:name="_Toc22076"/>
      <w:r>
        <w:rPr>
          <w:rFonts w:hint="eastAsia" w:ascii="宋体" w:hAnsi="宋体" w:eastAsia="宋体" w:cs="宋体"/>
          <w:color w:val="auto"/>
          <w:spacing w:val="-4"/>
          <w:sz w:val="36"/>
          <w:szCs w:val="36"/>
          <w:highlight w:val="none"/>
        </w:rPr>
        <w:t>五、施</w:t>
      </w:r>
      <w:r>
        <w:rPr>
          <w:rFonts w:hint="eastAsia" w:ascii="宋体" w:hAnsi="宋体" w:eastAsia="宋体" w:cs="宋体"/>
          <w:color w:val="auto"/>
          <w:spacing w:val="-2"/>
          <w:sz w:val="36"/>
          <w:szCs w:val="36"/>
          <w:highlight w:val="none"/>
        </w:rPr>
        <w:t>工组织设计</w:t>
      </w:r>
      <w:bookmarkEnd w:id="741"/>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 ．投标人应按以下要点编制施工组织设计(文字宜精练、内容具有针对性)：</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(1)总体施工组织布置及规划</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(2)主要工程项目的施工方案、方法与技术措施(尤其对重点、关键和难点工程的施工方案、方法及其措施)</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(3)工期保证体系及保证措施</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(4)工程质量管理体系及保证措施</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(5)安全生产管理体系及保证措施</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(6)环境保护、水土保持保证体系及保证措施</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(7)文明施工、文物保护保证体系及保证措施</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(8)项目风险预测与防范，事故应急预案</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(9)其他应说明的事项</w:t>
      </w:r>
    </w:p>
    <w:p>
      <w:pPr>
        <w:keepNext w:val="0"/>
        <w:keepLines w:val="0"/>
        <w:pageBreakBefore w:val="0"/>
        <w:widowControl/>
        <w:kinsoku/>
        <w:wordWrap/>
        <w:overflowPunct/>
        <w:topLinePunct w:val="0"/>
        <w:autoSpaceDE w:val="0"/>
        <w:autoSpaceDN w:val="0"/>
        <w:bidi w:val="0"/>
        <w:adjustRightInd w:val="0"/>
        <w:snapToGrid w:val="0"/>
        <w:spacing w:line="360" w:lineRule="auto"/>
        <w:ind w:right="1008" w:rightChars="0" w:firstLine="420" w:firstLineChars="200"/>
        <w:textAlignment w:val="baseline"/>
        <w:rPr>
          <w:rFonts w:hint="eastAsia" w:ascii="宋体" w:hAnsi="宋体" w:eastAsia="宋体" w:cs="宋体"/>
          <w:color w:val="auto"/>
          <w:spacing w:val="0"/>
          <w:position w:val="0"/>
          <w:sz w:val="21"/>
          <w:szCs w:val="21"/>
          <w:highlight w:val="none"/>
          <w:lang w:eastAsia="zh-CN"/>
        </w:rPr>
      </w:pPr>
      <w:r>
        <w:rPr>
          <w:rFonts w:hint="eastAsia" w:ascii="宋体" w:hAnsi="宋体" w:eastAsia="宋体" w:cs="宋体"/>
          <w:color w:val="auto"/>
          <w:spacing w:val="0"/>
          <w:position w:val="0"/>
          <w:sz w:val="21"/>
          <w:szCs w:val="21"/>
          <w:highlight w:val="none"/>
        </w:rPr>
        <w:t>2 ．施工组织设计除采用文字表述外可附下列图表，图表及格式要求附</w:t>
      </w:r>
      <w:r>
        <w:rPr>
          <w:rFonts w:hint="eastAsia" w:ascii="宋体" w:hAnsi="宋体" w:eastAsia="宋体" w:cs="宋体"/>
          <w:color w:val="auto"/>
          <w:spacing w:val="0"/>
          <w:position w:val="0"/>
          <w:sz w:val="21"/>
          <w:szCs w:val="21"/>
          <w:highlight w:val="none"/>
          <w:lang w:eastAsia="zh-CN"/>
        </w:rPr>
        <w:t>。</w:t>
      </w:r>
    </w:p>
    <w:p>
      <w:pPr>
        <w:keepNext w:val="0"/>
        <w:keepLines w:val="0"/>
        <w:pageBreakBefore w:val="0"/>
        <w:widowControl/>
        <w:kinsoku/>
        <w:wordWrap/>
        <w:overflowPunct/>
        <w:topLinePunct w:val="0"/>
        <w:autoSpaceDE w:val="0"/>
        <w:autoSpaceDN w:val="0"/>
        <w:bidi w:val="0"/>
        <w:adjustRightInd w:val="0"/>
        <w:snapToGrid w:val="0"/>
        <w:spacing w:line="360" w:lineRule="auto"/>
        <w:ind w:right="1965"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附表一 施工总体计划表</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附表二 分项工程进度率计划 (斜率图)</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附表三 工程管理曲线</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附表四 分项工程生产率和施工周期表</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附表五 施工总平面图</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附表六 劳动力计划表</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附表七 临时占地计划表</w:t>
      </w:r>
    </w:p>
    <w:p>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附表八 外供电力需求计划表</w:t>
      </w:r>
    </w:p>
    <w:p>
      <w:pPr>
        <w:spacing w:line="241"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spacing w:line="242" w:lineRule="auto"/>
        <w:rPr>
          <w:rFonts w:ascii="Arial"/>
          <w:color w:val="auto"/>
          <w:sz w:val="21"/>
          <w:highlight w:val="none"/>
        </w:rPr>
      </w:pPr>
    </w:p>
    <w:p>
      <w:pPr>
        <w:tabs>
          <w:tab w:val="left" w:pos="1563"/>
        </w:tabs>
        <w:bidi w:val="0"/>
        <w:jc w:val="left"/>
        <w:rPr>
          <w:rFonts w:hint="eastAsia" w:eastAsia="宋体"/>
          <w:color w:val="auto"/>
          <w:highlight w:val="none"/>
          <w:lang w:eastAsia="zh-CN"/>
        </w:rPr>
        <w:sectPr>
          <w:pgSz w:w="11900" w:h="16840"/>
          <w:pgMar w:top="1160" w:right="1349" w:bottom="1448" w:left="1363" w:header="883" w:footer="1234" w:gutter="0"/>
          <w:pgNumType w:fmt="decimal"/>
          <w:cols w:space="720" w:num="1"/>
        </w:sectPr>
      </w:pPr>
    </w:p>
    <w:tbl>
      <w:tblPr>
        <w:tblStyle w:val="18"/>
        <w:tblpPr w:leftFromText="180" w:rightFromText="180" w:vertAnchor="text" w:horzAnchor="page" w:tblpX="1222" w:tblpY="685"/>
        <w:tblOverlap w:val="never"/>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10"/>
        <w:gridCol w:w="490"/>
        <w:gridCol w:w="794"/>
        <w:gridCol w:w="403"/>
        <w:gridCol w:w="404"/>
        <w:gridCol w:w="404"/>
        <w:gridCol w:w="403"/>
        <w:gridCol w:w="404"/>
        <w:gridCol w:w="404"/>
        <w:gridCol w:w="404"/>
        <w:gridCol w:w="403"/>
        <w:gridCol w:w="404"/>
        <w:gridCol w:w="404"/>
        <w:gridCol w:w="404"/>
        <w:gridCol w:w="403"/>
        <w:gridCol w:w="403"/>
        <w:gridCol w:w="404"/>
        <w:gridCol w:w="404"/>
        <w:gridCol w:w="404"/>
        <w:gridCol w:w="404"/>
        <w:gridCol w:w="403"/>
        <w:gridCol w:w="40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restart"/>
            <w:tcBorders>
              <w:top w:val="nil"/>
              <w:left w:val="nil"/>
              <w:bottom w:val="nil"/>
              <w:right w:val="single" w:color="auto" w:sz="12" w:space="0"/>
            </w:tcBorders>
            <w:noWrap w:val="0"/>
            <w:textDirection w:val="btLr"/>
            <w:vAlign w:val="center"/>
          </w:tcPr>
          <w:p>
            <w:pPr>
              <w:spacing w:line="420" w:lineRule="exact"/>
              <w:ind w:right="113"/>
              <w:rPr>
                <w:rFonts w:hint="eastAsia" w:ascii="黑体" w:eastAsia="黑体"/>
                <w:color w:val="auto"/>
                <w:sz w:val="32"/>
                <w:szCs w:val="32"/>
                <w:highlight w:val="none"/>
              </w:rPr>
            </w:pPr>
            <w:bookmarkStart w:id="742" w:name="_bookmark211"/>
            <w:bookmarkEnd w:id="742"/>
            <w:r>
              <w:rPr>
                <w:rFonts w:hint="eastAsia" w:ascii="黑体" w:eastAsia="黑体"/>
                <w:color w:val="auto"/>
                <w:sz w:val="32"/>
                <w:szCs w:val="32"/>
                <w:highlight w:val="none"/>
              </w:rPr>
              <w:t xml:space="preserve"> </w:t>
            </w:r>
            <w:r>
              <w:rPr>
                <w:rFonts w:hint="eastAsia" w:ascii="宋体" w:hAnsi="宋体" w:eastAsia="宋体" w:cs="宋体"/>
                <w:b/>
                <w:bCs/>
                <w:color w:val="auto"/>
                <w:spacing w:val="-3"/>
                <w:sz w:val="24"/>
                <w:szCs w:val="24"/>
                <w:highlight w:val="none"/>
              </w:rPr>
              <w:t>附表一  施工总体计划表</w:t>
            </w:r>
          </w:p>
        </w:tc>
        <w:tc>
          <w:tcPr>
            <w:tcW w:w="490" w:type="dxa"/>
            <w:vMerge w:val="restart"/>
            <w:tcBorders>
              <w:top w:val="single" w:color="auto" w:sz="12" w:space="0"/>
              <w:left w:val="single" w:color="auto" w:sz="12" w:space="0"/>
            </w:tcBorders>
            <w:noWrap w:val="0"/>
            <w:textDirection w:val="btLr"/>
            <w:vAlign w:val="center"/>
          </w:tcPr>
          <w:p>
            <w:pPr>
              <w:spacing w:line="200" w:lineRule="exact"/>
              <w:ind w:left="113" w:leftChars="54" w:right="113" w:firstLine="180" w:firstLineChars="100"/>
              <w:rPr>
                <w:rFonts w:hint="eastAsia" w:eastAsia="宋体"/>
                <w:color w:val="auto"/>
                <w:sz w:val="18"/>
                <w:szCs w:val="18"/>
                <w:highlight w:val="none"/>
                <w:lang w:val="en-US" w:eastAsia="zh-CN"/>
              </w:rPr>
            </w:pPr>
            <w:r>
              <w:rPr>
                <w:color w:val="auto"/>
                <w:sz w:val="18"/>
                <w:szCs w:val="18"/>
                <w:highlight w:val="none"/>
              </w:rPr>
              <w:t xml:space="preserve">    </w:t>
            </w:r>
            <w:r>
              <w:rPr>
                <w:color w:val="auto"/>
                <w:sz w:val="18"/>
                <w:szCs w:val="18"/>
                <w:highlight w:val="none"/>
                <w:u w:val="single"/>
              </w:rPr>
              <w:t xml:space="preserve">       </w:t>
            </w:r>
            <w:r>
              <w:rPr>
                <w:rFonts w:hAnsi="宋体"/>
                <w:color w:val="auto"/>
                <w:sz w:val="18"/>
                <w:szCs w:val="18"/>
                <w:highlight w:val="none"/>
              </w:rPr>
              <w:t>年</w:t>
            </w:r>
            <w:r>
              <w:rPr>
                <w:rFonts w:hint="eastAsia" w:hAnsi="宋体" w:eastAsia="宋体"/>
                <w:color w:val="auto"/>
                <w:sz w:val="18"/>
                <w:szCs w:val="18"/>
                <w:highlight w:val="none"/>
                <w:lang w:val="en-US" w:eastAsia="zh-CN"/>
              </w:rPr>
              <w:t>度</w:t>
            </w:r>
          </w:p>
        </w:tc>
        <w:tc>
          <w:tcPr>
            <w:tcW w:w="794" w:type="dxa"/>
            <w:noWrap w:val="0"/>
            <w:textDirection w:val="btLr"/>
            <w:vAlign w:val="center"/>
          </w:tcPr>
          <w:p>
            <w:pPr>
              <w:spacing w:line="200" w:lineRule="exact"/>
              <w:ind w:left="113" w:right="113"/>
              <w:jc w:val="center"/>
              <w:rPr>
                <w:rFonts w:ascii="宋体" w:hAnsi="宋体"/>
                <w:color w:val="auto"/>
                <w:sz w:val="18"/>
                <w:szCs w:val="18"/>
                <w:highlight w:val="none"/>
              </w:rPr>
            </w:pPr>
            <w:r>
              <w:rPr>
                <w:rFonts w:ascii="宋体" w:hAnsi="宋体"/>
                <w:color w:val="auto"/>
                <w:sz w:val="18"/>
                <w:szCs w:val="18"/>
                <w:highlight w:val="none"/>
              </w:rPr>
              <w:t>…</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btLr"/>
            <w:vAlign w:val="top"/>
          </w:tcPr>
          <w:p>
            <w:pPr>
              <w:spacing w:line="200" w:lineRule="exact"/>
              <w:ind w:left="113" w:right="113"/>
              <w:rPr>
                <w:color w:val="auto"/>
                <w:sz w:val="18"/>
                <w:szCs w:val="18"/>
                <w:highlight w:val="none"/>
              </w:rPr>
            </w:pPr>
          </w:p>
        </w:tc>
        <w:tc>
          <w:tcPr>
            <w:tcW w:w="490" w:type="dxa"/>
            <w:vMerge w:val="continue"/>
            <w:tcBorders>
              <w:left w:val="single" w:color="auto" w:sz="12" w:space="0"/>
            </w:tcBorders>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ind w:left="113" w:right="113"/>
              <w:rPr>
                <w:color w:val="auto"/>
                <w:sz w:val="18"/>
                <w:szCs w:val="18"/>
                <w:highlight w:val="none"/>
              </w:rPr>
            </w:pPr>
            <w:r>
              <w:rPr>
                <w:color w:val="auto"/>
                <w:sz w:val="18"/>
                <w:szCs w:val="18"/>
                <w:highlight w:val="none"/>
              </w:rPr>
              <w:t>5</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btLr"/>
            <w:vAlign w:val="top"/>
          </w:tcPr>
          <w:p>
            <w:pPr>
              <w:spacing w:line="200" w:lineRule="exact"/>
              <w:ind w:left="113" w:right="113"/>
              <w:rPr>
                <w:color w:val="auto"/>
                <w:sz w:val="18"/>
                <w:szCs w:val="18"/>
                <w:highlight w:val="none"/>
              </w:rPr>
            </w:pPr>
          </w:p>
        </w:tc>
        <w:tc>
          <w:tcPr>
            <w:tcW w:w="490" w:type="dxa"/>
            <w:vMerge w:val="continue"/>
            <w:tcBorders>
              <w:left w:val="single" w:color="auto" w:sz="12" w:space="0"/>
            </w:tcBorders>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ind w:left="113" w:right="113"/>
              <w:rPr>
                <w:color w:val="auto"/>
                <w:sz w:val="18"/>
                <w:szCs w:val="18"/>
                <w:highlight w:val="none"/>
              </w:rPr>
            </w:pPr>
            <w:r>
              <w:rPr>
                <w:color w:val="auto"/>
                <w:sz w:val="18"/>
                <w:szCs w:val="18"/>
                <w:highlight w:val="none"/>
              </w:rPr>
              <w:t>4</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btLr"/>
            <w:vAlign w:val="top"/>
          </w:tcPr>
          <w:p>
            <w:pPr>
              <w:spacing w:line="200" w:lineRule="exact"/>
              <w:ind w:left="113" w:right="113"/>
              <w:rPr>
                <w:color w:val="auto"/>
                <w:sz w:val="18"/>
                <w:szCs w:val="18"/>
                <w:highlight w:val="none"/>
              </w:rPr>
            </w:pPr>
          </w:p>
        </w:tc>
        <w:tc>
          <w:tcPr>
            <w:tcW w:w="490" w:type="dxa"/>
            <w:vMerge w:val="continue"/>
            <w:tcBorders>
              <w:left w:val="single" w:color="auto" w:sz="12" w:space="0"/>
            </w:tcBorders>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ind w:left="113" w:right="113"/>
              <w:rPr>
                <w:color w:val="auto"/>
                <w:sz w:val="18"/>
                <w:szCs w:val="18"/>
                <w:highlight w:val="none"/>
              </w:rPr>
            </w:pPr>
            <w:r>
              <w:rPr>
                <w:color w:val="auto"/>
                <w:sz w:val="18"/>
                <w:szCs w:val="18"/>
                <w:highlight w:val="none"/>
              </w:rPr>
              <w:t>3</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btLr"/>
            <w:vAlign w:val="top"/>
          </w:tcPr>
          <w:p>
            <w:pPr>
              <w:spacing w:line="200" w:lineRule="exact"/>
              <w:ind w:left="113" w:right="113"/>
              <w:rPr>
                <w:color w:val="auto"/>
                <w:sz w:val="18"/>
                <w:szCs w:val="18"/>
                <w:highlight w:val="none"/>
              </w:rPr>
            </w:pPr>
          </w:p>
        </w:tc>
        <w:tc>
          <w:tcPr>
            <w:tcW w:w="490" w:type="dxa"/>
            <w:vMerge w:val="continue"/>
            <w:tcBorders>
              <w:left w:val="single" w:color="auto" w:sz="12" w:space="0"/>
            </w:tcBorders>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ind w:left="113" w:right="113"/>
              <w:rPr>
                <w:color w:val="auto"/>
                <w:sz w:val="18"/>
                <w:szCs w:val="18"/>
                <w:highlight w:val="none"/>
              </w:rPr>
            </w:pPr>
            <w:r>
              <w:rPr>
                <w:color w:val="auto"/>
                <w:sz w:val="18"/>
                <w:szCs w:val="18"/>
                <w:highlight w:val="none"/>
              </w:rPr>
              <w:t>2</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btLr"/>
            <w:vAlign w:val="top"/>
          </w:tcPr>
          <w:p>
            <w:pPr>
              <w:spacing w:line="200" w:lineRule="exact"/>
              <w:ind w:left="113" w:right="113"/>
              <w:rPr>
                <w:color w:val="auto"/>
                <w:sz w:val="18"/>
                <w:szCs w:val="18"/>
                <w:highlight w:val="none"/>
              </w:rPr>
            </w:pPr>
          </w:p>
        </w:tc>
        <w:tc>
          <w:tcPr>
            <w:tcW w:w="490" w:type="dxa"/>
            <w:vMerge w:val="continue"/>
            <w:tcBorders>
              <w:left w:val="single" w:color="auto" w:sz="12" w:space="0"/>
            </w:tcBorders>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ind w:left="113" w:right="113"/>
              <w:rPr>
                <w:color w:val="auto"/>
                <w:sz w:val="18"/>
                <w:szCs w:val="18"/>
                <w:highlight w:val="none"/>
              </w:rPr>
            </w:pPr>
            <w:r>
              <w:rPr>
                <w:color w:val="auto"/>
                <w:sz w:val="18"/>
                <w:szCs w:val="18"/>
                <w:highlight w:val="none"/>
              </w:rPr>
              <w:t>1</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btLr"/>
            <w:vAlign w:val="top"/>
          </w:tcPr>
          <w:p>
            <w:pPr>
              <w:spacing w:line="200" w:lineRule="exact"/>
              <w:ind w:left="113" w:leftChars="54" w:right="113" w:firstLine="180" w:firstLineChars="100"/>
              <w:rPr>
                <w:color w:val="auto"/>
                <w:sz w:val="18"/>
                <w:szCs w:val="18"/>
                <w:highlight w:val="none"/>
              </w:rPr>
            </w:pPr>
          </w:p>
        </w:tc>
        <w:tc>
          <w:tcPr>
            <w:tcW w:w="490" w:type="dxa"/>
            <w:vMerge w:val="restart"/>
            <w:tcBorders>
              <w:left w:val="single" w:color="auto" w:sz="12" w:space="0"/>
            </w:tcBorders>
            <w:noWrap w:val="0"/>
            <w:textDirection w:val="btLr"/>
            <w:vAlign w:val="center"/>
          </w:tcPr>
          <w:p>
            <w:pPr>
              <w:spacing w:line="200" w:lineRule="exact"/>
              <w:ind w:left="113" w:leftChars="54" w:right="113" w:firstLine="180" w:firstLineChars="100"/>
              <w:rPr>
                <w:rFonts w:hint="eastAsia" w:eastAsia="宋体"/>
                <w:color w:val="auto"/>
                <w:sz w:val="18"/>
                <w:szCs w:val="18"/>
                <w:highlight w:val="none"/>
                <w:lang w:val="en-US" w:eastAsia="zh-CN"/>
              </w:rPr>
            </w:pPr>
            <w:r>
              <w:rPr>
                <w:color w:val="auto"/>
                <w:sz w:val="18"/>
                <w:szCs w:val="18"/>
                <w:highlight w:val="none"/>
              </w:rPr>
              <w:t xml:space="preserve">                 </w:t>
            </w:r>
            <w:r>
              <w:rPr>
                <w:color w:val="auto"/>
                <w:sz w:val="18"/>
                <w:szCs w:val="18"/>
                <w:highlight w:val="none"/>
                <w:u w:val="single"/>
              </w:rPr>
              <w:t xml:space="preserve">        </w:t>
            </w:r>
            <w:r>
              <w:rPr>
                <w:rFonts w:hAnsi="宋体"/>
                <w:color w:val="auto"/>
                <w:sz w:val="18"/>
                <w:szCs w:val="18"/>
                <w:highlight w:val="none"/>
              </w:rPr>
              <w:t>年</w:t>
            </w:r>
            <w:r>
              <w:rPr>
                <w:rFonts w:hint="eastAsia" w:hAnsi="宋体" w:eastAsia="宋体"/>
                <w:color w:val="auto"/>
                <w:sz w:val="18"/>
                <w:szCs w:val="18"/>
                <w:highlight w:val="none"/>
                <w:lang w:val="en-US" w:eastAsia="zh-CN"/>
              </w:rPr>
              <w:t>度</w:t>
            </w: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12</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btLr"/>
            <w:vAlign w:val="top"/>
          </w:tcPr>
          <w:p>
            <w:pPr>
              <w:spacing w:line="200" w:lineRule="exact"/>
              <w:ind w:left="113" w:right="113"/>
              <w:rPr>
                <w:color w:val="auto"/>
                <w:sz w:val="18"/>
                <w:szCs w:val="18"/>
                <w:highlight w:val="none"/>
              </w:rPr>
            </w:pPr>
          </w:p>
        </w:tc>
        <w:tc>
          <w:tcPr>
            <w:tcW w:w="490" w:type="dxa"/>
            <w:vMerge w:val="continue"/>
            <w:tcBorders>
              <w:left w:val="single" w:color="auto" w:sz="12" w:space="0"/>
            </w:tcBorders>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11</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btLr"/>
            <w:vAlign w:val="top"/>
          </w:tcPr>
          <w:p>
            <w:pPr>
              <w:spacing w:line="200" w:lineRule="exact"/>
              <w:ind w:left="113" w:right="113"/>
              <w:rPr>
                <w:color w:val="auto"/>
                <w:sz w:val="18"/>
                <w:szCs w:val="18"/>
                <w:highlight w:val="none"/>
              </w:rPr>
            </w:pPr>
          </w:p>
        </w:tc>
        <w:tc>
          <w:tcPr>
            <w:tcW w:w="490" w:type="dxa"/>
            <w:vMerge w:val="continue"/>
            <w:tcBorders>
              <w:left w:val="single" w:color="auto" w:sz="12" w:space="0"/>
            </w:tcBorders>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10</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btLr"/>
            <w:vAlign w:val="top"/>
          </w:tcPr>
          <w:p>
            <w:pPr>
              <w:spacing w:line="200" w:lineRule="exact"/>
              <w:ind w:left="113" w:right="113"/>
              <w:rPr>
                <w:color w:val="auto"/>
                <w:sz w:val="18"/>
                <w:szCs w:val="18"/>
                <w:highlight w:val="none"/>
              </w:rPr>
            </w:pPr>
          </w:p>
        </w:tc>
        <w:tc>
          <w:tcPr>
            <w:tcW w:w="490" w:type="dxa"/>
            <w:vMerge w:val="continue"/>
            <w:tcBorders>
              <w:left w:val="single" w:color="auto" w:sz="12" w:space="0"/>
            </w:tcBorders>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ind w:left="113" w:right="113"/>
              <w:rPr>
                <w:color w:val="auto"/>
                <w:sz w:val="18"/>
                <w:szCs w:val="18"/>
                <w:highlight w:val="none"/>
              </w:rPr>
            </w:pPr>
            <w:r>
              <w:rPr>
                <w:color w:val="auto"/>
                <w:sz w:val="18"/>
                <w:szCs w:val="18"/>
                <w:highlight w:val="none"/>
              </w:rPr>
              <w:t>9</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btLr"/>
            <w:vAlign w:val="top"/>
          </w:tcPr>
          <w:p>
            <w:pPr>
              <w:spacing w:line="200" w:lineRule="exact"/>
              <w:ind w:left="113" w:right="113"/>
              <w:rPr>
                <w:color w:val="auto"/>
                <w:sz w:val="18"/>
                <w:szCs w:val="18"/>
                <w:highlight w:val="none"/>
              </w:rPr>
            </w:pPr>
          </w:p>
        </w:tc>
        <w:tc>
          <w:tcPr>
            <w:tcW w:w="490" w:type="dxa"/>
            <w:vMerge w:val="continue"/>
            <w:tcBorders>
              <w:left w:val="single" w:color="auto" w:sz="12" w:space="0"/>
            </w:tcBorders>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ind w:left="113" w:right="113"/>
              <w:rPr>
                <w:color w:val="auto"/>
                <w:sz w:val="18"/>
                <w:szCs w:val="18"/>
                <w:highlight w:val="none"/>
              </w:rPr>
            </w:pPr>
            <w:r>
              <w:rPr>
                <w:color w:val="auto"/>
                <w:sz w:val="18"/>
                <w:szCs w:val="18"/>
                <w:highlight w:val="none"/>
              </w:rPr>
              <w:t>8</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btLr"/>
            <w:vAlign w:val="top"/>
          </w:tcPr>
          <w:p>
            <w:pPr>
              <w:spacing w:line="200" w:lineRule="exact"/>
              <w:ind w:left="113" w:right="113"/>
              <w:rPr>
                <w:color w:val="auto"/>
                <w:sz w:val="18"/>
                <w:szCs w:val="18"/>
                <w:highlight w:val="none"/>
              </w:rPr>
            </w:pPr>
          </w:p>
        </w:tc>
        <w:tc>
          <w:tcPr>
            <w:tcW w:w="490" w:type="dxa"/>
            <w:vMerge w:val="continue"/>
            <w:tcBorders>
              <w:left w:val="single" w:color="auto" w:sz="12" w:space="0"/>
            </w:tcBorders>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ind w:left="113" w:right="113"/>
              <w:rPr>
                <w:color w:val="auto"/>
                <w:sz w:val="18"/>
                <w:szCs w:val="18"/>
                <w:highlight w:val="none"/>
              </w:rPr>
            </w:pPr>
            <w:r>
              <w:rPr>
                <w:color w:val="auto"/>
                <w:sz w:val="18"/>
                <w:szCs w:val="18"/>
                <w:highlight w:val="none"/>
              </w:rPr>
              <w:t>7</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btLr"/>
            <w:vAlign w:val="top"/>
          </w:tcPr>
          <w:p>
            <w:pPr>
              <w:spacing w:line="200" w:lineRule="exact"/>
              <w:ind w:left="113" w:right="113"/>
              <w:rPr>
                <w:color w:val="auto"/>
                <w:sz w:val="18"/>
                <w:szCs w:val="18"/>
                <w:highlight w:val="none"/>
              </w:rPr>
            </w:pPr>
          </w:p>
        </w:tc>
        <w:tc>
          <w:tcPr>
            <w:tcW w:w="490" w:type="dxa"/>
            <w:vMerge w:val="continue"/>
            <w:tcBorders>
              <w:left w:val="single" w:color="auto" w:sz="12" w:space="0"/>
            </w:tcBorders>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ind w:left="113" w:right="113"/>
              <w:rPr>
                <w:color w:val="auto"/>
                <w:sz w:val="18"/>
                <w:szCs w:val="18"/>
                <w:highlight w:val="none"/>
              </w:rPr>
            </w:pPr>
            <w:r>
              <w:rPr>
                <w:color w:val="auto"/>
                <w:sz w:val="18"/>
                <w:szCs w:val="18"/>
                <w:highlight w:val="none"/>
              </w:rPr>
              <w:t>6</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btLr"/>
            <w:vAlign w:val="top"/>
          </w:tcPr>
          <w:p>
            <w:pPr>
              <w:spacing w:line="200" w:lineRule="exact"/>
              <w:ind w:left="113" w:right="113"/>
              <w:rPr>
                <w:color w:val="auto"/>
                <w:sz w:val="18"/>
                <w:szCs w:val="18"/>
                <w:highlight w:val="none"/>
              </w:rPr>
            </w:pPr>
          </w:p>
        </w:tc>
        <w:tc>
          <w:tcPr>
            <w:tcW w:w="490" w:type="dxa"/>
            <w:vMerge w:val="continue"/>
            <w:tcBorders>
              <w:left w:val="single" w:color="auto" w:sz="12" w:space="0"/>
            </w:tcBorders>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ind w:left="113" w:right="113"/>
              <w:rPr>
                <w:color w:val="auto"/>
                <w:sz w:val="18"/>
                <w:szCs w:val="18"/>
                <w:highlight w:val="none"/>
              </w:rPr>
            </w:pPr>
            <w:r>
              <w:rPr>
                <w:color w:val="auto"/>
                <w:sz w:val="18"/>
                <w:szCs w:val="18"/>
                <w:highlight w:val="none"/>
              </w:rPr>
              <w:t>5</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btLr"/>
            <w:vAlign w:val="top"/>
          </w:tcPr>
          <w:p>
            <w:pPr>
              <w:spacing w:line="200" w:lineRule="exact"/>
              <w:ind w:left="113" w:right="113"/>
              <w:rPr>
                <w:color w:val="auto"/>
                <w:sz w:val="18"/>
                <w:szCs w:val="18"/>
                <w:highlight w:val="none"/>
              </w:rPr>
            </w:pPr>
          </w:p>
        </w:tc>
        <w:tc>
          <w:tcPr>
            <w:tcW w:w="490" w:type="dxa"/>
            <w:vMerge w:val="continue"/>
            <w:tcBorders>
              <w:left w:val="single" w:color="auto" w:sz="12" w:space="0"/>
            </w:tcBorders>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ind w:left="113" w:right="113"/>
              <w:rPr>
                <w:color w:val="auto"/>
                <w:sz w:val="18"/>
                <w:szCs w:val="18"/>
                <w:highlight w:val="none"/>
              </w:rPr>
            </w:pPr>
            <w:r>
              <w:rPr>
                <w:color w:val="auto"/>
                <w:sz w:val="18"/>
                <w:szCs w:val="18"/>
                <w:highlight w:val="none"/>
              </w:rPr>
              <w:t>4</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btLr"/>
            <w:vAlign w:val="top"/>
          </w:tcPr>
          <w:p>
            <w:pPr>
              <w:spacing w:line="200" w:lineRule="exact"/>
              <w:ind w:left="113" w:right="113"/>
              <w:rPr>
                <w:color w:val="auto"/>
                <w:sz w:val="18"/>
                <w:szCs w:val="18"/>
                <w:highlight w:val="none"/>
              </w:rPr>
            </w:pPr>
          </w:p>
        </w:tc>
        <w:tc>
          <w:tcPr>
            <w:tcW w:w="490" w:type="dxa"/>
            <w:vMerge w:val="continue"/>
            <w:tcBorders>
              <w:left w:val="single" w:color="auto" w:sz="12" w:space="0"/>
            </w:tcBorders>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ind w:left="113" w:right="113"/>
              <w:rPr>
                <w:color w:val="auto"/>
                <w:sz w:val="18"/>
                <w:szCs w:val="18"/>
                <w:highlight w:val="none"/>
              </w:rPr>
            </w:pPr>
            <w:r>
              <w:rPr>
                <w:color w:val="auto"/>
                <w:sz w:val="18"/>
                <w:szCs w:val="18"/>
                <w:highlight w:val="none"/>
              </w:rPr>
              <w:t>3</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btLr"/>
            <w:vAlign w:val="top"/>
          </w:tcPr>
          <w:p>
            <w:pPr>
              <w:spacing w:line="200" w:lineRule="exact"/>
              <w:ind w:left="113" w:right="113"/>
              <w:rPr>
                <w:color w:val="auto"/>
                <w:sz w:val="18"/>
                <w:szCs w:val="18"/>
                <w:highlight w:val="none"/>
              </w:rPr>
            </w:pPr>
          </w:p>
        </w:tc>
        <w:tc>
          <w:tcPr>
            <w:tcW w:w="490" w:type="dxa"/>
            <w:vMerge w:val="continue"/>
            <w:tcBorders>
              <w:left w:val="single" w:color="auto" w:sz="12" w:space="0"/>
            </w:tcBorders>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ind w:left="113" w:right="113"/>
              <w:rPr>
                <w:color w:val="auto"/>
                <w:sz w:val="18"/>
                <w:szCs w:val="18"/>
                <w:highlight w:val="none"/>
              </w:rPr>
            </w:pPr>
            <w:r>
              <w:rPr>
                <w:color w:val="auto"/>
                <w:sz w:val="18"/>
                <w:szCs w:val="18"/>
                <w:highlight w:val="none"/>
              </w:rPr>
              <w:t>2</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btLr"/>
            <w:vAlign w:val="top"/>
          </w:tcPr>
          <w:p>
            <w:pPr>
              <w:spacing w:line="200" w:lineRule="exact"/>
              <w:ind w:left="113" w:right="113"/>
              <w:rPr>
                <w:color w:val="auto"/>
                <w:sz w:val="18"/>
                <w:szCs w:val="18"/>
                <w:highlight w:val="none"/>
              </w:rPr>
            </w:pPr>
          </w:p>
        </w:tc>
        <w:tc>
          <w:tcPr>
            <w:tcW w:w="490" w:type="dxa"/>
            <w:vMerge w:val="continue"/>
            <w:tcBorders>
              <w:left w:val="single" w:color="auto" w:sz="12" w:space="0"/>
            </w:tcBorders>
            <w:noWrap w:val="0"/>
            <w:textDirection w:val="btLr"/>
            <w:vAlign w:val="center"/>
          </w:tcPr>
          <w:p>
            <w:pPr>
              <w:spacing w:line="200" w:lineRule="exact"/>
              <w:ind w:left="113" w:right="113"/>
              <w:rPr>
                <w:color w:val="auto"/>
                <w:sz w:val="18"/>
                <w:szCs w:val="18"/>
                <w:highlight w:val="none"/>
              </w:rPr>
            </w:pPr>
          </w:p>
        </w:tc>
        <w:tc>
          <w:tcPr>
            <w:tcW w:w="794" w:type="dxa"/>
            <w:noWrap w:val="0"/>
            <w:textDirection w:val="btLr"/>
            <w:vAlign w:val="center"/>
          </w:tcPr>
          <w:p>
            <w:pPr>
              <w:spacing w:line="200" w:lineRule="exact"/>
              <w:ind w:left="113" w:right="113"/>
              <w:rPr>
                <w:color w:val="auto"/>
                <w:sz w:val="18"/>
                <w:szCs w:val="18"/>
                <w:highlight w:val="none"/>
              </w:rPr>
            </w:pPr>
            <w:r>
              <w:rPr>
                <w:color w:val="auto"/>
                <w:sz w:val="18"/>
                <w:szCs w:val="18"/>
                <w:highlight w:val="none"/>
              </w:rPr>
              <w:t>1</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btLr"/>
            <w:vAlign w:val="top"/>
          </w:tcPr>
          <w:p>
            <w:pPr>
              <w:spacing w:line="200" w:lineRule="exact"/>
              <w:ind w:left="113" w:leftChars="54" w:right="113" w:firstLine="180" w:firstLineChars="100"/>
              <w:rPr>
                <w:color w:val="auto"/>
                <w:sz w:val="18"/>
                <w:szCs w:val="18"/>
                <w:highlight w:val="none"/>
              </w:rPr>
            </w:pPr>
          </w:p>
        </w:tc>
        <w:tc>
          <w:tcPr>
            <w:tcW w:w="490" w:type="dxa"/>
            <w:vMerge w:val="restart"/>
            <w:tcBorders>
              <w:left w:val="single" w:color="auto" w:sz="12" w:space="0"/>
            </w:tcBorders>
            <w:noWrap w:val="0"/>
            <w:textDirection w:val="btLr"/>
            <w:vAlign w:val="center"/>
          </w:tcPr>
          <w:p>
            <w:pPr>
              <w:spacing w:line="200" w:lineRule="exact"/>
              <w:ind w:left="113" w:leftChars="54" w:right="113" w:firstLine="180" w:firstLineChars="100"/>
              <w:rPr>
                <w:rFonts w:hint="eastAsia" w:eastAsia="宋体"/>
                <w:color w:val="auto"/>
                <w:sz w:val="18"/>
                <w:szCs w:val="18"/>
                <w:highlight w:val="none"/>
                <w:lang w:val="en-US" w:eastAsia="zh-CN"/>
              </w:rPr>
            </w:pPr>
            <w:r>
              <w:rPr>
                <w:color w:val="auto"/>
                <w:sz w:val="18"/>
                <w:szCs w:val="18"/>
                <w:highlight w:val="none"/>
              </w:rPr>
              <w:t xml:space="preserve">                  </w:t>
            </w:r>
            <w:r>
              <w:rPr>
                <w:color w:val="auto"/>
                <w:sz w:val="18"/>
                <w:szCs w:val="18"/>
                <w:highlight w:val="none"/>
                <w:u w:val="single"/>
              </w:rPr>
              <w:t xml:space="preserve">        </w:t>
            </w:r>
            <w:r>
              <w:rPr>
                <w:rFonts w:hAnsi="宋体"/>
                <w:color w:val="auto"/>
                <w:sz w:val="18"/>
                <w:szCs w:val="18"/>
                <w:highlight w:val="none"/>
              </w:rPr>
              <w:t>年</w:t>
            </w:r>
            <w:r>
              <w:rPr>
                <w:rFonts w:hint="eastAsia" w:hAnsi="宋体" w:eastAsia="宋体"/>
                <w:color w:val="auto"/>
                <w:sz w:val="18"/>
                <w:szCs w:val="18"/>
                <w:highlight w:val="none"/>
                <w:lang w:val="en-US" w:eastAsia="zh-CN"/>
              </w:rPr>
              <w:t>度</w:t>
            </w: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12</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lrTbV"/>
            <w:vAlign w:val="top"/>
          </w:tcPr>
          <w:p>
            <w:pPr>
              <w:spacing w:line="200" w:lineRule="exact"/>
              <w:rPr>
                <w:color w:val="auto"/>
                <w:sz w:val="18"/>
                <w:szCs w:val="18"/>
                <w:highlight w:val="none"/>
              </w:rPr>
            </w:pPr>
          </w:p>
        </w:tc>
        <w:tc>
          <w:tcPr>
            <w:tcW w:w="490" w:type="dxa"/>
            <w:vMerge w:val="continue"/>
            <w:tcBorders>
              <w:left w:val="single" w:color="auto" w:sz="12" w:space="0"/>
            </w:tcBorders>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11</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lrTbV"/>
            <w:vAlign w:val="top"/>
          </w:tcPr>
          <w:p>
            <w:pPr>
              <w:spacing w:line="200" w:lineRule="exact"/>
              <w:rPr>
                <w:color w:val="auto"/>
                <w:sz w:val="18"/>
                <w:szCs w:val="18"/>
                <w:highlight w:val="none"/>
              </w:rPr>
            </w:pPr>
          </w:p>
        </w:tc>
        <w:tc>
          <w:tcPr>
            <w:tcW w:w="490" w:type="dxa"/>
            <w:vMerge w:val="continue"/>
            <w:tcBorders>
              <w:left w:val="single" w:color="auto" w:sz="12" w:space="0"/>
            </w:tcBorders>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10</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lrTbV"/>
            <w:vAlign w:val="top"/>
          </w:tcPr>
          <w:p>
            <w:pPr>
              <w:spacing w:line="200" w:lineRule="exact"/>
              <w:rPr>
                <w:color w:val="auto"/>
                <w:sz w:val="18"/>
                <w:szCs w:val="18"/>
                <w:highlight w:val="none"/>
              </w:rPr>
            </w:pPr>
          </w:p>
        </w:tc>
        <w:tc>
          <w:tcPr>
            <w:tcW w:w="490" w:type="dxa"/>
            <w:vMerge w:val="continue"/>
            <w:tcBorders>
              <w:left w:val="single" w:color="auto" w:sz="12" w:space="0"/>
            </w:tcBorders>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9</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lrTbV"/>
            <w:vAlign w:val="top"/>
          </w:tcPr>
          <w:p>
            <w:pPr>
              <w:spacing w:line="200" w:lineRule="exact"/>
              <w:rPr>
                <w:color w:val="auto"/>
                <w:sz w:val="18"/>
                <w:szCs w:val="18"/>
                <w:highlight w:val="none"/>
              </w:rPr>
            </w:pPr>
          </w:p>
        </w:tc>
        <w:tc>
          <w:tcPr>
            <w:tcW w:w="490" w:type="dxa"/>
            <w:vMerge w:val="continue"/>
            <w:tcBorders>
              <w:left w:val="single" w:color="auto" w:sz="12" w:space="0"/>
            </w:tcBorders>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8</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lrTbV"/>
            <w:vAlign w:val="top"/>
          </w:tcPr>
          <w:p>
            <w:pPr>
              <w:spacing w:line="200" w:lineRule="exact"/>
              <w:rPr>
                <w:color w:val="auto"/>
                <w:sz w:val="18"/>
                <w:szCs w:val="18"/>
                <w:highlight w:val="none"/>
              </w:rPr>
            </w:pPr>
          </w:p>
        </w:tc>
        <w:tc>
          <w:tcPr>
            <w:tcW w:w="490" w:type="dxa"/>
            <w:vMerge w:val="continue"/>
            <w:tcBorders>
              <w:left w:val="single" w:color="auto" w:sz="12" w:space="0"/>
            </w:tcBorders>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jc w:val="center"/>
              <w:rPr>
                <w:color w:val="auto"/>
                <w:sz w:val="18"/>
                <w:szCs w:val="18"/>
                <w:highlight w:val="none"/>
              </w:rPr>
            </w:pPr>
            <w:r>
              <w:rPr>
                <w:color w:val="auto"/>
                <w:sz w:val="18"/>
                <w:szCs w:val="18"/>
                <w:highlight w:val="none"/>
              </w:rPr>
              <w:t>7</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lrTbV"/>
            <w:vAlign w:val="top"/>
          </w:tcPr>
          <w:p>
            <w:pPr>
              <w:spacing w:line="200" w:lineRule="exact"/>
              <w:rPr>
                <w:color w:val="auto"/>
                <w:sz w:val="18"/>
                <w:szCs w:val="18"/>
                <w:highlight w:val="none"/>
              </w:rPr>
            </w:pPr>
          </w:p>
        </w:tc>
        <w:tc>
          <w:tcPr>
            <w:tcW w:w="490" w:type="dxa"/>
            <w:vMerge w:val="continue"/>
            <w:tcBorders>
              <w:left w:val="single" w:color="auto" w:sz="12" w:space="0"/>
            </w:tcBorders>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ind w:left="113" w:right="113"/>
              <w:rPr>
                <w:color w:val="auto"/>
                <w:sz w:val="18"/>
                <w:szCs w:val="18"/>
                <w:highlight w:val="none"/>
              </w:rPr>
            </w:pPr>
            <w:r>
              <w:rPr>
                <w:color w:val="auto"/>
                <w:sz w:val="18"/>
                <w:szCs w:val="18"/>
                <w:highlight w:val="none"/>
              </w:rPr>
              <w:t>6</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lrTbV"/>
            <w:vAlign w:val="top"/>
          </w:tcPr>
          <w:p>
            <w:pPr>
              <w:spacing w:line="200" w:lineRule="exact"/>
              <w:rPr>
                <w:color w:val="auto"/>
                <w:sz w:val="18"/>
                <w:szCs w:val="18"/>
                <w:highlight w:val="none"/>
              </w:rPr>
            </w:pPr>
          </w:p>
        </w:tc>
        <w:tc>
          <w:tcPr>
            <w:tcW w:w="490" w:type="dxa"/>
            <w:vMerge w:val="continue"/>
            <w:tcBorders>
              <w:left w:val="single" w:color="auto" w:sz="12" w:space="0"/>
            </w:tcBorders>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ind w:left="113" w:right="113"/>
              <w:rPr>
                <w:color w:val="auto"/>
                <w:sz w:val="18"/>
                <w:szCs w:val="18"/>
                <w:highlight w:val="none"/>
              </w:rPr>
            </w:pPr>
            <w:r>
              <w:rPr>
                <w:color w:val="auto"/>
                <w:sz w:val="18"/>
                <w:szCs w:val="18"/>
                <w:highlight w:val="none"/>
              </w:rPr>
              <w:t>5</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lrTbV"/>
            <w:vAlign w:val="top"/>
          </w:tcPr>
          <w:p>
            <w:pPr>
              <w:spacing w:line="200" w:lineRule="exact"/>
              <w:rPr>
                <w:color w:val="auto"/>
                <w:sz w:val="18"/>
                <w:szCs w:val="18"/>
                <w:highlight w:val="none"/>
              </w:rPr>
            </w:pPr>
          </w:p>
        </w:tc>
        <w:tc>
          <w:tcPr>
            <w:tcW w:w="490" w:type="dxa"/>
            <w:vMerge w:val="continue"/>
            <w:tcBorders>
              <w:left w:val="single" w:color="auto" w:sz="12" w:space="0"/>
            </w:tcBorders>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ind w:left="113" w:right="113"/>
              <w:rPr>
                <w:color w:val="auto"/>
                <w:sz w:val="18"/>
                <w:szCs w:val="18"/>
                <w:highlight w:val="none"/>
              </w:rPr>
            </w:pPr>
            <w:r>
              <w:rPr>
                <w:color w:val="auto"/>
                <w:sz w:val="18"/>
                <w:szCs w:val="18"/>
                <w:highlight w:val="none"/>
              </w:rPr>
              <w:t>4</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lrTbV"/>
            <w:vAlign w:val="top"/>
          </w:tcPr>
          <w:p>
            <w:pPr>
              <w:spacing w:line="200" w:lineRule="exact"/>
              <w:rPr>
                <w:color w:val="auto"/>
                <w:sz w:val="18"/>
                <w:szCs w:val="18"/>
                <w:highlight w:val="none"/>
              </w:rPr>
            </w:pPr>
          </w:p>
        </w:tc>
        <w:tc>
          <w:tcPr>
            <w:tcW w:w="490" w:type="dxa"/>
            <w:vMerge w:val="continue"/>
            <w:tcBorders>
              <w:left w:val="single" w:color="auto" w:sz="12" w:space="0"/>
            </w:tcBorders>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ind w:left="113" w:right="113"/>
              <w:jc w:val="center"/>
              <w:rPr>
                <w:color w:val="auto"/>
                <w:sz w:val="18"/>
                <w:szCs w:val="18"/>
                <w:highlight w:val="none"/>
              </w:rPr>
            </w:pPr>
            <w:r>
              <w:rPr>
                <w:color w:val="auto"/>
                <w:sz w:val="18"/>
                <w:szCs w:val="18"/>
                <w:highlight w:val="none"/>
              </w:rPr>
              <w:t>3</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lrTbV"/>
            <w:vAlign w:val="top"/>
          </w:tcPr>
          <w:p>
            <w:pPr>
              <w:spacing w:line="200" w:lineRule="exact"/>
              <w:rPr>
                <w:color w:val="auto"/>
                <w:sz w:val="18"/>
                <w:szCs w:val="18"/>
                <w:highlight w:val="none"/>
              </w:rPr>
            </w:pPr>
          </w:p>
        </w:tc>
        <w:tc>
          <w:tcPr>
            <w:tcW w:w="490" w:type="dxa"/>
            <w:vMerge w:val="continue"/>
            <w:tcBorders>
              <w:left w:val="single" w:color="auto" w:sz="12" w:space="0"/>
            </w:tcBorders>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ind w:left="42" w:leftChars="20" w:right="42" w:rightChars="20"/>
              <w:jc w:val="center"/>
              <w:rPr>
                <w:color w:val="auto"/>
                <w:sz w:val="18"/>
                <w:szCs w:val="18"/>
                <w:highlight w:val="none"/>
              </w:rPr>
            </w:pPr>
            <w:r>
              <w:rPr>
                <w:color w:val="auto"/>
                <w:sz w:val="18"/>
                <w:szCs w:val="18"/>
                <w:highlight w:val="none"/>
              </w:rPr>
              <w:t>2</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610" w:type="dxa"/>
            <w:vMerge w:val="continue"/>
            <w:tcBorders>
              <w:left w:val="nil"/>
              <w:bottom w:val="nil"/>
              <w:right w:val="single" w:color="auto" w:sz="12" w:space="0"/>
            </w:tcBorders>
            <w:noWrap w:val="0"/>
            <w:textDirection w:val="lrTbV"/>
            <w:vAlign w:val="top"/>
          </w:tcPr>
          <w:p>
            <w:pPr>
              <w:spacing w:line="200" w:lineRule="exact"/>
              <w:rPr>
                <w:color w:val="auto"/>
                <w:sz w:val="18"/>
                <w:szCs w:val="18"/>
                <w:highlight w:val="none"/>
              </w:rPr>
            </w:pPr>
          </w:p>
        </w:tc>
        <w:tc>
          <w:tcPr>
            <w:tcW w:w="490" w:type="dxa"/>
            <w:vMerge w:val="continue"/>
            <w:tcBorders>
              <w:left w:val="single" w:color="auto" w:sz="12" w:space="0"/>
            </w:tcBorders>
            <w:noWrap w:val="0"/>
            <w:textDirection w:val="lrTbV"/>
            <w:vAlign w:val="center"/>
          </w:tcPr>
          <w:p>
            <w:pPr>
              <w:spacing w:line="200" w:lineRule="exact"/>
              <w:rPr>
                <w:color w:val="auto"/>
                <w:sz w:val="18"/>
                <w:szCs w:val="18"/>
                <w:highlight w:val="none"/>
              </w:rPr>
            </w:pPr>
          </w:p>
        </w:tc>
        <w:tc>
          <w:tcPr>
            <w:tcW w:w="794" w:type="dxa"/>
            <w:noWrap w:val="0"/>
            <w:textDirection w:val="btLr"/>
            <w:vAlign w:val="center"/>
          </w:tcPr>
          <w:p>
            <w:pPr>
              <w:spacing w:line="200" w:lineRule="exact"/>
              <w:ind w:left="42" w:leftChars="20" w:right="42" w:rightChars="20"/>
              <w:jc w:val="center"/>
              <w:rPr>
                <w:color w:val="auto"/>
                <w:sz w:val="18"/>
                <w:szCs w:val="18"/>
                <w:highlight w:val="none"/>
              </w:rPr>
            </w:pPr>
            <w:r>
              <w:rPr>
                <w:color w:val="auto"/>
                <w:sz w:val="18"/>
                <w:szCs w:val="18"/>
                <w:highlight w:val="none"/>
              </w:rPr>
              <w:t>1</w:t>
            </w: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c>
          <w:tcPr>
            <w:tcW w:w="403" w:type="dxa"/>
            <w:noWrap w:val="0"/>
            <w:textDirection w:val="lrTbV"/>
            <w:vAlign w:val="center"/>
          </w:tcPr>
          <w:p>
            <w:pPr>
              <w:spacing w:line="200" w:lineRule="exact"/>
              <w:rPr>
                <w:color w:val="auto"/>
                <w:sz w:val="18"/>
                <w:szCs w:val="18"/>
                <w:highlight w:val="none"/>
              </w:rPr>
            </w:pPr>
          </w:p>
        </w:tc>
        <w:tc>
          <w:tcPr>
            <w:tcW w:w="404" w:type="dxa"/>
            <w:noWrap w:val="0"/>
            <w:textDirection w:val="lrTbV"/>
            <w:vAlign w:val="center"/>
          </w:tcPr>
          <w:p>
            <w:pPr>
              <w:spacing w:line="200" w:lineRule="exact"/>
              <w:rPr>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015" w:hRule="atLeast"/>
        </w:trPr>
        <w:tc>
          <w:tcPr>
            <w:tcW w:w="610" w:type="dxa"/>
            <w:vMerge w:val="continue"/>
            <w:tcBorders>
              <w:left w:val="nil"/>
              <w:bottom w:val="nil"/>
              <w:right w:val="single" w:color="auto" w:sz="12" w:space="0"/>
            </w:tcBorders>
            <w:noWrap w:val="0"/>
            <w:textDirection w:val="lrTbV"/>
            <w:vAlign w:val="top"/>
          </w:tcPr>
          <w:p>
            <w:pPr>
              <w:spacing w:line="200" w:lineRule="exact"/>
              <w:jc w:val="center"/>
              <w:rPr>
                <w:color w:val="auto"/>
                <w:sz w:val="18"/>
                <w:szCs w:val="18"/>
                <w:highlight w:val="none"/>
              </w:rPr>
            </w:pPr>
          </w:p>
        </w:tc>
        <w:tc>
          <w:tcPr>
            <w:tcW w:w="490" w:type="dxa"/>
            <w:tcBorders>
              <w:left w:val="single" w:color="auto" w:sz="12" w:space="0"/>
            </w:tcBorders>
            <w:noWrap w:val="0"/>
            <w:textDirection w:val="lrTbV"/>
            <w:vAlign w:val="center"/>
          </w:tcPr>
          <w:p>
            <w:pPr>
              <w:spacing w:line="200" w:lineRule="exact"/>
              <w:jc w:val="center"/>
              <w:rPr>
                <w:color w:val="auto"/>
                <w:sz w:val="18"/>
                <w:szCs w:val="18"/>
                <w:highlight w:val="none"/>
              </w:rPr>
            </w:pPr>
          </w:p>
          <w:p>
            <w:pPr>
              <w:spacing w:line="200" w:lineRule="exact"/>
              <w:jc w:val="center"/>
              <w:rPr>
                <w:color w:val="auto"/>
                <w:sz w:val="18"/>
                <w:szCs w:val="18"/>
                <w:highlight w:val="none"/>
              </w:rPr>
            </w:pPr>
          </w:p>
          <w:p>
            <w:pPr>
              <w:spacing w:line="200" w:lineRule="exact"/>
              <w:jc w:val="center"/>
              <w:rPr>
                <w:color w:val="auto"/>
                <w:sz w:val="18"/>
                <w:szCs w:val="18"/>
                <w:highlight w:val="none"/>
              </w:rPr>
            </w:pPr>
            <w:r>
              <w:rPr>
                <w:rFonts w:hAnsi="宋体"/>
                <w:color w:val="auto"/>
                <w:sz w:val="18"/>
                <w:szCs w:val="18"/>
                <w:highlight w:val="none"/>
              </w:rPr>
              <w:t>度</w:t>
            </w:r>
          </w:p>
          <w:p>
            <w:pPr>
              <w:spacing w:line="200" w:lineRule="exact"/>
              <w:jc w:val="center"/>
              <w:rPr>
                <w:color w:val="auto"/>
                <w:sz w:val="18"/>
                <w:szCs w:val="18"/>
                <w:highlight w:val="none"/>
              </w:rPr>
            </w:pPr>
          </w:p>
          <w:p>
            <w:pPr>
              <w:spacing w:line="200" w:lineRule="exact"/>
              <w:jc w:val="center"/>
              <w:rPr>
                <w:color w:val="auto"/>
                <w:sz w:val="18"/>
                <w:szCs w:val="18"/>
                <w:highlight w:val="none"/>
              </w:rPr>
            </w:pPr>
            <w:r>
              <w:rPr>
                <w:rFonts w:hAnsi="宋体"/>
                <w:color w:val="auto"/>
                <w:sz w:val="18"/>
                <w:szCs w:val="18"/>
                <w:highlight w:val="none"/>
              </w:rPr>
              <w:t>年</w:t>
            </w:r>
          </w:p>
          <w:p>
            <w:pPr>
              <w:spacing w:line="200" w:lineRule="exact"/>
              <w:jc w:val="center"/>
              <w:rPr>
                <w:color w:val="auto"/>
                <w:sz w:val="18"/>
                <w:szCs w:val="18"/>
                <w:highlight w:val="none"/>
              </w:rPr>
            </w:pPr>
          </w:p>
          <w:p>
            <w:pPr>
              <w:spacing w:line="200" w:lineRule="exact"/>
              <w:jc w:val="center"/>
              <w:rPr>
                <w:color w:val="auto"/>
                <w:sz w:val="18"/>
                <w:szCs w:val="18"/>
                <w:highlight w:val="none"/>
              </w:rPr>
            </w:pPr>
          </w:p>
        </w:tc>
        <w:tc>
          <w:tcPr>
            <w:tcW w:w="794" w:type="dxa"/>
            <w:tcBorders>
              <w:tr2bl w:val="single" w:color="auto" w:sz="4" w:space="0"/>
            </w:tcBorders>
            <w:noWrap w:val="0"/>
            <w:textDirection w:val="lrTbV"/>
            <w:vAlign w:val="center"/>
          </w:tcPr>
          <w:p>
            <w:pPr>
              <w:spacing w:line="200" w:lineRule="exact"/>
              <w:rPr>
                <w:rFonts w:hAnsi="宋体"/>
                <w:color w:val="auto"/>
                <w:sz w:val="18"/>
                <w:szCs w:val="18"/>
                <w:highlight w:val="none"/>
              </w:rPr>
            </w:pPr>
            <w:r>
              <w:rPr>
                <w:rFonts w:hAnsi="宋体"/>
                <w:color w:val="auto"/>
                <w:sz w:val="18"/>
                <w:szCs w:val="18"/>
                <w:highlight w:val="none"/>
              </w:rPr>
              <w:t>份</w:t>
            </w:r>
          </w:p>
          <w:p>
            <w:pPr>
              <w:spacing w:line="200" w:lineRule="exact"/>
              <w:rPr>
                <w:color w:val="auto"/>
                <w:sz w:val="18"/>
                <w:szCs w:val="18"/>
                <w:highlight w:val="none"/>
              </w:rPr>
            </w:pPr>
            <w:r>
              <w:rPr>
                <w:rFonts w:hAnsi="宋体"/>
                <w:color w:val="auto"/>
                <w:sz w:val="18"/>
                <w:szCs w:val="18"/>
                <w:highlight w:val="none"/>
              </w:rPr>
              <w:t>月</w:t>
            </w:r>
          </w:p>
          <w:p>
            <w:pPr>
              <w:spacing w:line="200" w:lineRule="exact"/>
              <w:ind w:left="270" w:hanging="270" w:hangingChars="150"/>
              <w:rPr>
                <w:rFonts w:hint="eastAsia"/>
                <w:color w:val="auto"/>
                <w:sz w:val="18"/>
                <w:szCs w:val="18"/>
                <w:highlight w:val="none"/>
              </w:rPr>
            </w:pPr>
            <w:r>
              <w:rPr>
                <w:color w:val="auto"/>
                <w:sz w:val="18"/>
                <w:szCs w:val="18"/>
                <w:highlight w:val="none"/>
              </w:rPr>
              <w:t xml:space="preserve">  </w:t>
            </w:r>
          </w:p>
          <w:p>
            <w:pPr>
              <w:spacing w:line="200" w:lineRule="exact"/>
              <w:ind w:left="-105" w:leftChars="-50" w:right="-105" w:rightChars="-50" w:firstLine="450" w:firstLineChars="250"/>
              <w:rPr>
                <w:color w:val="auto"/>
                <w:sz w:val="18"/>
                <w:szCs w:val="18"/>
                <w:highlight w:val="none"/>
              </w:rPr>
            </w:pPr>
            <w:r>
              <w:rPr>
                <w:rFonts w:hAnsi="宋体"/>
                <w:color w:val="auto"/>
                <w:sz w:val="18"/>
                <w:szCs w:val="18"/>
                <w:highlight w:val="none"/>
              </w:rPr>
              <w:t>目</w:t>
            </w:r>
          </w:p>
          <w:p>
            <w:pPr>
              <w:spacing w:line="200" w:lineRule="exact"/>
              <w:ind w:left="-105" w:leftChars="-50" w:right="-105" w:rightChars="-50" w:firstLine="450" w:firstLineChars="250"/>
              <w:rPr>
                <w:color w:val="auto"/>
                <w:sz w:val="18"/>
                <w:szCs w:val="18"/>
                <w:highlight w:val="none"/>
              </w:rPr>
            </w:pPr>
            <w:r>
              <w:rPr>
                <w:rFonts w:hAnsi="宋体"/>
                <w:color w:val="auto"/>
                <w:sz w:val="18"/>
                <w:szCs w:val="18"/>
                <w:highlight w:val="none"/>
              </w:rPr>
              <w:t>项</w:t>
            </w:r>
          </w:p>
          <w:p>
            <w:pPr>
              <w:spacing w:line="200" w:lineRule="exact"/>
              <w:ind w:left="-105" w:leftChars="-50" w:right="-105" w:rightChars="-50" w:firstLine="450" w:firstLineChars="250"/>
              <w:rPr>
                <w:color w:val="auto"/>
                <w:sz w:val="18"/>
                <w:szCs w:val="18"/>
                <w:highlight w:val="none"/>
              </w:rPr>
            </w:pPr>
            <w:r>
              <w:rPr>
                <w:rFonts w:hAnsi="宋体"/>
                <w:color w:val="auto"/>
                <w:sz w:val="18"/>
                <w:szCs w:val="18"/>
                <w:highlight w:val="none"/>
              </w:rPr>
              <w:t>程</w:t>
            </w:r>
          </w:p>
          <w:p>
            <w:pPr>
              <w:spacing w:line="200" w:lineRule="exact"/>
              <w:ind w:left="-105" w:leftChars="-50" w:right="-105" w:rightChars="-50" w:firstLine="450" w:firstLineChars="250"/>
              <w:rPr>
                <w:color w:val="auto"/>
                <w:sz w:val="18"/>
                <w:szCs w:val="18"/>
                <w:highlight w:val="none"/>
              </w:rPr>
            </w:pPr>
            <w:r>
              <w:rPr>
                <w:rFonts w:hAnsi="宋体"/>
                <w:color w:val="auto"/>
                <w:sz w:val="18"/>
                <w:szCs w:val="18"/>
                <w:highlight w:val="none"/>
              </w:rPr>
              <w:t>工</w:t>
            </w:r>
          </w:p>
          <w:p>
            <w:pPr>
              <w:spacing w:line="200" w:lineRule="exact"/>
              <w:ind w:left="-105" w:leftChars="-50" w:right="-105" w:rightChars="-50" w:firstLine="450" w:firstLineChars="250"/>
              <w:rPr>
                <w:rFonts w:hint="eastAsia"/>
                <w:color w:val="auto"/>
                <w:sz w:val="18"/>
                <w:szCs w:val="18"/>
                <w:highlight w:val="none"/>
              </w:rPr>
            </w:pPr>
            <w:r>
              <w:rPr>
                <w:rFonts w:hAnsi="宋体"/>
                <w:color w:val="auto"/>
                <w:sz w:val="18"/>
                <w:szCs w:val="18"/>
                <w:highlight w:val="none"/>
              </w:rPr>
              <w:t>要</w:t>
            </w:r>
          </w:p>
          <w:p>
            <w:pPr>
              <w:spacing w:line="200" w:lineRule="exact"/>
              <w:ind w:left="-105" w:leftChars="-50" w:right="-105" w:rightChars="-50" w:firstLine="450" w:firstLineChars="250"/>
              <w:rPr>
                <w:color w:val="auto"/>
                <w:sz w:val="18"/>
                <w:szCs w:val="18"/>
                <w:highlight w:val="none"/>
              </w:rPr>
            </w:pPr>
            <w:r>
              <w:rPr>
                <w:rFonts w:hAnsi="宋体"/>
                <w:color w:val="auto"/>
                <w:sz w:val="18"/>
                <w:szCs w:val="18"/>
                <w:highlight w:val="none"/>
              </w:rPr>
              <w:t>主</w:t>
            </w:r>
          </w:p>
        </w:tc>
        <w:tc>
          <w:tcPr>
            <w:tcW w:w="403" w:type="dxa"/>
            <w:noWrap w:val="0"/>
            <w:textDirection w:val="btLr"/>
            <w:vAlign w:val="center"/>
          </w:tcPr>
          <w:p>
            <w:pPr>
              <w:spacing w:line="200" w:lineRule="exact"/>
              <w:ind w:left="113" w:right="113"/>
              <w:rPr>
                <w:rFonts w:hint="eastAsia"/>
                <w:color w:val="auto"/>
                <w:sz w:val="18"/>
                <w:szCs w:val="18"/>
                <w:highlight w:val="none"/>
              </w:rPr>
            </w:pPr>
            <w:r>
              <w:rPr>
                <w:rFonts w:hint="eastAsia"/>
                <w:color w:val="auto"/>
                <w:sz w:val="18"/>
                <w:szCs w:val="18"/>
                <w:highlight w:val="none"/>
              </w:rPr>
              <w:t>1．施工准备</w:t>
            </w:r>
          </w:p>
        </w:tc>
        <w:tc>
          <w:tcPr>
            <w:tcW w:w="404" w:type="dxa"/>
            <w:noWrap w:val="0"/>
            <w:textDirection w:val="btLr"/>
            <w:vAlign w:val="center"/>
          </w:tcPr>
          <w:p>
            <w:pPr>
              <w:spacing w:line="200" w:lineRule="exact"/>
              <w:ind w:left="113" w:right="113"/>
              <w:rPr>
                <w:rFonts w:hint="eastAsia"/>
                <w:color w:val="auto"/>
                <w:sz w:val="18"/>
                <w:szCs w:val="18"/>
                <w:highlight w:val="none"/>
              </w:rPr>
            </w:pPr>
            <w:r>
              <w:rPr>
                <w:rFonts w:hint="eastAsia"/>
                <w:color w:val="auto"/>
                <w:sz w:val="18"/>
                <w:szCs w:val="18"/>
                <w:highlight w:val="none"/>
              </w:rPr>
              <w:t>2．路基工程</w:t>
            </w:r>
          </w:p>
        </w:tc>
        <w:tc>
          <w:tcPr>
            <w:tcW w:w="404" w:type="dxa"/>
            <w:noWrap w:val="0"/>
            <w:textDirection w:val="btLr"/>
            <w:vAlign w:val="center"/>
          </w:tcPr>
          <w:p>
            <w:pPr>
              <w:spacing w:line="200" w:lineRule="exact"/>
              <w:ind w:left="113" w:right="113"/>
              <w:rPr>
                <w:rFonts w:hint="default" w:eastAsia="宋体"/>
                <w:color w:val="auto"/>
                <w:sz w:val="18"/>
                <w:szCs w:val="18"/>
                <w:highlight w:val="none"/>
                <w:lang w:val="en-US" w:eastAsia="zh-CN"/>
              </w:rPr>
            </w:pPr>
            <w:r>
              <w:rPr>
                <w:rFonts w:hint="eastAsia" w:eastAsia="宋体"/>
                <w:color w:val="auto"/>
                <w:sz w:val="18"/>
                <w:szCs w:val="18"/>
                <w:highlight w:val="none"/>
                <w:lang w:val="en-US" w:eastAsia="zh-CN"/>
              </w:rPr>
              <w:t>3.路基填筑</w:t>
            </w:r>
          </w:p>
        </w:tc>
        <w:tc>
          <w:tcPr>
            <w:tcW w:w="403" w:type="dxa"/>
            <w:noWrap w:val="0"/>
            <w:textDirection w:val="btLr"/>
            <w:vAlign w:val="center"/>
          </w:tcPr>
          <w:p>
            <w:pPr>
              <w:spacing w:line="200" w:lineRule="exact"/>
              <w:ind w:left="113" w:right="113"/>
              <w:rPr>
                <w:rFonts w:hint="default" w:eastAsia="宋体"/>
                <w:color w:val="auto"/>
                <w:sz w:val="18"/>
                <w:szCs w:val="18"/>
                <w:highlight w:val="none"/>
                <w:lang w:val="en-US" w:eastAsia="zh-CN"/>
              </w:rPr>
            </w:pPr>
            <w:r>
              <w:rPr>
                <w:rFonts w:hint="eastAsia" w:eastAsia="宋体"/>
                <w:color w:val="auto"/>
                <w:sz w:val="18"/>
                <w:szCs w:val="18"/>
                <w:highlight w:val="none"/>
                <w:lang w:val="en-US" w:eastAsia="zh-CN"/>
              </w:rPr>
              <w:t>4.涵洞</w:t>
            </w:r>
          </w:p>
        </w:tc>
        <w:tc>
          <w:tcPr>
            <w:tcW w:w="404" w:type="dxa"/>
            <w:noWrap w:val="0"/>
            <w:textDirection w:val="btLr"/>
            <w:vAlign w:val="center"/>
          </w:tcPr>
          <w:p>
            <w:pPr>
              <w:spacing w:line="200" w:lineRule="exact"/>
              <w:ind w:left="113" w:right="113"/>
              <w:rPr>
                <w:rFonts w:hint="default" w:eastAsia="宋体"/>
                <w:color w:val="auto"/>
                <w:sz w:val="18"/>
                <w:szCs w:val="18"/>
                <w:highlight w:val="none"/>
                <w:lang w:val="en-US" w:eastAsia="zh-CN"/>
              </w:rPr>
            </w:pPr>
            <w:r>
              <w:rPr>
                <w:rFonts w:hint="eastAsia" w:eastAsia="宋体"/>
                <w:color w:val="auto"/>
                <w:sz w:val="18"/>
                <w:szCs w:val="18"/>
                <w:highlight w:val="none"/>
                <w:lang w:val="en-US" w:eastAsia="zh-CN"/>
              </w:rPr>
              <w:t>5.通道</w:t>
            </w:r>
          </w:p>
        </w:tc>
        <w:tc>
          <w:tcPr>
            <w:tcW w:w="404" w:type="dxa"/>
            <w:noWrap w:val="0"/>
            <w:textDirection w:val="btLr"/>
            <w:vAlign w:val="center"/>
          </w:tcPr>
          <w:p>
            <w:pPr>
              <w:spacing w:line="200" w:lineRule="exact"/>
              <w:ind w:left="113" w:right="113"/>
              <w:rPr>
                <w:rFonts w:hint="default" w:eastAsia="宋体"/>
                <w:color w:val="auto"/>
                <w:sz w:val="18"/>
                <w:szCs w:val="18"/>
                <w:highlight w:val="none"/>
                <w:lang w:val="en-US" w:eastAsia="zh-CN"/>
              </w:rPr>
            </w:pPr>
            <w:r>
              <w:rPr>
                <w:rFonts w:hint="eastAsia" w:eastAsia="宋体"/>
                <w:color w:val="auto"/>
                <w:sz w:val="18"/>
                <w:szCs w:val="18"/>
                <w:highlight w:val="none"/>
                <w:lang w:val="en-US" w:eastAsia="zh-CN"/>
              </w:rPr>
              <w:t>6.防护及排水</w:t>
            </w:r>
          </w:p>
        </w:tc>
        <w:tc>
          <w:tcPr>
            <w:tcW w:w="404" w:type="dxa"/>
            <w:noWrap w:val="0"/>
            <w:textDirection w:val="btLr"/>
            <w:vAlign w:val="center"/>
          </w:tcPr>
          <w:p>
            <w:pPr>
              <w:spacing w:line="200" w:lineRule="exact"/>
              <w:ind w:left="113" w:right="113"/>
              <w:rPr>
                <w:rFonts w:hint="default" w:eastAsia="宋体"/>
                <w:color w:val="auto"/>
                <w:sz w:val="18"/>
                <w:szCs w:val="18"/>
                <w:highlight w:val="none"/>
                <w:lang w:val="en-US" w:eastAsia="zh-CN"/>
              </w:rPr>
            </w:pPr>
            <w:r>
              <w:rPr>
                <w:rFonts w:hint="eastAsia" w:eastAsia="宋体"/>
                <w:color w:val="auto"/>
                <w:sz w:val="18"/>
                <w:szCs w:val="18"/>
                <w:highlight w:val="none"/>
                <w:lang w:val="en-US" w:eastAsia="zh-CN"/>
              </w:rPr>
              <w:t>7</w:t>
            </w:r>
            <w:r>
              <w:rPr>
                <w:rFonts w:hint="eastAsia"/>
                <w:color w:val="auto"/>
                <w:sz w:val="18"/>
                <w:szCs w:val="18"/>
                <w:highlight w:val="none"/>
              </w:rPr>
              <w:t>．</w:t>
            </w:r>
            <w:r>
              <w:rPr>
                <w:rFonts w:hint="eastAsia" w:eastAsia="宋体"/>
                <w:color w:val="auto"/>
                <w:sz w:val="18"/>
                <w:szCs w:val="18"/>
                <w:highlight w:val="none"/>
                <w:lang w:val="en-US" w:eastAsia="zh-CN"/>
              </w:rPr>
              <w:t>路面基层</w:t>
            </w:r>
          </w:p>
        </w:tc>
        <w:tc>
          <w:tcPr>
            <w:tcW w:w="403" w:type="dxa"/>
            <w:noWrap w:val="0"/>
            <w:textDirection w:val="btLr"/>
            <w:vAlign w:val="center"/>
          </w:tcPr>
          <w:p>
            <w:pPr>
              <w:spacing w:line="200" w:lineRule="exact"/>
              <w:ind w:left="113" w:right="113"/>
              <w:rPr>
                <w:rFonts w:hint="default" w:eastAsia="宋体"/>
                <w:color w:val="auto"/>
                <w:sz w:val="18"/>
                <w:szCs w:val="18"/>
                <w:highlight w:val="none"/>
                <w:lang w:val="en-US" w:eastAsia="zh-CN"/>
              </w:rPr>
            </w:pPr>
            <w:r>
              <w:rPr>
                <w:rFonts w:hint="eastAsia"/>
                <w:color w:val="auto"/>
                <w:sz w:val="18"/>
                <w:szCs w:val="18"/>
                <w:highlight w:val="none"/>
              </w:rPr>
              <w:t>（1）</w:t>
            </w:r>
            <w:r>
              <w:rPr>
                <w:rFonts w:hint="eastAsia" w:eastAsia="宋体"/>
                <w:color w:val="auto"/>
                <w:sz w:val="18"/>
                <w:szCs w:val="18"/>
                <w:highlight w:val="none"/>
                <w:lang w:val="en-US" w:eastAsia="zh-CN"/>
              </w:rPr>
              <w:t>底基层</w:t>
            </w:r>
          </w:p>
        </w:tc>
        <w:tc>
          <w:tcPr>
            <w:tcW w:w="404" w:type="dxa"/>
            <w:noWrap w:val="0"/>
            <w:textDirection w:val="btLr"/>
            <w:vAlign w:val="center"/>
          </w:tcPr>
          <w:p>
            <w:pPr>
              <w:spacing w:line="200" w:lineRule="exact"/>
              <w:ind w:left="113" w:right="113"/>
              <w:rPr>
                <w:rFonts w:hint="eastAsia" w:eastAsia="宋体"/>
                <w:color w:val="auto"/>
                <w:sz w:val="18"/>
                <w:szCs w:val="18"/>
                <w:highlight w:val="none"/>
                <w:lang w:eastAsia="zh-CN"/>
              </w:rPr>
            </w:pPr>
            <w:r>
              <w:rPr>
                <w:rFonts w:hint="eastAsia"/>
                <w:color w:val="auto"/>
                <w:sz w:val="18"/>
                <w:szCs w:val="18"/>
                <w:highlight w:val="none"/>
              </w:rPr>
              <w:t>（2）</w:t>
            </w:r>
            <w:r>
              <w:rPr>
                <w:rFonts w:hint="eastAsia" w:eastAsia="宋体"/>
                <w:color w:val="auto"/>
                <w:sz w:val="18"/>
                <w:szCs w:val="18"/>
                <w:highlight w:val="none"/>
                <w:lang w:val="en-US" w:eastAsia="zh-CN"/>
              </w:rPr>
              <w:t>基层</w:t>
            </w:r>
          </w:p>
        </w:tc>
        <w:tc>
          <w:tcPr>
            <w:tcW w:w="404" w:type="dxa"/>
            <w:noWrap w:val="0"/>
            <w:textDirection w:val="btLr"/>
            <w:vAlign w:val="center"/>
          </w:tcPr>
          <w:p>
            <w:pPr>
              <w:spacing w:line="200" w:lineRule="exact"/>
              <w:ind w:left="113" w:right="113"/>
              <w:rPr>
                <w:rFonts w:hint="default" w:eastAsia="宋体"/>
                <w:color w:val="auto"/>
                <w:sz w:val="18"/>
                <w:szCs w:val="18"/>
                <w:highlight w:val="none"/>
                <w:lang w:val="en-US" w:eastAsia="zh-CN"/>
              </w:rPr>
            </w:pPr>
            <w:r>
              <w:rPr>
                <w:rFonts w:hint="eastAsia" w:eastAsia="宋体"/>
                <w:color w:val="auto"/>
                <w:sz w:val="18"/>
                <w:szCs w:val="18"/>
                <w:highlight w:val="none"/>
                <w:lang w:val="en-US" w:eastAsia="zh-CN"/>
              </w:rPr>
              <w:t>8.路面填筑</w:t>
            </w:r>
          </w:p>
        </w:tc>
        <w:tc>
          <w:tcPr>
            <w:tcW w:w="404" w:type="dxa"/>
            <w:noWrap w:val="0"/>
            <w:textDirection w:val="btLr"/>
            <w:vAlign w:val="center"/>
          </w:tcPr>
          <w:p>
            <w:pPr>
              <w:spacing w:line="200" w:lineRule="exact"/>
              <w:ind w:left="113" w:right="113"/>
              <w:rPr>
                <w:rFonts w:hint="default" w:eastAsia="宋体"/>
                <w:color w:val="auto"/>
                <w:sz w:val="18"/>
                <w:szCs w:val="18"/>
                <w:highlight w:val="none"/>
                <w:lang w:val="en-US" w:eastAsia="zh-CN"/>
              </w:rPr>
            </w:pPr>
            <w:r>
              <w:rPr>
                <w:rFonts w:hint="eastAsia" w:eastAsia="宋体"/>
                <w:color w:val="auto"/>
                <w:sz w:val="18"/>
                <w:szCs w:val="18"/>
                <w:highlight w:val="none"/>
                <w:lang w:val="en-US" w:eastAsia="zh-CN"/>
              </w:rPr>
              <w:t>9</w:t>
            </w:r>
            <w:r>
              <w:rPr>
                <w:rFonts w:hint="eastAsia"/>
                <w:color w:val="auto"/>
                <w:sz w:val="18"/>
                <w:szCs w:val="18"/>
                <w:highlight w:val="none"/>
              </w:rPr>
              <w:t>．</w:t>
            </w:r>
            <w:r>
              <w:rPr>
                <w:rFonts w:hint="eastAsia" w:eastAsia="宋体"/>
                <w:color w:val="auto"/>
                <w:sz w:val="18"/>
                <w:szCs w:val="18"/>
                <w:highlight w:val="none"/>
                <w:lang w:val="en-US" w:eastAsia="zh-CN"/>
              </w:rPr>
              <w:t>路面标志标线</w:t>
            </w:r>
          </w:p>
        </w:tc>
        <w:tc>
          <w:tcPr>
            <w:tcW w:w="403" w:type="dxa"/>
            <w:noWrap w:val="0"/>
            <w:textDirection w:val="btLr"/>
            <w:vAlign w:val="center"/>
          </w:tcPr>
          <w:p>
            <w:pPr>
              <w:spacing w:line="200" w:lineRule="exact"/>
              <w:ind w:left="113" w:right="113"/>
              <w:rPr>
                <w:rFonts w:hint="default" w:eastAsia="宋体"/>
                <w:color w:val="auto"/>
                <w:sz w:val="18"/>
                <w:szCs w:val="18"/>
                <w:highlight w:val="none"/>
                <w:lang w:val="en-US" w:eastAsia="zh-CN"/>
              </w:rPr>
            </w:pPr>
            <w:r>
              <w:rPr>
                <w:rFonts w:hint="eastAsia" w:eastAsia="宋体"/>
                <w:color w:val="auto"/>
                <w:sz w:val="18"/>
                <w:szCs w:val="18"/>
                <w:highlight w:val="none"/>
                <w:lang w:val="en-US" w:eastAsia="zh-CN"/>
              </w:rPr>
              <w:t>10.桥梁工程</w:t>
            </w:r>
          </w:p>
        </w:tc>
        <w:tc>
          <w:tcPr>
            <w:tcW w:w="403" w:type="dxa"/>
            <w:noWrap w:val="0"/>
            <w:textDirection w:val="btLr"/>
            <w:vAlign w:val="center"/>
          </w:tcPr>
          <w:p>
            <w:pPr>
              <w:spacing w:line="200" w:lineRule="exact"/>
              <w:ind w:left="113" w:right="113"/>
              <w:rPr>
                <w:rFonts w:hint="default" w:eastAsia="宋体"/>
                <w:color w:val="auto"/>
                <w:sz w:val="18"/>
                <w:szCs w:val="18"/>
                <w:highlight w:val="none"/>
                <w:lang w:val="en-US" w:eastAsia="zh-CN"/>
              </w:rPr>
            </w:pPr>
            <w:r>
              <w:rPr>
                <w:rFonts w:hint="eastAsia"/>
                <w:color w:val="auto"/>
                <w:sz w:val="18"/>
                <w:szCs w:val="18"/>
                <w:highlight w:val="none"/>
              </w:rPr>
              <w:t>（1）</w:t>
            </w:r>
            <w:r>
              <w:rPr>
                <w:rFonts w:hint="eastAsia" w:eastAsia="宋体"/>
                <w:color w:val="auto"/>
                <w:sz w:val="18"/>
                <w:szCs w:val="18"/>
                <w:highlight w:val="none"/>
                <w:lang w:val="en-US" w:eastAsia="zh-CN"/>
              </w:rPr>
              <w:t>基础工程</w:t>
            </w:r>
          </w:p>
        </w:tc>
        <w:tc>
          <w:tcPr>
            <w:tcW w:w="404" w:type="dxa"/>
            <w:noWrap w:val="0"/>
            <w:textDirection w:val="btLr"/>
            <w:vAlign w:val="center"/>
          </w:tcPr>
          <w:p>
            <w:pPr>
              <w:spacing w:line="200" w:lineRule="exact"/>
              <w:ind w:left="113" w:right="113"/>
              <w:rPr>
                <w:rFonts w:hint="default" w:eastAsia="宋体"/>
                <w:color w:val="auto"/>
                <w:sz w:val="18"/>
                <w:szCs w:val="18"/>
                <w:highlight w:val="none"/>
                <w:lang w:val="en-US" w:eastAsia="zh-CN"/>
              </w:rPr>
            </w:pPr>
            <w:r>
              <w:rPr>
                <w:rFonts w:hint="eastAsia"/>
                <w:color w:val="auto"/>
                <w:sz w:val="18"/>
                <w:szCs w:val="18"/>
                <w:highlight w:val="none"/>
              </w:rPr>
              <w:t>（2）</w:t>
            </w:r>
            <w:r>
              <w:rPr>
                <w:rFonts w:hint="eastAsia" w:eastAsia="宋体"/>
                <w:color w:val="auto"/>
                <w:sz w:val="18"/>
                <w:szCs w:val="18"/>
                <w:highlight w:val="none"/>
                <w:lang w:val="en-US" w:eastAsia="zh-CN"/>
              </w:rPr>
              <w:t>墩台工程</w:t>
            </w:r>
          </w:p>
        </w:tc>
        <w:tc>
          <w:tcPr>
            <w:tcW w:w="404" w:type="dxa"/>
            <w:noWrap w:val="0"/>
            <w:textDirection w:val="btLr"/>
            <w:vAlign w:val="center"/>
          </w:tcPr>
          <w:p>
            <w:pPr>
              <w:spacing w:line="200" w:lineRule="exact"/>
              <w:ind w:left="113" w:right="113"/>
              <w:rPr>
                <w:rFonts w:hint="default" w:eastAsia="宋体"/>
                <w:color w:val="auto"/>
                <w:sz w:val="18"/>
                <w:szCs w:val="18"/>
                <w:highlight w:val="none"/>
                <w:lang w:val="en-US" w:eastAsia="zh-CN"/>
              </w:rPr>
            </w:pPr>
            <w:r>
              <w:rPr>
                <w:rFonts w:hint="eastAsia" w:eastAsia="宋体"/>
                <w:color w:val="auto"/>
                <w:sz w:val="18"/>
                <w:szCs w:val="18"/>
                <w:highlight w:val="none"/>
                <w:lang w:eastAsia="zh-CN"/>
              </w:rPr>
              <w:t>（</w:t>
            </w:r>
            <w:r>
              <w:rPr>
                <w:rFonts w:hint="eastAsia" w:eastAsia="宋体"/>
                <w:color w:val="auto"/>
                <w:sz w:val="18"/>
                <w:szCs w:val="18"/>
                <w:highlight w:val="none"/>
                <w:lang w:val="en-US" w:eastAsia="zh-CN"/>
              </w:rPr>
              <w:t>3</w:t>
            </w:r>
            <w:r>
              <w:rPr>
                <w:rFonts w:hint="eastAsia" w:eastAsia="宋体"/>
                <w:color w:val="auto"/>
                <w:sz w:val="18"/>
                <w:szCs w:val="18"/>
                <w:highlight w:val="none"/>
                <w:lang w:eastAsia="zh-CN"/>
              </w:rPr>
              <w:t>）</w:t>
            </w:r>
            <w:r>
              <w:rPr>
                <w:rFonts w:hint="eastAsia" w:eastAsia="宋体"/>
                <w:color w:val="auto"/>
                <w:sz w:val="18"/>
                <w:szCs w:val="18"/>
                <w:highlight w:val="none"/>
                <w:lang w:val="en-US" w:eastAsia="zh-CN"/>
              </w:rPr>
              <w:t>梁体工程</w:t>
            </w:r>
          </w:p>
        </w:tc>
        <w:tc>
          <w:tcPr>
            <w:tcW w:w="404" w:type="dxa"/>
            <w:noWrap w:val="0"/>
            <w:textDirection w:val="btLr"/>
            <w:vAlign w:val="center"/>
          </w:tcPr>
          <w:p>
            <w:pPr>
              <w:spacing w:line="200" w:lineRule="exact"/>
              <w:ind w:left="113" w:right="113"/>
              <w:rPr>
                <w:rFonts w:hint="default" w:eastAsia="宋体"/>
                <w:color w:val="auto"/>
                <w:sz w:val="18"/>
                <w:szCs w:val="18"/>
                <w:highlight w:val="none"/>
                <w:lang w:val="en-US" w:eastAsia="zh-CN"/>
              </w:rPr>
            </w:pPr>
            <w:r>
              <w:rPr>
                <w:rFonts w:hint="eastAsia" w:eastAsia="宋体"/>
                <w:color w:val="auto"/>
                <w:sz w:val="18"/>
                <w:szCs w:val="18"/>
                <w:highlight w:val="none"/>
                <w:lang w:eastAsia="zh-CN"/>
              </w:rPr>
              <w:t>（</w:t>
            </w:r>
            <w:r>
              <w:rPr>
                <w:rFonts w:hint="eastAsia" w:eastAsia="宋体"/>
                <w:color w:val="auto"/>
                <w:sz w:val="18"/>
                <w:szCs w:val="18"/>
                <w:highlight w:val="none"/>
                <w:lang w:val="en-US" w:eastAsia="zh-CN"/>
              </w:rPr>
              <w:t>4</w:t>
            </w:r>
            <w:r>
              <w:rPr>
                <w:rFonts w:hint="eastAsia" w:eastAsia="宋体"/>
                <w:color w:val="auto"/>
                <w:sz w:val="18"/>
                <w:szCs w:val="18"/>
                <w:highlight w:val="none"/>
                <w:lang w:eastAsia="zh-CN"/>
              </w:rPr>
              <w:t>）</w:t>
            </w:r>
            <w:r>
              <w:rPr>
                <w:rFonts w:hint="eastAsia" w:eastAsia="宋体"/>
                <w:color w:val="auto"/>
                <w:sz w:val="18"/>
                <w:szCs w:val="18"/>
                <w:highlight w:val="none"/>
                <w:lang w:val="en-US" w:eastAsia="zh-CN"/>
              </w:rPr>
              <w:t>梁体安装</w:t>
            </w:r>
          </w:p>
        </w:tc>
        <w:tc>
          <w:tcPr>
            <w:tcW w:w="404" w:type="dxa"/>
            <w:noWrap w:val="0"/>
            <w:textDirection w:val="btLr"/>
            <w:vAlign w:val="center"/>
          </w:tcPr>
          <w:p>
            <w:pPr>
              <w:spacing w:line="200" w:lineRule="exact"/>
              <w:ind w:left="113" w:right="113"/>
              <w:rPr>
                <w:rFonts w:hint="default" w:eastAsia="宋体"/>
                <w:color w:val="auto"/>
                <w:sz w:val="18"/>
                <w:szCs w:val="18"/>
                <w:highlight w:val="none"/>
                <w:lang w:val="en-US" w:eastAsia="zh-CN"/>
              </w:rPr>
            </w:pPr>
            <w:r>
              <w:rPr>
                <w:rFonts w:hint="eastAsia" w:eastAsia="宋体"/>
                <w:color w:val="auto"/>
                <w:sz w:val="18"/>
                <w:szCs w:val="18"/>
                <w:highlight w:val="none"/>
                <w:lang w:eastAsia="zh-CN"/>
              </w:rPr>
              <w:t>（</w:t>
            </w:r>
            <w:r>
              <w:rPr>
                <w:rFonts w:hint="eastAsia" w:eastAsia="宋体"/>
                <w:color w:val="auto"/>
                <w:sz w:val="18"/>
                <w:szCs w:val="18"/>
                <w:highlight w:val="none"/>
                <w:lang w:val="en-US" w:eastAsia="zh-CN"/>
              </w:rPr>
              <w:t>5</w:t>
            </w:r>
            <w:r>
              <w:rPr>
                <w:rFonts w:hint="eastAsia" w:eastAsia="宋体"/>
                <w:color w:val="auto"/>
                <w:sz w:val="18"/>
                <w:szCs w:val="18"/>
                <w:highlight w:val="none"/>
                <w:lang w:eastAsia="zh-CN"/>
              </w:rPr>
              <w:t>）</w:t>
            </w:r>
            <w:r>
              <w:rPr>
                <w:rFonts w:hint="eastAsia" w:eastAsia="宋体"/>
                <w:color w:val="auto"/>
                <w:sz w:val="18"/>
                <w:szCs w:val="18"/>
                <w:highlight w:val="none"/>
                <w:lang w:val="en-US" w:eastAsia="zh-CN"/>
              </w:rPr>
              <w:t>桥面铺装及人行道</w:t>
            </w:r>
          </w:p>
        </w:tc>
        <w:tc>
          <w:tcPr>
            <w:tcW w:w="403" w:type="dxa"/>
            <w:noWrap w:val="0"/>
            <w:textDirection w:val="btLr"/>
            <w:vAlign w:val="center"/>
          </w:tcPr>
          <w:p>
            <w:pPr>
              <w:spacing w:line="200" w:lineRule="exact"/>
              <w:ind w:left="113" w:right="113"/>
              <w:rPr>
                <w:rFonts w:hint="eastAsia" w:eastAsia="宋体"/>
                <w:color w:val="auto"/>
                <w:sz w:val="18"/>
                <w:szCs w:val="18"/>
                <w:highlight w:val="none"/>
                <w:lang w:eastAsia="zh-CN"/>
              </w:rPr>
            </w:pPr>
            <w:r>
              <w:rPr>
                <w:rFonts w:hint="eastAsia" w:eastAsia="宋体"/>
                <w:color w:val="auto"/>
                <w:sz w:val="18"/>
                <w:szCs w:val="18"/>
                <w:highlight w:val="none"/>
                <w:lang w:val="en-US" w:eastAsia="zh-CN"/>
              </w:rPr>
              <w:t>11.隧道</w:t>
            </w:r>
          </w:p>
        </w:tc>
        <w:tc>
          <w:tcPr>
            <w:tcW w:w="404" w:type="dxa"/>
            <w:noWrap w:val="0"/>
            <w:textDirection w:val="btLr"/>
            <w:vAlign w:val="center"/>
          </w:tcPr>
          <w:p>
            <w:pPr>
              <w:spacing w:line="200" w:lineRule="exact"/>
              <w:ind w:left="113" w:right="113"/>
              <w:rPr>
                <w:rFonts w:hint="default" w:eastAsia="宋体"/>
                <w:color w:val="auto"/>
                <w:sz w:val="18"/>
                <w:szCs w:val="18"/>
                <w:highlight w:val="none"/>
                <w:lang w:val="en-US" w:eastAsia="zh-CN"/>
              </w:rPr>
            </w:pPr>
            <w:r>
              <w:rPr>
                <w:rFonts w:hint="eastAsia" w:eastAsia="宋体"/>
                <w:color w:val="auto"/>
                <w:sz w:val="18"/>
                <w:szCs w:val="18"/>
                <w:highlight w:val="none"/>
                <w:lang w:val="en-US" w:eastAsia="zh-CN"/>
              </w:rPr>
              <w:t>12.其他</w:t>
            </w:r>
          </w:p>
        </w:tc>
      </w:tr>
    </w:tbl>
    <w:p>
      <w:pPr>
        <w:spacing w:before="117" w:line="222" w:lineRule="auto"/>
        <w:jc w:val="left"/>
        <w:outlineLvl w:val="2"/>
        <w:rPr>
          <w:rFonts w:hint="eastAsia" w:ascii="宋体" w:hAnsi="宋体" w:eastAsia="宋体" w:cs="宋体"/>
          <w:b/>
          <w:bCs/>
          <w:color w:val="auto"/>
          <w:spacing w:val="-3"/>
          <w:sz w:val="24"/>
          <w:szCs w:val="24"/>
          <w:highlight w:val="none"/>
        </w:rPr>
      </w:pPr>
      <w:bookmarkStart w:id="743" w:name="_Toc6277"/>
      <w:r>
        <w:rPr>
          <w:rFonts w:hint="eastAsia" w:ascii="宋体" w:hAnsi="宋体" w:eastAsia="宋体" w:cs="宋体"/>
          <w:b/>
          <w:bCs/>
          <w:color w:val="auto"/>
          <w:spacing w:val="-3"/>
          <w:sz w:val="24"/>
          <w:szCs w:val="24"/>
          <w:highlight w:val="none"/>
        </w:rPr>
        <w:t>附表一  施工总体计划表</w:t>
      </w:r>
      <w:bookmarkEnd w:id="743"/>
    </w:p>
    <w:p>
      <w:pPr>
        <w:rPr>
          <w:rFonts w:ascii="Arial"/>
          <w:color w:val="auto"/>
          <w:sz w:val="21"/>
          <w:highlight w:val="none"/>
        </w:rPr>
      </w:pPr>
    </w:p>
    <w:p>
      <w:pPr>
        <w:rPr>
          <w:color w:val="auto"/>
          <w:highlight w:val="none"/>
        </w:rPr>
        <w:sectPr>
          <w:pgSz w:w="11900" w:h="16840"/>
          <w:pgMar w:top="1160" w:right="1020" w:bottom="1448" w:left="1363" w:header="883" w:footer="1234" w:gutter="0"/>
          <w:pgNumType w:fmt="decimal"/>
          <w:cols w:space="720" w:num="1"/>
        </w:sectPr>
      </w:pPr>
    </w:p>
    <w:p>
      <w:pPr>
        <w:tabs>
          <w:tab w:val="left" w:pos="2675"/>
        </w:tabs>
        <w:spacing w:line="316" w:lineRule="auto"/>
        <w:rPr>
          <w:rFonts w:ascii="Arial"/>
          <w:color w:val="auto"/>
          <w:sz w:val="21"/>
          <w:highlight w:val="none"/>
        </w:rPr>
      </w:pPr>
      <w:r>
        <w:rPr>
          <w:color w:val="auto"/>
          <w:highlight w:val="none"/>
        </w:rPr>
        <mc:AlternateContent>
          <mc:Choice Requires="wps">
            <w:drawing>
              <wp:anchor distT="0" distB="0" distL="114300" distR="114300" simplePos="0" relativeHeight="251665408" behindDoc="0" locked="0" layoutInCell="0" allowOverlap="1">
                <wp:simplePos x="0" y="0"/>
                <wp:positionH relativeFrom="page">
                  <wp:posOffset>769620</wp:posOffset>
                </wp:positionH>
                <wp:positionV relativeFrom="page">
                  <wp:posOffset>3670300</wp:posOffset>
                </wp:positionV>
                <wp:extent cx="162560" cy="23622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62560" cy="236220"/>
                        </a:xfrm>
                        <a:prstGeom prst="rect">
                          <a:avLst/>
                        </a:prstGeom>
                        <a:noFill/>
                        <a:ln>
                          <a:noFill/>
                        </a:ln>
                      </wps:spPr>
                      <wps:txbx>
                        <w:txbxContent>
                          <w:p>
                            <w:pPr>
                              <w:spacing w:before="19" w:line="182" w:lineRule="auto"/>
                              <w:ind w:left="20"/>
                              <w:rPr>
                                <w:rFonts w:ascii="Times New Roman" w:hAnsi="Times New Roman" w:eastAsia="Times New Roman" w:cs="Times New Roman"/>
                                <w:sz w:val="24"/>
                                <w:szCs w:val="24"/>
                              </w:rPr>
                            </w:pPr>
                            <w:r>
                              <w:rPr>
                                <w:rFonts w:ascii="Times New Roman" w:hAnsi="Times New Roman" w:eastAsia="Times New Roman" w:cs="Times New Roman"/>
                                <w:spacing w:val="-7"/>
                                <w:sz w:val="24"/>
                                <w:szCs w:val="24"/>
                              </w:rPr>
                              <w:t>1</w:t>
                            </w:r>
                            <w:r>
                              <w:rPr>
                                <w:rFonts w:ascii="Times New Roman" w:hAnsi="Times New Roman" w:eastAsia="Times New Roman" w:cs="Times New Roman"/>
                                <w:spacing w:val="-6"/>
                                <w:sz w:val="24"/>
                                <w:szCs w:val="24"/>
                              </w:rPr>
                              <w:t>92</w:t>
                            </w:r>
                          </w:p>
                        </w:txbxContent>
                      </wps:txbx>
                      <wps:bodyPr vert="eaVert" lIns="0" tIns="0" rIns="0" bIns="0" upright="1"/>
                    </wps:wsp>
                  </a:graphicData>
                </a:graphic>
              </wp:anchor>
            </w:drawing>
          </mc:Choice>
          <mc:Fallback>
            <w:pict>
              <v:shape id="_x0000_s1026" o:spid="_x0000_s1026" o:spt="202" type="#_x0000_t202" style="position:absolute;left:0pt;margin-left:60.6pt;margin-top:289pt;height:18.6pt;width:12.8pt;mso-position-horizontal-relative:page;mso-position-vertical-relative:page;z-index:251665408;mso-width-relative:page;mso-height-relative:page;" filled="f" stroked="f" coordsize="21600,21600" o:allowincell="f" o:gfxdata="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4/4GUtcAAAALAQAADwAAAAAAAAABACAAAAAiAAAAZHJzL2Rvd25yZXYu&#10;eG1sUEsBAhQAFAAAAAgAh07iQD7sbXDDAQAAgQMAAA4AAAAAAAAAAQAgAAAAJgEAAGRycy9lMm9E&#10;b2MueG1sUEsFBgAAAAAGAAYAWQEAAFsFAAAAAA==&#10;">
                <v:fill on="f" focussize="0,0"/>
                <v:stroke on="f"/>
                <v:imagedata o:title=""/>
                <o:lock v:ext="edit" aspectratio="f"/>
                <v:textbox inset="0mm,0mm,0mm,0mm" style="layout-flow:vertical-ideographic;">
                  <w:txbxContent>
                    <w:p>
                      <w:pPr>
                        <w:spacing w:before="19" w:line="182" w:lineRule="auto"/>
                        <w:ind w:left="20"/>
                        <w:rPr>
                          <w:rFonts w:ascii="Times New Roman" w:hAnsi="Times New Roman" w:eastAsia="Times New Roman" w:cs="Times New Roman"/>
                          <w:sz w:val="24"/>
                          <w:szCs w:val="24"/>
                        </w:rPr>
                      </w:pPr>
                      <w:r>
                        <w:rPr>
                          <w:rFonts w:ascii="Times New Roman" w:hAnsi="Times New Roman" w:eastAsia="Times New Roman" w:cs="Times New Roman"/>
                          <w:spacing w:val="-7"/>
                          <w:sz w:val="24"/>
                          <w:szCs w:val="24"/>
                        </w:rPr>
                        <w:t>1</w:t>
                      </w:r>
                      <w:r>
                        <w:rPr>
                          <w:rFonts w:ascii="Times New Roman" w:hAnsi="Times New Roman" w:eastAsia="Times New Roman" w:cs="Times New Roman"/>
                          <w:spacing w:val="-6"/>
                          <w:sz w:val="24"/>
                          <w:szCs w:val="24"/>
                        </w:rPr>
                        <w:t>92</w:t>
                      </w:r>
                    </w:p>
                  </w:txbxContent>
                </v:textbox>
              </v:shape>
            </w:pict>
          </mc:Fallback>
        </mc:AlternateContent>
      </w:r>
      <w:r>
        <w:rPr>
          <w:color w:val="auto"/>
          <w:highlight w:val="none"/>
        </w:rPr>
        <w:drawing>
          <wp:anchor distT="0" distB="0" distL="0" distR="0" simplePos="0" relativeHeight="251664384" behindDoc="0" locked="0" layoutInCell="0" allowOverlap="1">
            <wp:simplePos x="0" y="0"/>
            <wp:positionH relativeFrom="page">
              <wp:posOffset>9956165</wp:posOffset>
            </wp:positionH>
            <wp:positionV relativeFrom="page">
              <wp:posOffset>865505</wp:posOffset>
            </wp:positionV>
            <wp:extent cx="8890" cy="5830570"/>
            <wp:effectExtent l="0" t="0" r="10160" b="17780"/>
            <wp:wrapNone/>
            <wp:docPr id="243" name="IM 200"/>
            <wp:cNvGraphicFramePr/>
            <a:graphic xmlns:a="http://schemas.openxmlformats.org/drawingml/2006/main">
              <a:graphicData uri="http://schemas.openxmlformats.org/drawingml/2006/picture">
                <pic:pic xmlns:pic="http://schemas.openxmlformats.org/drawingml/2006/picture">
                  <pic:nvPicPr>
                    <pic:cNvPr id="243" name="IM 200"/>
                    <pic:cNvPicPr/>
                  </pic:nvPicPr>
                  <pic:blipFill>
                    <a:blip r:embed="rId65"/>
                    <a:stretch>
                      <a:fillRect/>
                    </a:stretch>
                  </pic:blipFill>
                  <pic:spPr>
                    <a:xfrm>
                      <a:off x="0" y="0"/>
                      <a:ext cx="9143" cy="5830823"/>
                    </a:xfrm>
                    <a:prstGeom prst="rect">
                      <a:avLst/>
                    </a:prstGeom>
                  </pic:spPr>
                </pic:pic>
              </a:graphicData>
            </a:graphic>
          </wp:anchor>
        </w:drawing>
      </w:r>
      <w:r>
        <w:rPr>
          <w:rFonts w:hint="eastAsia" w:eastAsia="宋体"/>
          <w:color w:val="auto"/>
          <w:sz w:val="21"/>
          <w:highlight w:val="none"/>
          <w:lang w:eastAsia="zh-CN"/>
        </w:rPr>
        <w:tab/>
      </w:r>
    </w:p>
    <w:p>
      <w:pPr>
        <w:spacing w:before="117" w:line="222" w:lineRule="auto"/>
        <w:jc w:val="left"/>
        <w:outlineLvl w:val="2"/>
        <w:rPr>
          <w:rFonts w:hint="eastAsia" w:ascii="宋体" w:hAnsi="宋体" w:eastAsia="宋体" w:cs="宋体"/>
          <w:b/>
          <w:bCs/>
          <w:color w:val="auto"/>
          <w:spacing w:val="-3"/>
          <w:sz w:val="24"/>
          <w:szCs w:val="24"/>
          <w:highlight w:val="none"/>
        </w:rPr>
      </w:pPr>
      <w:bookmarkStart w:id="744" w:name="_Toc8118"/>
      <w:r>
        <w:rPr>
          <w:rFonts w:hint="eastAsia" w:ascii="宋体" w:hAnsi="宋体" w:eastAsia="宋体" w:cs="宋体"/>
          <w:b/>
          <w:bCs/>
          <w:color w:val="auto"/>
          <w:spacing w:val="-3"/>
          <w:sz w:val="24"/>
          <w:szCs w:val="24"/>
          <w:highlight w:val="none"/>
        </w:rPr>
        <mc:AlternateContent>
          <mc:Choice Requires="wps">
            <w:drawing>
              <wp:anchor distT="0" distB="0" distL="0" distR="0" simplePos="0" relativeHeight="251663360" behindDoc="0" locked="0" layoutInCell="0" allowOverlap="1">
                <wp:simplePos x="0" y="0"/>
                <wp:positionH relativeFrom="page">
                  <wp:posOffset>9489440</wp:posOffset>
                </wp:positionH>
                <wp:positionV relativeFrom="page">
                  <wp:posOffset>1377315</wp:posOffset>
                </wp:positionV>
                <wp:extent cx="2294890" cy="1236980"/>
                <wp:effectExtent l="528955" t="0" r="0" b="0"/>
                <wp:wrapNone/>
                <wp:docPr id="239" name="TextBox 194"/>
                <wp:cNvGraphicFramePr/>
                <a:graphic xmlns:a="http://schemas.openxmlformats.org/drawingml/2006/main">
                  <a:graphicData uri="http://schemas.microsoft.com/office/word/2010/wordprocessingShape">
                    <wps:wsp>
                      <wps:cNvSpPr txBox="1"/>
                      <wps:spPr>
                        <a:xfrm rot="5400000">
                          <a:off x="8922967" y="1896583"/>
                          <a:ext cx="2294890" cy="123698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13"/>
                              <w:pBdr>
                                <w:bottom w:val="single" w:color="auto" w:sz="4" w:space="1"/>
                              </w:pBd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94" o:spid="_x0000_s1026" o:spt="202" type="#_x0000_t202" style="position:absolute;left:0pt;margin-left:747.2pt;margin-top:108.45pt;height:97.4pt;width:180.7pt;mso-position-horizontal-relative:page;mso-position-vertical-relative:page;rotation:5898240f;z-index:251663360;mso-width-relative:page;mso-height-relative:page;" filled="f" stroked="f" coordsize="21600,21600" o:allowincell="f" o:gfxdata="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OMFVJrXAAAADQEAAA8AAAAAAAAAAQAgAAAAIgAAAGRycy9kb3ducmV2&#10;LnhtbFBLAQIUABQAAAAIAIdO4kBEA+PeNgIAAHAEAAAOAAAAAAAAAAEAIAAAACYBAABkcnMvZTJv&#10;RG9jLnhtbFBLBQYAAAAABgAGAFkBAADOBQAAAAA=&#10;">
                <v:fill on="f" focussize="0,0"/>
                <v:stroke on="f" weight="0pt"/>
                <v:imagedata o:title=""/>
                <o:lock v:ext="edit" aspectratio="f"/>
                <v:textbox inset="0mm,0mm,0mm,0mm">
                  <w:txbxContent>
                    <w:p>
                      <w:pPr>
                        <w:pStyle w:val="13"/>
                        <w:pBdr>
                          <w:bottom w:val="single" w:color="auto" w:sz="4" w:space="1"/>
                        </w:pBdr>
                      </w:pPr>
                    </w:p>
                  </w:txbxContent>
                </v:textbox>
              </v:shape>
            </w:pict>
          </mc:Fallback>
        </mc:AlternateContent>
      </w:r>
      <w:r>
        <w:rPr>
          <w:rFonts w:hint="eastAsia" w:ascii="宋体" w:hAnsi="宋体" w:eastAsia="宋体" w:cs="宋体"/>
          <w:b/>
          <w:bCs/>
          <w:color w:val="auto"/>
          <w:spacing w:val="-3"/>
          <w:sz w:val="24"/>
          <w:szCs w:val="24"/>
          <w:highlight w:val="none"/>
        </w:rPr>
        <w:t>附表二  分项工程进度率计划 (斜率图)</w:t>
      </w:r>
      <w:bookmarkEnd w:id="744"/>
    </w:p>
    <w:p>
      <w:pPr>
        <w:spacing w:line="219" w:lineRule="exact"/>
        <w:rPr>
          <w:color w:val="auto"/>
          <w:highlight w:val="none"/>
        </w:rPr>
      </w:pPr>
    </w:p>
    <w:tbl>
      <w:tblPr>
        <w:tblStyle w:val="26"/>
        <w:tblW w:w="13280" w:type="dxa"/>
        <w:tblInd w:w="37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96"/>
        <w:gridCol w:w="567"/>
        <w:gridCol w:w="445"/>
        <w:gridCol w:w="429"/>
        <w:gridCol w:w="429"/>
        <w:gridCol w:w="429"/>
        <w:gridCol w:w="431"/>
        <w:gridCol w:w="429"/>
        <w:gridCol w:w="429"/>
        <w:gridCol w:w="431"/>
        <w:gridCol w:w="429"/>
        <w:gridCol w:w="429"/>
        <w:gridCol w:w="431"/>
        <w:gridCol w:w="429"/>
        <w:gridCol w:w="429"/>
        <w:gridCol w:w="431"/>
        <w:gridCol w:w="429"/>
        <w:gridCol w:w="429"/>
        <w:gridCol w:w="431"/>
        <w:gridCol w:w="429"/>
        <w:gridCol w:w="428"/>
        <w:gridCol w:w="431"/>
        <w:gridCol w:w="429"/>
        <w:gridCol w:w="429"/>
        <w:gridCol w:w="45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01" w:hRule="atLeast"/>
        </w:trPr>
        <w:tc>
          <w:tcPr>
            <w:tcW w:w="3363" w:type="dxa"/>
            <w:gridSpan w:val="2"/>
            <w:tcBorders>
              <w:left w:val="single" w:color="000000" w:sz="10" w:space="0"/>
            </w:tcBorders>
          </w:tcPr>
          <w:p>
            <w:pPr>
              <w:spacing w:before="49" w:line="220" w:lineRule="auto"/>
              <w:ind w:left="1499"/>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年</w:t>
            </w:r>
            <w:r>
              <w:rPr>
                <w:rFonts w:ascii="宋体" w:hAnsi="宋体" w:eastAsia="宋体" w:cs="宋体"/>
                <w:color w:val="auto"/>
                <w:spacing w:val="-6"/>
                <w:sz w:val="18"/>
                <w:szCs w:val="18"/>
                <w:highlight w:val="none"/>
              </w:rPr>
              <w:t>度</w:t>
            </w:r>
          </w:p>
        </w:tc>
        <w:tc>
          <w:tcPr>
            <w:tcW w:w="5170" w:type="dxa"/>
            <w:gridSpan w:val="12"/>
            <w:tcBorders>
              <w:right w:val="single" w:color="000000" w:sz="4" w:space="0"/>
            </w:tcBorders>
          </w:tcPr>
          <w:p>
            <w:pPr>
              <w:tabs>
                <w:tab w:val="left" w:pos="3320"/>
              </w:tabs>
              <w:spacing w:before="49" w:line="220" w:lineRule="auto"/>
              <w:ind w:left="1527"/>
              <w:rPr>
                <w:rFonts w:ascii="宋体" w:hAnsi="宋体" w:eastAsia="宋体" w:cs="宋体"/>
                <w:color w:val="auto"/>
                <w:sz w:val="18"/>
                <w:szCs w:val="18"/>
                <w:highlight w:val="none"/>
              </w:rPr>
            </w:pPr>
            <w:r>
              <w:rPr>
                <w:rFonts w:ascii="宋体" w:hAnsi="宋体" w:eastAsia="宋体" w:cs="宋体"/>
                <w:color w:val="auto"/>
                <w:sz w:val="18"/>
                <w:szCs w:val="18"/>
                <w:highlight w:val="none"/>
                <w:u w:val="single"/>
              </w:rPr>
              <w:tab/>
            </w:r>
            <w:r>
              <w:rPr>
                <w:rFonts w:ascii="宋体" w:hAnsi="宋体" w:eastAsia="宋体" w:cs="宋体"/>
                <w:color w:val="auto"/>
                <w:spacing w:val="-13"/>
                <w:sz w:val="18"/>
                <w:szCs w:val="18"/>
                <w:highlight w:val="none"/>
              </w:rPr>
              <w:t>年度</w:t>
            </w:r>
          </w:p>
        </w:tc>
        <w:tc>
          <w:tcPr>
            <w:tcW w:w="4747" w:type="dxa"/>
            <w:gridSpan w:val="11"/>
            <w:tcBorders>
              <w:left w:val="single" w:color="000000" w:sz="4" w:space="0"/>
              <w:right w:val="single" w:color="000000" w:sz="10" w:space="0"/>
            </w:tcBorders>
          </w:tcPr>
          <w:p>
            <w:pPr>
              <w:tabs>
                <w:tab w:val="left" w:pos="3102"/>
              </w:tabs>
              <w:spacing w:before="49" w:line="220" w:lineRule="auto"/>
              <w:ind w:left="1313"/>
              <w:rPr>
                <w:rFonts w:ascii="宋体" w:hAnsi="宋体" w:eastAsia="宋体" w:cs="宋体"/>
                <w:color w:val="auto"/>
                <w:sz w:val="18"/>
                <w:szCs w:val="18"/>
                <w:highlight w:val="none"/>
              </w:rPr>
            </w:pPr>
            <w:r>
              <w:rPr>
                <w:rFonts w:ascii="宋体" w:hAnsi="宋体" w:eastAsia="宋体" w:cs="宋体"/>
                <w:color w:val="auto"/>
                <w:sz w:val="18"/>
                <w:szCs w:val="18"/>
                <w:highlight w:val="none"/>
                <w:u w:val="single"/>
              </w:rPr>
              <w:tab/>
            </w:r>
            <w:r>
              <w:rPr>
                <w:rFonts w:ascii="宋体" w:hAnsi="宋体" w:eastAsia="宋体" w:cs="宋体"/>
                <w:color w:val="auto"/>
                <w:spacing w:val="-14"/>
                <w:sz w:val="18"/>
                <w:szCs w:val="18"/>
                <w:highlight w:val="none"/>
              </w:rPr>
              <w:t>年</w:t>
            </w:r>
            <w:r>
              <w:rPr>
                <w:rFonts w:ascii="宋体" w:hAnsi="宋体" w:eastAsia="宋体" w:cs="宋体"/>
                <w:color w:val="auto"/>
                <w:spacing w:val="-12"/>
                <w:sz w:val="18"/>
                <w:szCs w:val="18"/>
                <w:highlight w:val="none"/>
              </w:rPr>
              <w:t>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62" w:hRule="atLeast"/>
        </w:trPr>
        <w:tc>
          <w:tcPr>
            <w:tcW w:w="3363" w:type="dxa"/>
            <w:gridSpan w:val="2"/>
            <w:tcBorders>
              <w:left w:val="single" w:color="000000" w:sz="10" w:space="0"/>
            </w:tcBorders>
          </w:tcPr>
          <w:p>
            <w:pPr>
              <w:spacing w:before="25" w:line="220" w:lineRule="auto"/>
              <w:ind w:left="1499"/>
              <w:rPr>
                <w:rFonts w:ascii="宋体" w:hAnsi="宋体" w:eastAsia="宋体" w:cs="宋体"/>
                <w:color w:val="auto"/>
                <w:sz w:val="18"/>
                <w:szCs w:val="18"/>
                <w:highlight w:val="none"/>
              </w:rPr>
            </w:pPr>
            <w:r>
              <w:rPr>
                <w:rFonts w:ascii="宋体" w:hAnsi="宋体" w:eastAsia="宋体" w:cs="宋体"/>
                <w:color w:val="auto"/>
                <w:spacing w:val="-7"/>
                <w:sz w:val="18"/>
                <w:szCs w:val="18"/>
                <w:highlight w:val="none"/>
              </w:rPr>
              <w:t>季</w:t>
            </w:r>
            <w:r>
              <w:rPr>
                <w:rFonts w:ascii="宋体" w:hAnsi="宋体" w:eastAsia="宋体" w:cs="宋体"/>
                <w:color w:val="auto"/>
                <w:spacing w:val="-6"/>
                <w:sz w:val="18"/>
                <w:szCs w:val="18"/>
                <w:highlight w:val="none"/>
              </w:rPr>
              <w:t>度</w:t>
            </w:r>
          </w:p>
        </w:tc>
        <w:tc>
          <w:tcPr>
            <w:tcW w:w="1303" w:type="dxa"/>
            <w:gridSpan w:val="3"/>
            <w:tcBorders>
              <w:right w:val="single" w:color="000000" w:sz="4" w:space="0"/>
            </w:tcBorders>
          </w:tcPr>
          <w:p>
            <w:pPr>
              <w:spacing w:before="60" w:line="182" w:lineRule="auto"/>
              <w:ind w:left="590"/>
              <w:rPr>
                <w:rFonts w:ascii="宋体" w:hAnsi="宋体" w:eastAsia="宋体" w:cs="宋体"/>
                <w:color w:val="auto"/>
                <w:sz w:val="8"/>
                <w:szCs w:val="8"/>
                <w:highlight w:val="none"/>
              </w:rPr>
            </w:pPr>
            <w:r>
              <w:rPr>
                <w:rFonts w:ascii="宋体" w:hAnsi="宋体" w:eastAsia="宋体" w:cs="宋体"/>
                <w:color w:val="auto"/>
                <w:sz w:val="18"/>
                <w:szCs w:val="18"/>
                <w:highlight w:val="none"/>
              </w:rPr>
              <w:t>一</w:t>
            </w:r>
          </w:p>
        </w:tc>
        <w:tc>
          <w:tcPr>
            <w:tcW w:w="1289" w:type="dxa"/>
            <w:gridSpan w:val="3"/>
            <w:tcBorders>
              <w:left w:val="single" w:color="000000" w:sz="4" w:space="0"/>
              <w:right w:val="single" w:color="000000" w:sz="4" w:space="0"/>
            </w:tcBorders>
          </w:tcPr>
          <w:p>
            <w:pPr>
              <w:spacing w:before="60" w:line="182" w:lineRule="auto"/>
              <w:ind w:left="590"/>
              <w:rPr>
                <w:rFonts w:ascii="宋体" w:hAnsi="宋体" w:eastAsia="宋体" w:cs="宋体"/>
                <w:color w:val="auto"/>
                <w:sz w:val="18"/>
                <w:szCs w:val="18"/>
                <w:highlight w:val="none"/>
              </w:rPr>
            </w:pPr>
            <w:r>
              <w:rPr>
                <w:rFonts w:ascii="宋体" w:hAnsi="宋体" w:eastAsia="宋体" w:cs="宋体"/>
                <w:color w:val="auto"/>
                <w:sz w:val="18"/>
                <w:szCs w:val="18"/>
                <w:highlight w:val="none"/>
              </w:rPr>
              <w:t>二</w:t>
            </w:r>
          </w:p>
        </w:tc>
        <w:tc>
          <w:tcPr>
            <w:tcW w:w="1289" w:type="dxa"/>
            <w:gridSpan w:val="3"/>
            <w:tcBorders>
              <w:left w:val="single" w:color="000000" w:sz="4" w:space="0"/>
              <w:right w:val="single" w:color="000000" w:sz="4" w:space="0"/>
            </w:tcBorders>
          </w:tcPr>
          <w:p>
            <w:pPr>
              <w:spacing w:before="24" w:line="238" w:lineRule="auto"/>
              <w:ind w:left="590"/>
              <w:rPr>
                <w:rFonts w:ascii="宋体" w:hAnsi="宋体" w:eastAsia="宋体" w:cs="宋体"/>
                <w:color w:val="auto"/>
                <w:sz w:val="18"/>
                <w:szCs w:val="18"/>
                <w:highlight w:val="none"/>
              </w:rPr>
            </w:pPr>
            <w:r>
              <w:rPr>
                <w:rFonts w:ascii="宋体" w:hAnsi="宋体" w:eastAsia="宋体" w:cs="宋体"/>
                <w:color w:val="auto"/>
                <w:sz w:val="18"/>
                <w:szCs w:val="18"/>
                <w:highlight w:val="none"/>
              </w:rPr>
              <w:t>三</w:t>
            </w:r>
          </w:p>
        </w:tc>
        <w:tc>
          <w:tcPr>
            <w:tcW w:w="1289" w:type="dxa"/>
            <w:gridSpan w:val="3"/>
            <w:tcBorders>
              <w:left w:val="single" w:color="000000" w:sz="4" w:space="0"/>
              <w:right w:val="single" w:color="000000" w:sz="4" w:space="0"/>
            </w:tcBorders>
          </w:tcPr>
          <w:p>
            <w:pPr>
              <w:spacing w:before="25" w:line="223" w:lineRule="auto"/>
              <w:ind w:left="583"/>
              <w:rPr>
                <w:rFonts w:ascii="宋体" w:hAnsi="宋体" w:eastAsia="宋体" w:cs="宋体"/>
                <w:color w:val="auto"/>
                <w:sz w:val="18"/>
                <w:szCs w:val="18"/>
                <w:highlight w:val="none"/>
              </w:rPr>
            </w:pPr>
            <w:r>
              <w:rPr>
                <w:rFonts w:ascii="宋体" w:hAnsi="宋体" w:eastAsia="宋体" w:cs="宋体"/>
                <w:color w:val="auto"/>
                <w:sz w:val="18"/>
                <w:szCs w:val="18"/>
                <w:highlight w:val="none"/>
                <w:u w:val="single"/>
              </w:rPr>
              <w:t>四</w:t>
            </w:r>
          </w:p>
        </w:tc>
        <w:tc>
          <w:tcPr>
            <w:tcW w:w="1289" w:type="dxa"/>
            <w:gridSpan w:val="3"/>
            <w:tcBorders>
              <w:left w:val="single" w:color="000000" w:sz="4" w:space="0"/>
              <w:right w:val="single" w:color="000000" w:sz="4" w:space="0"/>
            </w:tcBorders>
          </w:tcPr>
          <w:p>
            <w:pPr>
              <w:spacing w:before="60" w:line="182" w:lineRule="auto"/>
              <w:ind w:left="590"/>
              <w:rPr>
                <w:rFonts w:ascii="宋体" w:hAnsi="宋体" w:eastAsia="宋体" w:cs="宋体"/>
                <w:color w:val="auto"/>
                <w:sz w:val="8"/>
                <w:szCs w:val="8"/>
                <w:highlight w:val="none"/>
              </w:rPr>
            </w:pPr>
            <w:r>
              <w:rPr>
                <w:rFonts w:ascii="宋体" w:hAnsi="宋体" w:eastAsia="宋体" w:cs="宋体"/>
                <w:color w:val="auto"/>
                <w:sz w:val="18"/>
                <w:szCs w:val="18"/>
                <w:highlight w:val="none"/>
              </w:rPr>
              <w:t>一</w:t>
            </w:r>
          </w:p>
        </w:tc>
        <w:tc>
          <w:tcPr>
            <w:tcW w:w="1289" w:type="dxa"/>
            <w:gridSpan w:val="3"/>
            <w:tcBorders>
              <w:left w:val="single" w:color="000000" w:sz="4" w:space="0"/>
              <w:right w:val="single" w:color="000000" w:sz="4" w:space="0"/>
            </w:tcBorders>
          </w:tcPr>
          <w:p>
            <w:pPr>
              <w:spacing w:before="62" w:line="182" w:lineRule="auto"/>
              <w:ind w:left="599"/>
              <w:rPr>
                <w:rFonts w:ascii="宋体" w:hAnsi="宋体" w:eastAsia="宋体" w:cs="宋体"/>
                <w:color w:val="auto"/>
                <w:sz w:val="18"/>
                <w:szCs w:val="18"/>
                <w:highlight w:val="none"/>
              </w:rPr>
            </w:pPr>
            <w:r>
              <w:rPr>
                <w:rFonts w:ascii="宋体" w:hAnsi="宋体" w:eastAsia="宋体" w:cs="宋体"/>
                <w:color w:val="auto"/>
                <w:sz w:val="18"/>
                <w:szCs w:val="18"/>
                <w:highlight w:val="none"/>
              </w:rPr>
              <w:t>二</w:t>
            </w:r>
          </w:p>
        </w:tc>
        <w:tc>
          <w:tcPr>
            <w:tcW w:w="1288" w:type="dxa"/>
            <w:gridSpan w:val="3"/>
            <w:tcBorders>
              <w:left w:val="single" w:color="000000" w:sz="4" w:space="0"/>
              <w:right w:val="single" w:color="000000" w:sz="4" w:space="0"/>
            </w:tcBorders>
          </w:tcPr>
          <w:p>
            <w:pPr>
              <w:spacing w:before="27" w:line="238" w:lineRule="auto"/>
              <w:ind w:left="599"/>
              <w:rPr>
                <w:rFonts w:ascii="宋体" w:hAnsi="宋体" w:eastAsia="宋体" w:cs="宋体"/>
                <w:color w:val="auto"/>
                <w:sz w:val="18"/>
                <w:szCs w:val="18"/>
                <w:highlight w:val="none"/>
              </w:rPr>
            </w:pPr>
            <w:r>
              <w:rPr>
                <w:rFonts w:ascii="宋体" w:hAnsi="宋体" w:eastAsia="宋体" w:cs="宋体"/>
                <w:color w:val="auto"/>
                <w:sz w:val="18"/>
                <w:szCs w:val="18"/>
                <w:highlight w:val="none"/>
              </w:rPr>
              <w:t>三</w:t>
            </w:r>
          </w:p>
        </w:tc>
        <w:tc>
          <w:tcPr>
            <w:tcW w:w="881" w:type="dxa"/>
            <w:gridSpan w:val="2"/>
            <w:tcBorders>
              <w:left w:val="single" w:color="000000" w:sz="4" w:space="0"/>
              <w:right w:val="single" w:color="000000" w:sz="10" w:space="0"/>
            </w:tcBorders>
          </w:tcPr>
          <w:p>
            <w:pPr>
              <w:spacing w:before="27" w:line="223" w:lineRule="auto"/>
              <w:ind w:left="380"/>
              <w:rPr>
                <w:rFonts w:ascii="宋体" w:hAnsi="宋体" w:eastAsia="宋体" w:cs="宋体"/>
                <w:color w:val="auto"/>
                <w:sz w:val="18"/>
                <w:szCs w:val="18"/>
                <w:highlight w:val="none"/>
              </w:rPr>
            </w:pPr>
            <w:r>
              <w:rPr>
                <w:rFonts w:ascii="宋体" w:hAnsi="宋体" w:eastAsia="宋体" w:cs="宋体"/>
                <w:color w:val="auto"/>
                <w:sz w:val="18"/>
                <w:szCs w:val="18"/>
                <w:highlight w:val="none"/>
                <w:u w:val="single"/>
              </w:rPr>
              <w:t>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81" w:hRule="atLeast"/>
        </w:trPr>
        <w:tc>
          <w:tcPr>
            <w:tcW w:w="3363" w:type="dxa"/>
            <w:gridSpan w:val="2"/>
            <w:tcBorders>
              <w:left w:val="single" w:color="000000" w:sz="10" w:space="0"/>
              <w:right w:val="single" w:color="000000" w:sz="4" w:space="0"/>
            </w:tcBorders>
          </w:tcPr>
          <w:p>
            <w:pPr>
              <w:spacing w:before="55" w:line="220" w:lineRule="auto"/>
              <w:ind w:left="1500"/>
              <w:rPr>
                <w:rFonts w:ascii="宋体" w:hAnsi="宋体" w:eastAsia="宋体" w:cs="宋体"/>
                <w:color w:val="auto"/>
                <w:sz w:val="18"/>
                <w:szCs w:val="18"/>
                <w:highlight w:val="none"/>
              </w:rPr>
            </w:pPr>
            <w:r>
              <w:rPr>
                <w:rFonts w:ascii="宋体" w:hAnsi="宋体" w:eastAsia="宋体" w:cs="宋体"/>
                <w:color w:val="auto"/>
                <w:spacing w:val="-8"/>
                <w:sz w:val="18"/>
                <w:szCs w:val="18"/>
                <w:highlight w:val="none"/>
              </w:rPr>
              <w:t>月份</w:t>
            </w:r>
          </w:p>
        </w:tc>
        <w:tc>
          <w:tcPr>
            <w:tcW w:w="445" w:type="dxa"/>
            <w:tcBorders>
              <w:left w:val="single" w:color="000000" w:sz="4" w:space="0"/>
            </w:tcBorders>
          </w:tcPr>
          <w:p>
            <w:pPr>
              <w:spacing w:before="99" w:line="186" w:lineRule="auto"/>
              <w:ind w:left="19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429" w:type="dxa"/>
            <w:tcBorders>
              <w:right w:val="single" w:color="000000" w:sz="4" w:space="0"/>
            </w:tcBorders>
          </w:tcPr>
          <w:p>
            <w:pPr>
              <w:spacing w:before="99" w:line="186" w:lineRule="auto"/>
              <w:ind w:left="17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429" w:type="dxa"/>
            <w:tcBorders>
              <w:left w:val="single" w:color="000000" w:sz="4" w:space="0"/>
              <w:right w:val="single" w:color="000000" w:sz="4" w:space="0"/>
            </w:tcBorders>
          </w:tcPr>
          <w:p>
            <w:pPr>
              <w:spacing w:before="99" w:line="186" w:lineRule="auto"/>
              <w:ind w:left="18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429" w:type="dxa"/>
            <w:tcBorders>
              <w:left w:val="single" w:color="000000" w:sz="4" w:space="0"/>
              <w:right w:val="single" w:color="000000" w:sz="4" w:space="0"/>
            </w:tcBorders>
          </w:tcPr>
          <w:p>
            <w:pPr>
              <w:spacing w:before="99" w:line="186" w:lineRule="auto"/>
              <w:ind w:left="17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431" w:type="dxa"/>
            <w:tcBorders>
              <w:left w:val="single" w:color="000000" w:sz="4" w:space="0"/>
              <w:right w:val="single" w:color="000000" w:sz="4" w:space="0"/>
            </w:tcBorders>
          </w:tcPr>
          <w:p>
            <w:pPr>
              <w:spacing w:before="102" w:line="183" w:lineRule="auto"/>
              <w:ind w:left="18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429" w:type="dxa"/>
            <w:tcBorders>
              <w:left w:val="single" w:color="000000" w:sz="4" w:space="0"/>
              <w:right w:val="single" w:color="000000" w:sz="4" w:space="0"/>
            </w:tcBorders>
          </w:tcPr>
          <w:p>
            <w:pPr>
              <w:spacing w:before="99" w:line="186" w:lineRule="auto"/>
              <w:ind w:left="18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429" w:type="dxa"/>
            <w:tcBorders>
              <w:left w:val="single" w:color="000000" w:sz="4" w:space="0"/>
              <w:right w:val="single" w:color="000000" w:sz="4" w:space="0"/>
            </w:tcBorders>
          </w:tcPr>
          <w:p>
            <w:pPr>
              <w:spacing w:before="102" w:line="183" w:lineRule="auto"/>
              <w:ind w:left="18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7</w:t>
            </w:r>
          </w:p>
        </w:tc>
        <w:tc>
          <w:tcPr>
            <w:tcW w:w="431" w:type="dxa"/>
            <w:tcBorders>
              <w:left w:val="single" w:color="000000" w:sz="4" w:space="0"/>
              <w:right w:val="single" w:color="000000" w:sz="4" w:space="0"/>
            </w:tcBorders>
          </w:tcPr>
          <w:p>
            <w:pPr>
              <w:spacing w:before="99" w:line="186" w:lineRule="auto"/>
              <w:ind w:left="19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429" w:type="dxa"/>
            <w:tcBorders>
              <w:left w:val="single" w:color="000000" w:sz="4" w:space="0"/>
              <w:right w:val="single" w:color="000000" w:sz="4" w:space="0"/>
            </w:tcBorders>
          </w:tcPr>
          <w:p>
            <w:pPr>
              <w:spacing w:before="99" w:line="186" w:lineRule="auto"/>
              <w:ind w:left="18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9</w:t>
            </w:r>
          </w:p>
        </w:tc>
        <w:tc>
          <w:tcPr>
            <w:tcW w:w="429" w:type="dxa"/>
            <w:tcBorders>
              <w:left w:val="single" w:color="000000" w:sz="4" w:space="0"/>
              <w:right w:val="single" w:color="000000" w:sz="4" w:space="0"/>
            </w:tcBorders>
          </w:tcPr>
          <w:p>
            <w:pPr>
              <w:spacing w:before="99" w:line="186" w:lineRule="auto"/>
              <w:ind w:left="16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1"/>
                <w:sz w:val="18"/>
                <w:szCs w:val="18"/>
                <w:highlight w:val="none"/>
              </w:rPr>
              <w:t>1</w:t>
            </w:r>
            <w:r>
              <w:rPr>
                <w:rFonts w:ascii="Times New Roman" w:hAnsi="Times New Roman" w:eastAsia="Times New Roman" w:cs="Times New Roman"/>
                <w:color w:val="auto"/>
                <w:spacing w:val="-10"/>
                <w:sz w:val="18"/>
                <w:szCs w:val="18"/>
                <w:highlight w:val="none"/>
              </w:rPr>
              <w:t>0</w:t>
            </w:r>
          </w:p>
        </w:tc>
        <w:tc>
          <w:tcPr>
            <w:tcW w:w="431" w:type="dxa"/>
            <w:tcBorders>
              <w:left w:val="single" w:color="000000" w:sz="4" w:space="0"/>
              <w:right w:val="single" w:color="000000" w:sz="4" w:space="0"/>
            </w:tcBorders>
          </w:tcPr>
          <w:p>
            <w:pPr>
              <w:spacing w:before="99" w:line="186" w:lineRule="auto"/>
              <w:ind w:left="173"/>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3"/>
                <w:sz w:val="18"/>
                <w:szCs w:val="18"/>
                <w:highlight w:val="none"/>
              </w:rPr>
              <w:t>1</w:t>
            </w:r>
            <w:r>
              <w:rPr>
                <w:rFonts w:ascii="Times New Roman" w:hAnsi="Times New Roman" w:eastAsia="Times New Roman" w:cs="Times New Roman"/>
                <w:color w:val="auto"/>
                <w:spacing w:val="-12"/>
                <w:sz w:val="18"/>
                <w:szCs w:val="18"/>
                <w:highlight w:val="none"/>
              </w:rPr>
              <w:t>1</w:t>
            </w:r>
          </w:p>
        </w:tc>
        <w:tc>
          <w:tcPr>
            <w:tcW w:w="429" w:type="dxa"/>
            <w:tcBorders>
              <w:left w:val="single" w:color="000000" w:sz="4" w:space="0"/>
              <w:right w:val="single" w:color="000000" w:sz="4" w:space="0"/>
            </w:tcBorders>
          </w:tcPr>
          <w:p>
            <w:pPr>
              <w:spacing w:before="99" w:line="186" w:lineRule="auto"/>
              <w:ind w:left="16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1"/>
                <w:sz w:val="18"/>
                <w:szCs w:val="18"/>
                <w:highlight w:val="none"/>
              </w:rPr>
              <w:t>1</w:t>
            </w:r>
            <w:r>
              <w:rPr>
                <w:rFonts w:ascii="Times New Roman" w:hAnsi="Times New Roman" w:eastAsia="Times New Roman" w:cs="Times New Roman"/>
                <w:color w:val="auto"/>
                <w:spacing w:val="-10"/>
                <w:sz w:val="18"/>
                <w:szCs w:val="18"/>
                <w:highlight w:val="none"/>
              </w:rPr>
              <w:t>2</w:t>
            </w:r>
          </w:p>
        </w:tc>
        <w:tc>
          <w:tcPr>
            <w:tcW w:w="429" w:type="dxa"/>
            <w:tcBorders>
              <w:left w:val="single" w:color="000000" w:sz="4" w:space="0"/>
              <w:right w:val="single" w:color="000000" w:sz="4" w:space="0"/>
            </w:tcBorders>
          </w:tcPr>
          <w:p>
            <w:pPr>
              <w:spacing w:before="99" w:line="186" w:lineRule="auto"/>
              <w:ind w:left="20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1</w:t>
            </w:r>
          </w:p>
        </w:tc>
        <w:tc>
          <w:tcPr>
            <w:tcW w:w="431" w:type="dxa"/>
            <w:tcBorders>
              <w:left w:val="single" w:color="000000" w:sz="4" w:space="0"/>
              <w:right w:val="single" w:color="000000" w:sz="4" w:space="0"/>
            </w:tcBorders>
          </w:tcPr>
          <w:p>
            <w:pPr>
              <w:spacing w:before="99" w:line="186" w:lineRule="auto"/>
              <w:ind w:left="18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2</w:t>
            </w:r>
          </w:p>
        </w:tc>
        <w:tc>
          <w:tcPr>
            <w:tcW w:w="429" w:type="dxa"/>
            <w:tcBorders>
              <w:left w:val="single" w:color="000000" w:sz="4" w:space="0"/>
              <w:right w:val="single" w:color="000000" w:sz="4" w:space="0"/>
            </w:tcBorders>
          </w:tcPr>
          <w:p>
            <w:pPr>
              <w:spacing w:before="99" w:line="186" w:lineRule="auto"/>
              <w:ind w:left="189"/>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3</w:t>
            </w:r>
          </w:p>
        </w:tc>
        <w:tc>
          <w:tcPr>
            <w:tcW w:w="429" w:type="dxa"/>
            <w:tcBorders>
              <w:left w:val="single" w:color="000000" w:sz="4" w:space="0"/>
              <w:right w:val="single" w:color="000000" w:sz="4" w:space="0"/>
            </w:tcBorders>
          </w:tcPr>
          <w:p>
            <w:pPr>
              <w:spacing w:before="99" w:line="186" w:lineRule="auto"/>
              <w:ind w:left="18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4</w:t>
            </w:r>
          </w:p>
        </w:tc>
        <w:tc>
          <w:tcPr>
            <w:tcW w:w="431" w:type="dxa"/>
            <w:tcBorders>
              <w:left w:val="single" w:color="000000" w:sz="4" w:space="0"/>
              <w:right w:val="single" w:color="000000" w:sz="4" w:space="0"/>
            </w:tcBorders>
          </w:tcPr>
          <w:p>
            <w:pPr>
              <w:spacing w:before="102" w:line="183" w:lineRule="auto"/>
              <w:ind w:left="19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5</w:t>
            </w:r>
          </w:p>
        </w:tc>
        <w:tc>
          <w:tcPr>
            <w:tcW w:w="429" w:type="dxa"/>
            <w:tcBorders>
              <w:left w:val="single" w:color="000000" w:sz="4" w:space="0"/>
              <w:right w:val="single" w:color="000000" w:sz="4" w:space="0"/>
            </w:tcBorders>
          </w:tcPr>
          <w:p>
            <w:pPr>
              <w:spacing w:before="99" w:line="186" w:lineRule="auto"/>
              <w:ind w:left="192"/>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6</w:t>
            </w:r>
          </w:p>
        </w:tc>
        <w:tc>
          <w:tcPr>
            <w:tcW w:w="428" w:type="dxa"/>
            <w:tcBorders>
              <w:left w:val="single" w:color="000000" w:sz="4" w:space="0"/>
              <w:right w:val="single" w:color="000000" w:sz="4" w:space="0"/>
            </w:tcBorders>
          </w:tcPr>
          <w:p>
            <w:pPr>
              <w:spacing w:before="102" w:line="183" w:lineRule="auto"/>
              <w:ind w:left="19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7</w:t>
            </w:r>
          </w:p>
        </w:tc>
        <w:tc>
          <w:tcPr>
            <w:tcW w:w="431" w:type="dxa"/>
            <w:tcBorders>
              <w:left w:val="single" w:color="000000" w:sz="4" w:space="0"/>
              <w:right w:val="single" w:color="000000" w:sz="4" w:space="0"/>
            </w:tcBorders>
          </w:tcPr>
          <w:p>
            <w:pPr>
              <w:spacing w:before="99" w:line="186" w:lineRule="auto"/>
              <w:ind w:left="20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8</w:t>
            </w:r>
          </w:p>
        </w:tc>
        <w:tc>
          <w:tcPr>
            <w:tcW w:w="429" w:type="dxa"/>
            <w:tcBorders>
              <w:left w:val="single" w:color="000000" w:sz="4" w:space="0"/>
              <w:right w:val="single" w:color="000000" w:sz="4" w:space="0"/>
            </w:tcBorders>
          </w:tcPr>
          <w:p>
            <w:pPr>
              <w:spacing w:before="99" w:line="186" w:lineRule="auto"/>
              <w:ind w:left="19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z w:val="18"/>
                <w:szCs w:val="18"/>
                <w:highlight w:val="none"/>
              </w:rPr>
              <w:t>9</w:t>
            </w:r>
          </w:p>
        </w:tc>
        <w:tc>
          <w:tcPr>
            <w:tcW w:w="429" w:type="dxa"/>
            <w:tcBorders>
              <w:left w:val="single" w:color="000000" w:sz="4" w:space="0"/>
              <w:right w:val="single" w:color="000000" w:sz="4" w:space="0"/>
            </w:tcBorders>
          </w:tcPr>
          <w:p>
            <w:pPr>
              <w:spacing w:before="99" w:line="186" w:lineRule="auto"/>
              <w:ind w:left="17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1"/>
                <w:sz w:val="18"/>
                <w:szCs w:val="18"/>
                <w:highlight w:val="none"/>
              </w:rPr>
              <w:t>1</w:t>
            </w:r>
            <w:r>
              <w:rPr>
                <w:rFonts w:ascii="Times New Roman" w:hAnsi="Times New Roman" w:eastAsia="Times New Roman" w:cs="Times New Roman"/>
                <w:color w:val="auto"/>
                <w:spacing w:val="-10"/>
                <w:sz w:val="18"/>
                <w:szCs w:val="18"/>
                <w:highlight w:val="none"/>
              </w:rPr>
              <w:t>0</w:t>
            </w:r>
          </w:p>
        </w:tc>
        <w:tc>
          <w:tcPr>
            <w:tcW w:w="452" w:type="dxa"/>
            <w:tcBorders>
              <w:left w:val="single" w:color="000000" w:sz="4" w:space="0"/>
              <w:right w:val="single" w:color="000000" w:sz="10" w:space="0"/>
            </w:tcBorders>
          </w:tcPr>
          <w:p>
            <w:pPr>
              <w:spacing w:before="204" w:line="56" w:lineRule="exact"/>
              <w:ind w:left="16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position w:val="1"/>
                <w:sz w:val="18"/>
                <w:szCs w:val="18"/>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28" w:hRule="atLeast"/>
        </w:trPr>
        <w:tc>
          <w:tcPr>
            <w:tcW w:w="2796" w:type="dxa"/>
            <w:vMerge w:val="restart"/>
            <w:tcBorders>
              <w:left w:val="single" w:color="000000" w:sz="10" w:space="0"/>
              <w:bottom w:val="nil"/>
              <w:right w:val="nil"/>
            </w:tcBorders>
          </w:tcPr>
          <w:p>
            <w:pPr>
              <w:spacing w:before="25" w:line="222" w:lineRule="auto"/>
              <w:ind w:left="134"/>
              <w:rPr>
                <w:rFonts w:ascii="宋体" w:hAnsi="宋体" w:eastAsia="宋体" w:cs="宋体"/>
                <w:color w:val="auto"/>
                <w:sz w:val="18"/>
                <w:szCs w:val="18"/>
                <w:highlight w:val="none"/>
              </w:rPr>
            </w:pPr>
            <w:r>
              <w:rPr>
                <w:rFonts w:ascii="宋体" w:hAnsi="宋体" w:eastAsia="宋体" w:cs="宋体"/>
                <w:color w:val="auto"/>
                <w:sz w:val="18"/>
                <w:szCs w:val="18"/>
                <w:highlight w:val="none"/>
              </w:rPr>
              <w:t>图例</w:t>
            </w:r>
            <w:r>
              <w:rPr>
                <w:rFonts w:hint="eastAsia" w:ascii="宋体" w:hAnsi="宋体" w:eastAsia="宋体" w:cs="宋体"/>
                <w:color w:val="auto"/>
                <w:sz w:val="18"/>
                <w:szCs w:val="18"/>
                <w:highlight w:val="none"/>
              </w:rPr>
              <w:t>：</w:t>
            </w:r>
          </w:p>
        </w:tc>
        <w:tc>
          <w:tcPr>
            <w:tcW w:w="567" w:type="dxa"/>
            <w:vMerge w:val="restart"/>
            <w:tcBorders>
              <w:left w:val="nil"/>
              <w:bottom w:val="nil"/>
              <w:right w:val="single" w:color="000000" w:sz="4" w:space="0"/>
            </w:tcBorders>
          </w:tcPr>
          <w:p>
            <w:pPr>
              <w:spacing w:before="47" w:line="186" w:lineRule="auto"/>
              <w:ind w:left="178"/>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7"/>
                <w:w w:val="86"/>
                <w:sz w:val="18"/>
                <w:szCs w:val="18"/>
                <w:highlight w:val="none"/>
              </w:rPr>
              <w:t>100%</w:t>
            </w:r>
          </w:p>
          <w:p>
            <w:pPr>
              <w:spacing w:line="459" w:lineRule="auto"/>
              <w:rPr>
                <w:color w:val="auto"/>
                <w:sz w:val="20"/>
                <w:highlight w:val="none"/>
              </w:rPr>
            </w:pPr>
          </w:p>
          <w:p>
            <w:pPr>
              <w:spacing w:before="52" w:line="186" w:lineRule="auto"/>
              <w:ind w:left="33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3"/>
                <w:sz w:val="18"/>
                <w:szCs w:val="18"/>
                <w:highlight w:val="none"/>
              </w:rPr>
              <w:t>9</w:t>
            </w:r>
            <w:r>
              <w:rPr>
                <w:rFonts w:ascii="Times New Roman" w:hAnsi="Times New Roman" w:eastAsia="Times New Roman" w:cs="Times New Roman"/>
                <w:color w:val="auto"/>
                <w:spacing w:val="-12"/>
                <w:sz w:val="18"/>
                <w:szCs w:val="18"/>
                <w:highlight w:val="none"/>
              </w:rPr>
              <w:t>0</w:t>
            </w:r>
          </w:p>
          <w:p>
            <w:pPr>
              <w:spacing w:line="449" w:lineRule="auto"/>
              <w:rPr>
                <w:color w:val="auto"/>
                <w:sz w:val="20"/>
                <w:highlight w:val="none"/>
              </w:rPr>
            </w:pPr>
          </w:p>
          <w:p>
            <w:pPr>
              <w:spacing w:before="52" w:line="186" w:lineRule="auto"/>
              <w:ind w:left="337"/>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3"/>
                <w:sz w:val="18"/>
                <w:szCs w:val="18"/>
                <w:highlight w:val="none"/>
              </w:rPr>
              <w:t>80</w:t>
            </w:r>
          </w:p>
          <w:p>
            <w:pPr>
              <w:spacing w:line="452" w:lineRule="auto"/>
              <w:rPr>
                <w:color w:val="auto"/>
                <w:sz w:val="20"/>
                <w:highlight w:val="none"/>
              </w:rPr>
            </w:pPr>
          </w:p>
          <w:p>
            <w:pPr>
              <w:spacing w:before="52" w:line="186" w:lineRule="auto"/>
              <w:ind w:left="33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2"/>
                <w:sz w:val="18"/>
                <w:szCs w:val="18"/>
                <w:highlight w:val="none"/>
              </w:rPr>
              <w:t>70</w:t>
            </w:r>
          </w:p>
          <w:p>
            <w:pPr>
              <w:spacing w:line="445" w:lineRule="auto"/>
              <w:rPr>
                <w:color w:val="auto"/>
                <w:sz w:val="20"/>
                <w:highlight w:val="none"/>
              </w:rPr>
            </w:pPr>
          </w:p>
          <w:p>
            <w:pPr>
              <w:spacing w:before="51" w:line="186" w:lineRule="auto"/>
              <w:ind w:left="33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3"/>
                <w:sz w:val="18"/>
                <w:szCs w:val="18"/>
                <w:highlight w:val="none"/>
              </w:rPr>
              <w:t>6</w:t>
            </w:r>
            <w:r>
              <w:rPr>
                <w:rFonts w:ascii="Times New Roman" w:hAnsi="Times New Roman" w:eastAsia="Times New Roman" w:cs="Times New Roman"/>
                <w:color w:val="auto"/>
                <w:spacing w:val="-12"/>
                <w:sz w:val="18"/>
                <w:szCs w:val="18"/>
                <w:highlight w:val="none"/>
              </w:rPr>
              <w:t>0</w:t>
            </w:r>
          </w:p>
          <w:p>
            <w:pPr>
              <w:spacing w:line="452" w:lineRule="auto"/>
              <w:rPr>
                <w:color w:val="auto"/>
                <w:sz w:val="20"/>
                <w:highlight w:val="none"/>
              </w:rPr>
            </w:pPr>
          </w:p>
          <w:p>
            <w:pPr>
              <w:spacing w:before="52" w:line="186" w:lineRule="auto"/>
              <w:ind w:left="335"/>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3"/>
                <w:sz w:val="18"/>
                <w:szCs w:val="18"/>
                <w:highlight w:val="none"/>
              </w:rPr>
              <w:t>5</w:t>
            </w:r>
            <w:r>
              <w:rPr>
                <w:rFonts w:ascii="Times New Roman" w:hAnsi="Times New Roman" w:eastAsia="Times New Roman" w:cs="Times New Roman"/>
                <w:color w:val="auto"/>
                <w:spacing w:val="-12"/>
                <w:sz w:val="18"/>
                <w:szCs w:val="18"/>
                <w:highlight w:val="none"/>
              </w:rPr>
              <w:t>0</w:t>
            </w:r>
          </w:p>
          <w:p>
            <w:pPr>
              <w:spacing w:line="447" w:lineRule="auto"/>
              <w:rPr>
                <w:color w:val="auto"/>
                <w:sz w:val="20"/>
                <w:highlight w:val="none"/>
              </w:rPr>
            </w:pPr>
          </w:p>
          <w:p>
            <w:pPr>
              <w:spacing w:before="52" w:line="186" w:lineRule="auto"/>
              <w:ind w:left="330"/>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2"/>
                <w:sz w:val="18"/>
                <w:szCs w:val="18"/>
                <w:highlight w:val="none"/>
              </w:rPr>
              <w:t>4</w:t>
            </w:r>
            <w:r>
              <w:rPr>
                <w:rFonts w:ascii="Times New Roman" w:hAnsi="Times New Roman" w:eastAsia="Times New Roman" w:cs="Times New Roman"/>
                <w:color w:val="auto"/>
                <w:spacing w:val="-11"/>
                <w:sz w:val="18"/>
                <w:szCs w:val="18"/>
                <w:highlight w:val="none"/>
              </w:rPr>
              <w:t>0</w:t>
            </w:r>
          </w:p>
          <w:p>
            <w:pPr>
              <w:spacing w:line="449" w:lineRule="auto"/>
              <w:rPr>
                <w:color w:val="auto"/>
                <w:sz w:val="20"/>
                <w:highlight w:val="none"/>
              </w:rPr>
            </w:pPr>
          </w:p>
          <w:p>
            <w:pPr>
              <w:spacing w:before="52" w:line="186" w:lineRule="auto"/>
              <w:ind w:left="334"/>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3"/>
                <w:sz w:val="18"/>
                <w:szCs w:val="18"/>
                <w:highlight w:val="none"/>
              </w:rPr>
              <w:t>3</w:t>
            </w:r>
            <w:r>
              <w:rPr>
                <w:rFonts w:ascii="Times New Roman" w:hAnsi="Times New Roman" w:eastAsia="Times New Roman" w:cs="Times New Roman"/>
                <w:color w:val="auto"/>
                <w:spacing w:val="-12"/>
                <w:sz w:val="18"/>
                <w:szCs w:val="18"/>
                <w:highlight w:val="none"/>
              </w:rPr>
              <w:t>0</w:t>
            </w:r>
          </w:p>
          <w:p>
            <w:pPr>
              <w:spacing w:line="452" w:lineRule="auto"/>
              <w:rPr>
                <w:color w:val="auto"/>
                <w:sz w:val="20"/>
                <w:highlight w:val="none"/>
              </w:rPr>
            </w:pPr>
          </w:p>
          <w:p>
            <w:pPr>
              <w:spacing w:before="52" w:line="186" w:lineRule="auto"/>
              <w:ind w:left="331"/>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12"/>
                <w:sz w:val="18"/>
                <w:szCs w:val="18"/>
                <w:highlight w:val="none"/>
              </w:rPr>
              <w:t>2</w:t>
            </w:r>
            <w:r>
              <w:rPr>
                <w:rFonts w:ascii="Times New Roman" w:hAnsi="Times New Roman" w:eastAsia="Times New Roman" w:cs="Times New Roman"/>
                <w:color w:val="auto"/>
                <w:spacing w:val="-11"/>
                <w:sz w:val="18"/>
                <w:szCs w:val="18"/>
                <w:highlight w:val="none"/>
              </w:rPr>
              <w:t>0</w:t>
            </w:r>
          </w:p>
          <w:p>
            <w:pPr>
              <w:spacing w:line="447" w:lineRule="auto"/>
              <w:rPr>
                <w:color w:val="auto"/>
                <w:sz w:val="20"/>
                <w:highlight w:val="none"/>
              </w:rPr>
            </w:pPr>
          </w:p>
          <w:p>
            <w:pPr>
              <w:spacing w:before="52" w:line="186" w:lineRule="auto"/>
              <w:ind w:left="346"/>
              <w:rPr>
                <w:rFonts w:ascii="Times New Roman" w:hAnsi="Times New Roman" w:eastAsia="Times New Roman" w:cs="Times New Roman"/>
                <w:color w:val="auto"/>
                <w:sz w:val="18"/>
                <w:szCs w:val="18"/>
                <w:highlight w:val="none"/>
              </w:rPr>
            </w:pPr>
            <w:r>
              <w:rPr>
                <w:rFonts w:ascii="Times New Roman" w:hAnsi="Times New Roman" w:eastAsia="Times New Roman" w:cs="Times New Roman"/>
                <w:color w:val="auto"/>
                <w:spacing w:val="-8"/>
                <w:w w:val="92"/>
                <w:sz w:val="18"/>
                <w:szCs w:val="18"/>
                <w:highlight w:val="none"/>
              </w:rPr>
              <w:t>10</w:t>
            </w:r>
          </w:p>
        </w:tc>
        <w:tc>
          <w:tcPr>
            <w:tcW w:w="445" w:type="dxa"/>
            <w:tcBorders>
              <w:left w:val="single" w:color="000000" w:sz="4" w:space="0"/>
            </w:tcBorders>
          </w:tcPr>
          <w:p>
            <w:pPr>
              <w:rPr>
                <w:color w:val="auto"/>
                <w:sz w:val="20"/>
                <w:highlight w:val="none"/>
              </w:rPr>
            </w:pPr>
          </w:p>
        </w:tc>
        <w:tc>
          <w:tcPr>
            <w:tcW w:w="429" w:type="dxa"/>
            <w:tcBorders>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8"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52" w:type="dxa"/>
            <w:tcBorders>
              <w:left w:val="single" w:color="000000" w:sz="4" w:space="0"/>
              <w:right w:val="single" w:color="000000" w:sz="10" w:space="0"/>
            </w:tcBorders>
          </w:tcPr>
          <w:p>
            <w:pPr>
              <w:rPr>
                <w:color w:val="auto"/>
                <w:sz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43" w:hRule="atLeast"/>
        </w:trPr>
        <w:tc>
          <w:tcPr>
            <w:tcW w:w="2796" w:type="dxa"/>
            <w:vMerge w:val="continue"/>
            <w:tcBorders>
              <w:top w:val="nil"/>
              <w:left w:val="single" w:color="000000" w:sz="10" w:space="0"/>
              <w:bottom w:val="single" w:color="auto" w:sz="4" w:space="0"/>
              <w:right w:val="nil"/>
            </w:tcBorders>
          </w:tcPr>
          <w:p>
            <w:pPr>
              <w:rPr>
                <w:color w:val="auto"/>
                <w:sz w:val="20"/>
                <w:highlight w:val="none"/>
              </w:rPr>
            </w:pPr>
          </w:p>
        </w:tc>
        <w:tc>
          <w:tcPr>
            <w:tcW w:w="567" w:type="dxa"/>
            <w:vMerge w:val="continue"/>
            <w:tcBorders>
              <w:top w:val="nil"/>
              <w:left w:val="nil"/>
              <w:bottom w:val="nil"/>
              <w:right w:val="single" w:color="000000" w:sz="4" w:space="0"/>
            </w:tcBorders>
          </w:tcPr>
          <w:p>
            <w:pPr>
              <w:rPr>
                <w:color w:val="auto"/>
                <w:sz w:val="20"/>
                <w:highlight w:val="none"/>
              </w:rPr>
            </w:pPr>
          </w:p>
        </w:tc>
        <w:tc>
          <w:tcPr>
            <w:tcW w:w="445" w:type="dxa"/>
            <w:tcBorders>
              <w:left w:val="single" w:color="000000" w:sz="4" w:space="0"/>
            </w:tcBorders>
          </w:tcPr>
          <w:p>
            <w:pPr>
              <w:rPr>
                <w:color w:val="auto"/>
                <w:sz w:val="20"/>
                <w:highlight w:val="none"/>
              </w:rPr>
            </w:pPr>
          </w:p>
        </w:tc>
        <w:tc>
          <w:tcPr>
            <w:tcW w:w="429" w:type="dxa"/>
            <w:tcBorders>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8"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52" w:type="dxa"/>
            <w:tcBorders>
              <w:left w:val="single" w:color="000000" w:sz="4" w:space="0"/>
              <w:right w:val="single" w:color="000000" w:sz="10" w:space="0"/>
            </w:tcBorders>
          </w:tcPr>
          <w:p>
            <w:pPr>
              <w:rPr>
                <w:color w:val="auto"/>
                <w:sz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26" w:hRule="atLeast"/>
        </w:trPr>
        <w:tc>
          <w:tcPr>
            <w:tcW w:w="2796" w:type="dxa"/>
            <w:vMerge w:val="restart"/>
            <w:tcBorders>
              <w:top w:val="single" w:color="auto" w:sz="4" w:space="0"/>
              <w:left w:val="single" w:color="000000" w:sz="10" w:space="0"/>
              <w:bottom w:val="nil"/>
              <w:right w:val="nil"/>
            </w:tcBorders>
          </w:tcPr>
          <w:p>
            <w:pPr>
              <w:rPr>
                <w:rFonts w:eastAsiaTheme="minorEastAsia"/>
                <w:color w:val="auto"/>
                <w:sz w:val="20"/>
                <w:highlight w:val="none"/>
              </w:rPr>
            </w:pPr>
            <w:r>
              <w:rPr>
                <w:rFonts w:hint="eastAsia" w:eastAsiaTheme="minorEastAsia"/>
                <w:color w:val="auto"/>
                <w:sz w:val="20"/>
                <w:highlight w:val="none"/>
              </w:rPr>
              <w:t xml:space="preserve"> 施工准备</w:t>
            </w:r>
          </w:p>
        </w:tc>
        <w:tc>
          <w:tcPr>
            <w:tcW w:w="567" w:type="dxa"/>
            <w:vMerge w:val="continue"/>
            <w:tcBorders>
              <w:top w:val="nil"/>
              <w:left w:val="nil"/>
              <w:bottom w:val="nil"/>
              <w:right w:val="single" w:color="000000" w:sz="4" w:space="0"/>
            </w:tcBorders>
          </w:tcPr>
          <w:p>
            <w:pPr>
              <w:rPr>
                <w:color w:val="auto"/>
                <w:sz w:val="20"/>
                <w:highlight w:val="none"/>
              </w:rPr>
            </w:pPr>
          </w:p>
        </w:tc>
        <w:tc>
          <w:tcPr>
            <w:tcW w:w="445" w:type="dxa"/>
            <w:tcBorders>
              <w:left w:val="single" w:color="000000" w:sz="4" w:space="0"/>
            </w:tcBorders>
          </w:tcPr>
          <w:p>
            <w:pPr>
              <w:rPr>
                <w:color w:val="auto"/>
                <w:sz w:val="20"/>
                <w:highlight w:val="none"/>
              </w:rPr>
            </w:pPr>
          </w:p>
        </w:tc>
        <w:tc>
          <w:tcPr>
            <w:tcW w:w="429" w:type="dxa"/>
            <w:tcBorders>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8"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52" w:type="dxa"/>
            <w:tcBorders>
              <w:left w:val="single" w:color="000000" w:sz="4" w:space="0"/>
              <w:right w:val="single" w:color="000000" w:sz="10" w:space="0"/>
            </w:tcBorders>
          </w:tcPr>
          <w:p>
            <w:pPr>
              <w:rPr>
                <w:color w:val="auto"/>
                <w:sz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28" w:hRule="atLeast"/>
        </w:trPr>
        <w:tc>
          <w:tcPr>
            <w:tcW w:w="2796" w:type="dxa"/>
            <w:vMerge w:val="continue"/>
            <w:tcBorders>
              <w:top w:val="nil"/>
              <w:left w:val="single" w:color="000000" w:sz="10" w:space="0"/>
              <w:bottom w:val="double" w:color="auto" w:sz="4" w:space="0"/>
              <w:right w:val="nil"/>
            </w:tcBorders>
          </w:tcPr>
          <w:p>
            <w:pPr>
              <w:rPr>
                <w:color w:val="auto"/>
                <w:sz w:val="20"/>
                <w:highlight w:val="none"/>
              </w:rPr>
            </w:pPr>
          </w:p>
        </w:tc>
        <w:tc>
          <w:tcPr>
            <w:tcW w:w="567" w:type="dxa"/>
            <w:vMerge w:val="continue"/>
            <w:tcBorders>
              <w:top w:val="nil"/>
              <w:left w:val="nil"/>
              <w:bottom w:val="nil"/>
              <w:right w:val="single" w:color="000000" w:sz="4" w:space="0"/>
            </w:tcBorders>
          </w:tcPr>
          <w:p>
            <w:pPr>
              <w:rPr>
                <w:color w:val="auto"/>
                <w:sz w:val="20"/>
                <w:highlight w:val="none"/>
              </w:rPr>
            </w:pPr>
          </w:p>
        </w:tc>
        <w:tc>
          <w:tcPr>
            <w:tcW w:w="445" w:type="dxa"/>
            <w:tcBorders>
              <w:left w:val="single" w:color="000000" w:sz="4" w:space="0"/>
            </w:tcBorders>
          </w:tcPr>
          <w:p>
            <w:pPr>
              <w:rPr>
                <w:color w:val="auto"/>
                <w:sz w:val="20"/>
                <w:highlight w:val="none"/>
              </w:rPr>
            </w:pPr>
          </w:p>
        </w:tc>
        <w:tc>
          <w:tcPr>
            <w:tcW w:w="429" w:type="dxa"/>
            <w:tcBorders>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8"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52" w:type="dxa"/>
            <w:tcBorders>
              <w:left w:val="single" w:color="000000" w:sz="4" w:space="0"/>
              <w:right w:val="single" w:color="000000" w:sz="10" w:space="0"/>
            </w:tcBorders>
          </w:tcPr>
          <w:p>
            <w:pPr>
              <w:rPr>
                <w:color w:val="auto"/>
                <w:sz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26" w:hRule="atLeast"/>
        </w:trPr>
        <w:tc>
          <w:tcPr>
            <w:tcW w:w="2796" w:type="dxa"/>
            <w:vMerge w:val="restart"/>
            <w:tcBorders>
              <w:top w:val="double" w:color="auto" w:sz="4" w:space="0"/>
              <w:left w:val="single" w:color="000000" w:sz="10" w:space="0"/>
              <w:bottom w:val="nil"/>
              <w:right w:val="nil"/>
            </w:tcBorders>
          </w:tcPr>
          <w:p>
            <w:pPr>
              <w:rPr>
                <w:rFonts w:eastAsiaTheme="minorEastAsia"/>
                <w:color w:val="auto"/>
                <w:sz w:val="20"/>
                <w:highlight w:val="none"/>
              </w:rPr>
            </w:pPr>
            <w:r>
              <w:rPr>
                <w:rFonts w:hint="eastAsia" w:eastAsiaTheme="minorEastAsia"/>
                <w:color w:val="auto"/>
                <w:sz w:val="20"/>
                <w:highlight w:val="none"/>
              </w:rPr>
              <w:t xml:space="preserve"> 路基填筑</w:t>
            </w:r>
          </w:p>
        </w:tc>
        <w:tc>
          <w:tcPr>
            <w:tcW w:w="567" w:type="dxa"/>
            <w:vMerge w:val="continue"/>
            <w:tcBorders>
              <w:top w:val="nil"/>
              <w:left w:val="nil"/>
              <w:bottom w:val="nil"/>
              <w:right w:val="single" w:color="000000" w:sz="4" w:space="0"/>
            </w:tcBorders>
          </w:tcPr>
          <w:p>
            <w:pPr>
              <w:rPr>
                <w:color w:val="auto"/>
                <w:sz w:val="20"/>
                <w:highlight w:val="none"/>
              </w:rPr>
            </w:pPr>
          </w:p>
        </w:tc>
        <w:tc>
          <w:tcPr>
            <w:tcW w:w="445" w:type="dxa"/>
            <w:tcBorders>
              <w:left w:val="single" w:color="000000" w:sz="4" w:space="0"/>
            </w:tcBorders>
          </w:tcPr>
          <w:p>
            <w:pPr>
              <w:rPr>
                <w:color w:val="auto"/>
                <w:sz w:val="20"/>
                <w:highlight w:val="none"/>
              </w:rPr>
            </w:pPr>
          </w:p>
        </w:tc>
        <w:tc>
          <w:tcPr>
            <w:tcW w:w="429" w:type="dxa"/>
            <w:tcBorders>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8"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52" w:type="dxa"/>
            <w:tcBorders>
              <w:left w:val="single" w:color="000000" w:sz="4" w:space="0"/>
              <w:right w:val="single" w:color="000000" w:sz="10" w:space="0"/>
            </w:tcBorders>
          </w:tcPr>
          <w:p>
            <w:pPr>
              <w:rPr>
                <w:color w:val="auto"/>
                <w:sz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31" w:hRule="atLeast"/>
        </w:trPr>
        <w:tc>
          <w:tcPr>
            <w:tcW w:w="2796" w:type="dxa"/>
            <w:vMerge w:val="continue"/>
            <w:tcBorders>
              <w:top w:val="nil"/>
              <w:left w:val="single" w:color="000000" w:sz="10" w:space="0"/>
              <w:bottom w:val="dashDotStroked" w:color="auto" w:sz="24" w:space="0"/>
              <w:right w:val="nil"/>
            </w:tcBorders>
          </w:tcPr>
          <w:p>
            <w:pPr>
              <w:rPr>
                <w:color w:val="auto"/>
                <w:sz w:val="20"/>
                <w:highlight w:val="none"/>
              </w:rPr>
            </w:pPr>
          </w:p>
        </w:tc>
        <w:tc>
          <w:tcPr>
            <w:tcW w:w="567" w:type="dxa"/>
            <w:vMerge w:val="continue"/>
            <w:tcBorders>
              <w:top w:val="nil"/>
              <w:left w:val="nil"/>
              <w:bottom w:val="nil"/>
              <w:right w:val="single" w:color="000000" w:sz="4" w:space="0"/>
            </w:tcBorders>
          </w:tcPr>
          <w:p>
            <w:pPr>
              <w:rPr>
                <w:color w:val="auto"/>
                <w:sz w:val="20"/>
                <w:highlight w:val="none"/>
              </w:rPr>
            </w:pPr>
          </w:p>
        </w:tc>
        <w:tc>
          <w:tcPr>
            <w:tcW w:w="445" w:type="dxa"/>
            <w:tcBorders>
              <w:left w:val="single" w:color="000000" w:sz="4" w:space="0"/>
            </w:tcBorders>
          </w:tcPr>
          <w:p>
            <w:pPr>
              <w:rPr>
                <w:color w:val="auto"/>
                <w:sz w:val="20"/>
                <w:highlight w:val="none"/>
              </w:rPr>
            </w:pPr>
          </w:p>
        </w:tc>
        <w:tc>
          <w:tcPr>
            <w:tcW w:w="429" w:type="dxa"/>
            <w:tcBorders>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8"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52" w:type="dxa"/>
            <w:tcBorders>
              <w:left w:val="single" w:color="000000" w:sz="4" w:space="0"/>
              <w:right w:val="single" w:color="000000" w:sz="10" w:space="0"/>
            </w:tcBorders>
          </w:tcPr>
          <w:p>
            <w:pPr>
              <w:rPr>
                <w:color w:val="auto"/>
                <w:sz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24" w:hRule="atLeast"/>
        </w:trPr>
        <w:tc>
          <w:tcPr>
            <w:tcW w:w="2796" w:type="dxa"/>
            <w:vMerge w:val="restart"/>
            <w:tcBorders>
              <w:top w:val="dashDotStroked" w:color="auto" w:sz="24" w:space="0"/>
              <w:left w:val="single" w:color="000000" w:sz="10" w:space="0"/>
              <w:bottom w:val="nil"/>
              <w:right w:val="nil"/>
            </w:tcBorders>
          </w:tcPr>
          <w:p>
            <w:pPr>
              <w:rPr>
                <w:rFonts w:eastAsiaTheme="minorEastAsia"/>
                <w:color w:val="auto"/>
                <w:sz w:val="20"/>
                <w:highlight w:val="none"/>
              </w:rPr>
            </w:pPr>
            <w:r>
              <w:rPr>
                <w:rFonts w:hint="eastAsia" w:eastAsiaTheme="minorEastAsia"/>
                <w:color w:val="auto"/>
                <w:sz w:val="20"/>
                <w:highlight w:val="none"/>
              </w:rPr>
              <w:t xml:space="preserve"> 路面基层</w:t>
            </w:r>
          </w:p>
        </w:tc>
        <w:tc>
          <w:tcPr>
            <w:tcW w:w="567" w:type="dxa"/>
            <w:vMerge w:val="continue"/>
            <w:tcBorders>
              <w:top w:val="nil"/>
              <w:left w:val="nil"/>
              <w:bottom w:val="nil"/>
              <w:right w:val="single" w:color="000000" w:sz="4" w:space="0"/>
            </w:tcBorders>
          </w:tcPr>
          <w:p>
            <w:pPr>
              <w:rPr>
                <w:color w:val="auto"/>
                <w:sz w:val="20"/>
                <w:highlight w:val="none"/>
              </w:rPr>
            </w:pPr>
          </w:p>
        </w:tc>
        <w:tc>
          <w:tcPr>
            <w:tcW w:w="445" w:type="dxa"/>
            <w:tcBorders>
              <w:left w:val="single" w:color="000000" w:sz="4" w:space="0"/>
            </w:tcBorders>
          </w:tcPr>
          <w:p>
            <w:pPr>
              <w:rPr>
                <w:color w:val="auto"/>
                <w:sz w:val="20"/>
                <w:highlight w:val="none"/>
              </w:rPr>
            </w:pPr>
          </w:p>
        </w:tc>
        <w:tc>
          <w:tcPr>
            <w:tcW w:w="429" w:type="dxa"/>
            <w:tcBorders>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8"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52" w:type="dxa"/>
            <w:tcBorders>
              <w:left w:val="single" w:color="000000" w:sz="4" w:space="0"/>
              <w:right w:val="single" w:color="000000" w:sz="10" w:space="0"/>
            </w:tcBorders>
          </w:tcPr>
          <w:p>
            <w:pPr>
              <w:rPr>
                <w:color w:val="auto"/>
                <w:sz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30" w:hRule="atLeast"/>
        </w:trPr>
        <w:tc>
          <w:tcPr>
            <w:tcW w:w="2796" w:type="dxa"/>
            <w:vMerge w:val="continue"/>
            <w:tcBorders>
              <w:top w:val="nil"/>
              <w:left w:val="single" w:color="000000" w:sz="10" w:space="0"/>
              <w:bottom w:val="thinThickThinSmallGap" w:color="auto" w:sz="24" w:space="0"/>
              <w:right w:val="nil"/>
            </w:tcBorders>
          </w:tcPr>
          <w:p>
            <w:pPr>
              <w:rPr>
                <w:color w:val="auto"/>
                <w:sz w:val="20"/>
                <w:highlight w:val="none"/>
              </w:rPr>
            </w:pPr>
          </w:p>
        </w:tc>
        <w:tc>
          <w:tcPr>
            <w:tcW w:w="567" w:type="dxa"/>
            <w:vMerge w:val="continue"/>
            <w:tcBorders>
              <w:top w:val="nil"/>
              <w:left w:val="nil"/>
              <w:bottom w:val="nil"/>
              <w:right w:val="single" w:color="000000" w:sz="4" w:space="0"/>
            </w:tcBorders>
          </w:tcPr>
          <w:p>
            <w:pPr>
              <w:rPr>
                <w:color w:val="auto"/>
                <w:sz w:val="20"/>
                <w:highlight w:val="none"/>
              </w:rPr>
            </w:pPr>
          </w:p>
        </w:tc>
        <w:tc>
          <w:tcPr>
            <w:tcW w:w="445" w:type="dxa"/>
            <w:vMerge w:val="restart"/>
            <w:tcBorders>
              <w:left w:val="single" w:color="000000" w:sz="4" w:space="0"/>
            </w:tcBorders>
          </w:tcPr>
          <w:p>
            <w:pPr>
              <w:rPr>
                <w:color w:val="auto"/>
                <w:sz w:val="20"/>
                <w:highlight w:val="none"/>
              </w:rPr>
            </w:pPr>
          </w:p>
        </w:tc>
        <w:tc>
          <w:tcPr>
            <w:tcW w:w="429" w:type="dxa"/>
            <w:vMerge w:val="restart"/>
            <w:tcBorders>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31"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31"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31"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31"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31"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28" w:type="dxa"/>
            <w:vMerge w:val="restart"/>
            <w:tcBorders>
              <w:left w:val="single" w:color="000000" w:sz="4" w:space="0"/>
              <w:right w:val="single" w:color="000000" w:sz="4" w:space="0"/>
            </w:tcBorders>
          </w:tcPr>
          <w:p>
            <w:pPr>
              <w:rPr>
                <w:color w:val="auto"/>
                <w:sz w:val="20"/>
                <w:highlight w:val="none"/>
              </w:rPr>
            </w:pPr>
          </w:p>
        </w:tc>
        <w:tc>
          <w:tcPr>
            <w:tcW w:w="431"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52" w:type="dxa"/>
            <w:vMerge w:val="restart"/>
            <w:tcBorders>
              <w:left w:val="single" w:color="000000" w:sz="4" w:space="0"/>
              <w:right w:val="single" w:color="000000" w:sz="10" w:space="0"/>
            </w:tcBorders>
          </w:tcPr>
          <w:p>
            <w:pPr>
              <w:rPr>
                <w:color w:val="auto"/>
                <w:sz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30" w:hRule="atLeast"/>
        </w:trPr>
        <w:tc>
          <w:tcPr>
            <w:tcW w:w="2796" w:type="dxa"/>
            <w:vMerge w:val="restart"/>
            <w:tcBorders>
              <w:top w:val="thinThickThinSmallGap" w:color="auto" w:sz="24" w:space="0"/>
              <w:left w:val="single" w:color="000000" w:sz="10" w:space="0"/>
              <w:bottom w:val="nil"/>
              <w:right w:val="nil"/>
            </w:tcBorders>
          </w:tcPr>
          <w:p>
            <w:pPr>
              <w:rPr>
                <w:rFonts w:eastAsiaTheme="minorEastAsia"/>
                <w:color w:val="auto"/>
                <w:sz w:val="20"/>
                <w:highlight w:val="none"/>
              </w:rPr>
            </w:pPr>
            <w:r>
              <w:rPr>
                <w:rFonts w:hint="eastAsia" w:eastAsiaTheme="minorEastAsia"/>
                <w:color w:val="auto"/>
                <w:sz w:val="20"/>
                <w:highlight w:val="none"/>
              </w:rPr>
              <w:t xml:space="preserve"> 路面面层</w:t>
            </w:r>
          </w:p>
        </w:tc>
        <w:tc>
          <w:tcPr>
            <w:tcW w:w="567" w:type="dxa"/>
            <w:vMerge w:val="continue"/>
            <w:tcBorders>
              <w:top w:val="nil"/>
              <w:left w:val="nil"/>
              <w:bottom w:val="nil"/>
              <w:right w:val="single" w:color="000000" w:sz="4" w:space="0"/>
            </w:tcBorders>
          </w:tcPr>
          <w:p>
            <w:pPr>
              <w:rPr>
                <w:color w:val="auto"/>
                <w:sz w:val="20"/>
                <w:highlight w:val="none"/>
              </w:rPr>
            </w:pPr>
          </w:p>
        </w:tc>
        <w:tc>
          <w:tcPr>
            <w:tcW w:w="445" w:type="dxa"/>
            <w:vMerge w:val="continue"/>
            <w:tcBorders>
              <w:left w:val="single" w:color="000000" w:sz="4" w:space="0"/>
            </w:tcBorders>
          </w:tcPr>
          <w:p>
            <w:pPr>
              <w:rPr>
                <w:color w:val="auto"/>
                <w:sz w:val="20"/>
                <w:highlight w:val="none"/>
              </w:rPr>
            </w:pPr>
          </w:p>
        </w:tc>
        <w:tc>
          <w:tcPr>
            <w:tcW w:w="429" w:type="dxa"/>
            <w:vMerge w:val="continue"/>
            <w:tcBorders>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31"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31"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31"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31"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31"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28" w:type="dxa"/>
            <w:vMerge w:val="continue"/>
            <w:tcBorders>
              <w:left w:val="single" w:color="000000" w:sz="4" w:space="0"/>
              <w:right w:val="single" w:color="000000" w:sz="4" w:space="0"/>
            </w:tcBorders>
          </w:tcPr>
          <w:p>
            <w:pPr>
              <w:rPr>
                <w:color w:val="auto"/>
                <w:sz w:val="20"/>
                <w:highlight w:val="none"/>
              </w:rPr>
            </w:pPr>
          </w:p>
        </w:tc>
        <w:tc>
          <w:tcPr>
            <w:tcW w:w="431"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52" w:type="dxa"/>
            <w:vMerge w:val="continue"/>
            <w:tcBorders>
              <w:left w:val="single" w:color="000000" w:sz="4" w:space="0"/>
              <w:right w:val="single" w:color="000000" w:sz="10" w:space="0"/>
            </w:tcBorders>
          </w:tcPr>
          <w:p>
            <w:pPr>
              <w:rPr>
                <w:color w:val="auto"/>
                <w:sz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28" w:hRule="atLeast"/>
        </w:trPr>
        <w:tc>
          <w:tcPr>
            <w:tcW w:w="2796" w:type="dxa"/>
            <w:vMerge w:val="continue"/>
            <w:tcBorders>
              <w:top w:val="nil"/>
              <w:left w:val="single" w:color="000000" w:sz="10" w:space="0"/>
              <w:bottom w:val="wave" w:color="auto" w:sz="6" w:space="0"/>
              <w:right w:val="nil"/>
            </w:tcBorders>
          </w:tcPr>
          <w:p>
            <w:pPr>
              <w:rPr>
                <w:color w:val="auto"/>
                <w:sz w:val="20"/>
                <w:highlight w:val="none"/>
              </w:rPr>
            </w:pPr>
          </w:p>
        </w:tc>
        <w:tc>
          <w:tcPr>
            <w:tcW w:w="567" w:type="dxa"/>
            <w:vMerge w:val="continue"/>
            <w:tcBorders>
              <w:top w:val="nil"/>
              <w:left w:val="nil"/>
              <w:bottom w:val="nil"/>
              <w:right w:val="single" w:color="000000" w:sz="4" w:space="0"/>
            </w:tcBorders>
          </w:tcPr>
          <w:p>
            <w:pPr>
              <w:rPr>
                <w:color w:val="auto"/>
                <w:sz w:val="20"/>
                <w:highlight w:val="none"/>
              </w:rPr>
            </w:pPr>
          </w:p>
        </w:tc>
        <w:tc>
          <w:tcPr>
            <w:tcW w:w="445" w:type="dxa"/>
            <w:tcBorders>
              <w:left w:val="single" w:color="000000" w:sz="4" w:space="0"/>
            </w:tcBorders>
          </w:tcPr>
          <w:p>
            <w:pPr>
              <w:rPr>
                <w:color w:val="auto"/>
                <w:sz w:val="20"/>
                <w:highlight w:val="none"/>
              </w:rPr>
            </w:pPr>
          </w:p>
        </w:tc>
        <w:tc>
          <w:tcPr>
            <w:tcW w:w="429" w:type="dxa"/>
            <w:tcBorders>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8"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52" w:type="dxa"/>
            <w:tcBorders>
              <w:left w:val="single" w:color="000000" w:sz="4" w:space="0"/>
              <w:right w:val="single" w:color="000000" w:sz="10" w:space="0"/>
            </w:tcBorders>
          </w:tcPr>
          <w:p>
            <w:pPr>
              <w:rPr>
                <w:color w:val="auto"/>
                <w:sz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28" w:hRule="atLeast"/>
        </w:trPr>
        <w:tc>
          <w:tcPr>
            <w:tcW w:w="2796" w:type="dxa"/>
            <w:vMerge w:val="restart"/>
            <w:tcBorders>
              <w:top w:val="wave" w:color="auto" w:sz="6" w:space="0"/>
              <w:left w:val="single" w:color="000000" w:sz="10" w:space="0"/>
              <w:bottom w:val="nil"/>
              <w:right w:val="nil"/>
            </w:tcBorders>
          </w:tcPr>
          <w:p>
            <w:pPr>
              <w:ind w:firstLine="100" w:firstLineChars="50"/>
              <w:rPr>
                <w:rFonts w:eastAsiaTheme="minorEastAsia"/>
                <w:color w:val="auto"/>
                <w:sz w:val="20"/>
                <w:highlight w:val="none"/>
              </w:rPr>
            </w:pPr>
            <w:r>
              <w:rPr>
                <w:rFonts w:hint="eastAsia" w:eastAsiaTheme="minorEastAsia"/>
                <w:color w:val="auto"/>
                <w:sz w:val="20"/>
                <w:highlight w:val="none"/>
              </w:rPr>
              <w:t>防护及排水</w:t>
            </w:r>
          </w:p>
        </w:tc>
        <w:tc>
          <w:tcPr>
            <w:tcW w:w="567" w:type="dxa"/>
            <w:vMerge w:val="continue"/>
            <w:tcBorders>
              <w:top w:val="nil"/>
              <w:left w:val="nil"/>
              <w:bottom w:val="nil"/>
              <w:right w:val="single" w:color="000000" w:sz="4" w:space="0"/>
            </w:tcBorders>
          </w:tcPr>
          <w:p>
            <w:pPr>
              <w:rPr>
                <w:color w:val="auto"/>
                <w:sz w:val="20"/>
                <w:highlight w:val="none"/>
              </w:rPr>
            </w:pPr>
          </w:p>
        </w:tc>
        <w:tc>
          <w:tcPr>
            <w:tcW w:w="445" w:type="dxa"/>
            <w:tcBorders>
              <w:left w:val="single" w:color="000000" w:sz="4" w:space="0"/>
            </w:tcBorders>
          </w:tcPr>
          <w:p>
            <w:pPr>
              <w:rPr>
                <w:color w:val="auto"/>
                <w:sz w:val="20"/>
                <w:highlight w:val="none"/>
              </w:rPr>
            </w:pPr>
          </w:p>
        </w:tc>
        <w:tc>
          <w:tcPr>
            <w:tcW w:w="429" w:type="dxa"/>
            <w:tcBorders>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8"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52" w:type="dxa"/>
            <w:tcBorders>
              <w:left w:val="single" w:color="000000" w:sz="4" w:space="0"/>
              <w:right w:val="single" w:color="000000" w:sz="10" w:space="0"/>
            </w:tcBorders>
          </w:tcPr>
          <w:p>
            <w:pPr>
              <w:rPr>
                <w:color w:val="auto"/>
                <w:sz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30" w:hRule="atLeast"/>
        </w:trPr>
        <w:tc>
          <w:tcPr>
            <w:tcW w:w="2796" w:type="dxa"/>
            <w:vMerge w:val="continue"/>
            <w:tcBorders>
              <w:top w:val="nil"/>
              <w:left w:val="single" w:color="000000" w:sz="10" w:space="0"/>
              <w:bottom w:val="dotDash" w:color="auto" w:sz="18" w:space="0"/>
              <w:right w:val="nil"/>
            </w:tcBorders>
          </w:tcPr>
          <w:p>
            <w:pPr>
              <w:rPr>
                <w:color w:val="auto"/>
                <w:sz w:val="20"/>
                <w:highlight w:val="none"/>
              </w:rPr>
            </w:pPr>
          </w:p>
        </w:tc>
        <w:tc>
          <w:tcPr>
            <w:tcW w:w="567" w:type="dxa"/>
            <w:vMerge w:val="continue"/>
            <w:tcBorders>
              <w:top w:val="nil"/>
              <w:left w:val="nil"/>
              <w:bottom w:val="nil"/>
              <w:right w:val="single" w:color="000000" w:sz="4" w:space="0"/>
            </w:tcBorders>
          </w:tcPr>
          <w:p>
            <w:pPr>
              <w:rPr>
                <w:color w:val="auto"/>
                <w:sz w:val="20"/>
                <w:highlight w:val="none"/>
              </w:rPr>
            </w:pPr>
          </w:p>
        </w:tc>
        <w:tc>
          <w:tcPr>
            <w:tcW w:w="445" w:type="dxa"/>
            <w:vMerge w:val="restart"/>
            <w:tcBorders>
              <w:left w:val="single" w:color="000000" w:sz="4" w:space="0"/>
            </w:tcBorders>
          </w:tcPr>
          <w:p>
            <w:pPr>
              <w:rPr>
                <w:color w:val="auto"/>
                <w:sz w:val="20"/>
                <w:highlight w:val="none"/>
              </w:rPr>
            </w:pPr>
          </w:p>
        </w:tc>
        <w:tc>
          <w:tcPr>
            <w:tcW w:w="429" w:type="dxa"/>
            <w:vMerge w:val="restart"/>
            <w:tcBorders>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31"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31"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31"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31"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31"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28" w:type="dxa"/>
            <w:vMerge w:val="restart"/>
            <w:tcBorders>
              <w:left w:val="single" w:color="000000" w:sz="4" w:space="0"/>
              <w:right w:val="single" w:color="000000" w:sz="4" w:space="0"/>
            </w:tcBorders>
          </w:tcPr>
          <w:p>
            <w:pPr>
              <w:rPr>
                <w:color w:val="auto"/>
                <w:sz w:val="20"/>
                <w:highlight w:val="none"/>
              </w:rPr>
            </w:pPr>
          </w:p>
        </w:tc>
        <w:tc>
          <w:tcPr>
            <w:tcW w:w="431"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52" w:type="dxa"/>
            <w:vMerge w:val="restart"/>
            <w:tcBorders>
              <w:left w:val="single" w:color="000000" w:sz="4" w:space="0"/>
              <w:right w:val="single" w:color="000000" w:sz="10" w:space="0"/>
            </w:tcBorders>
          </w:tcPr>
          <w:p>
            <w:pPr>
              <w:rPr>
                <w:color w:val="auto"/>
                <w:sz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30" w:hRule="atLeast"/>
        </w:trPr>
        <w:tc>
          <w:tcPr>
            <w:tcW w:w="2796" w:type="dxa"/>
            <w:vMerge w:val="restart"/>
            <w:tcBorders>
              <w:top w:val="dotDash" w:color="auto" w:sz="18" w:space="0"/>
              <w:left w:val="single" w:color="000000" w:sz="10" w:space="0"/>
              <w:bottom w:val="nil"/>
              <w:right w:val="nil"/>
            </w:tcBorders>
          </w:tcPr>
          <w:p>
            <w:pPr>
              <w:ind w:firstLine="100" w:firstLineChars="50"/>
              <w:rPr>
                <w:rFonts w:eastAsiaTheme="minorEastAsia"/>
                <w:color w:val="auto"/>
                <w:sz w:val="20"/>
                <w:highlight w:val="none"/>
              </w:rPr>
            </w:pPr>
            <w:r>
              <w:rPr>
                <w:rFonts w:hint="eastAsia" w:eastAsiaTheme="minorEastAsia"/>
                <w:color w:val="auto"/>
                <w:sz w:val="20"/>
                <w:highlight w:val="none"/>
              </w:rPr>
              <w:t>涵洞及通道</w:t>
            </w:r>
          </w:p>
        </w:tc>
        <w:tc>
          <w:tcPr>
            <w:tcW w:w="567" w:type="dxa"/>
            <w:vMerge w:val="continue"/>
            <w:tcBorders>
              <w:top w:val="nil"/>
              <w:left w:val="nil"/>
              <w:bottom w:val="nil"/>
              <w:right w:val="single" w:color="000000" w:sz="4" w:space="0"/>
            </w:tcBorders>
          </w:tcPr>
          <w:p>
            <w:pPr>
              <w:rPr>
                <w:color w:val="auto"/>
                <w:sz w:val="20"/>
                <w:highlight w:val="none"/>
              </w:rPr>
            </w:pPr>
          </w:p>
        </w:tc>
        <w:tc>
          <w:tcPr>
            <w:tcW w:w="445" w:type="dxa"/>
            <w:vMerge w:val="continue"/>
            <w:tcBorders>
              <w:left w:val="single" w:color="000000" w:sz="4" w:space="0"/>
            </w:tcBorders>
          </w:tcPr>
          <w:p>
            <w:pPr>
              <w:rPr>
                <w:color w:val="auto"/>
                <w:sz w:val="20"/>
                <w:highlight w:val="none"/>
              </w:rPr>
            </w:pPr>
          </w:p>
        </w:tc>
        <w:tc>
          <w:tcPr>
            <w:tcW w:w="429" w:type="dxa"/>
            <w:vMerge w:val="continue"/>
            <w:tcBorders>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31"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31"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31"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31"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31"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28" w:type="dxa"/>
            <w:vMerge w:val="continue"/>
            <w:tcBorders>
              <w:left w:val="single" w:color="000000" w:sz="4" w:space="0"/>
              <w:right w:val="single" w:color="000000" w:sz="4" w:space="0"/>
            </w:tcBorders>
          </w:tcPr>
          <w:p>
            <w:pPr>
              <w:rPr>
                <w:color w:val="auto"/>
                <w:sz w:val="20"/>
                <w:highlight w:val="none"/>
              </w:rPr>
            </w:pPr>
          </w:p>
        </w:tc>
        <w:tc>
          <w:tcPr>
            <w:tcW w:w="431"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52" w:type="dxa"/>
            <w:vMerge w:val="continue"/>
            <w:tcBorders>
              <w:left w:val="single" w:color="000000" w:sz="4" w:space="0"/>
              <w:right w:val="single" w:color="000000" w:sz="10" w:space="0"/>
            </w:tcBorders>
          </w:tcPr>
          <w:p>
            <w:pPr>
              <w:rPr>
                <w:color w:val="auto"/>
                <w:sz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26" w:hRule="atLeast"/>
        </w:trPr>
        <w:tc>
          <w:tcPr>
            <w:tcW w:w="2796" w:type="dxa"/>
            <w:vMerge w:val="continue"/>
            <w:tcBorders>
              <w:top w:val="nil"/>
              <w:left w:val="single" w:color="000000" w:sz="10" w:space="0"/>
              <w:bottom w:val="thickThinSmallGap" w:color="auto" w:sz="24" w:space="0"/>
              <w:right w:val="nil"/>
            </w:tcBorders>
          </w:tcPr>
          <w:p>
            <w:pPr>
              <w:rPr>
                <w:color w:val="auto"/>
                <w:sz w:val="20"/>
                <w:highlight w:val="none"/>
              </w:rPr>
            </w:pPr>
          </w:p>
        </w:tc>
        <w:tc>
          <w:tcPr>
            <w:tcW w:w="567" w:type="dxa"/>
            <w:vMerge w:val="continue"/>
            <w:tcBorders>
              <w:top w:val="nil"/>
              <w:left w:val="nil"/>
              <w:bottom w:val="nil"/>
              <w:right w:val="single" w:color="000000" w:sz="4" w:space="0"/>
            </w:tcBorders>
          </w:tcPr>
          <w:p>
            <w:pPr>
              <w:rPr>
                <w:color w:val="auto"/>
                <w:sz w:val="20"/>
                <w:highlight w:val="none"/>
              </w:rPr>
            </w:pPr>
          </w:p>
        </w:tc>
        <w:tc>
          <w:tcPr>
            <w:tcW w:w="445" w:type="dxa"/>
            <w:tcBorders>
              <w:left w:val="single" w:color="000000" w:sz="4" w:space="0"/>
            </w:tcBorders>
          </w:tcPr>
          <w:p>
            <w:pPr>
              <w:rPr>
                <w:color w:val="auto"/>
                <w:sz w:val="20"/>
                <w:highlight w:val="none"/>
              </w:rPr>
            </w:pPr>
          </w:p>
        </w:tc>
        <w:tc>
          <w:tcPr>
            <w:tcW w:w="429" w:type="dxa"/>
            <w:tcBorders>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8"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52" w:type="dxa"/>
            <w:tcBorders>
              <w:left w:val="single" w:color="000000" w:sz="4" w:space="0"/>
              <w:right w:val="single" w:color="000000" w:sz="10" w:space="0"/>
            </w:tcBorders>
          </w:tcPr>
          <w:p>
            <w:pPr>
              <w:rPr>
                <w:color w:val="auto"/>
                <w:sz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26" w:hRule="atLeast"/>
        </w:trPr>
        <w:tc>
          <w:tcPr>
            <w:tcW w:w="2796" w:type="dxa"/>
            <w:vMerge w:val="restart"/>
            <w:tcBorders>
              <w:top w:val="thickThinSmallGap" w:color="auto" w:sz="24" w:space="0"/>
              <w:left w:val="single" w:color="000000" w:sz="10" w:space="0"/>
              <w:bottom w:val="nil"/>
              <w:right w:val="nil"/>
            </w:tcBorders>
          </w:tcPr>
          <w:p>
            <w:pPr>
              <w:ind w:firstLine="100" w:firstLineChars="50"/>
              <w:rPr>
                <w:rFonts w:eastAsiaTheme="minorEastAsia"/>
                <w:color w:val="auto"/>
                <w:sz w:val="20"/>
                <w:highlight w:val="none"/>
              </w:rPr>
            </w:pPr>
            <w:r>
              <w:rPr>
                <w:rFonts w:hint="eastAsia" w:eastAsiaTheme="minorEastAsia"/>
                <w:color w:val="auto"/>
                <w:sz w:val="20"/>
                <w:highlight w:val="none"/>
              </w:rPr>
              <w:t>桥梁下部工程</w:t>
            </w:r>
          </w:p>
        </w:tc>
        <w:tc>
          <w:tcPr>
            <w:tcW w:w="567" w:type="dxa"/>
            <w:vMerge w:val="continue"/>
            <w:tcBorders>
              <w:top w:val="nil"/>
              <w:left w:val="nil"/>
              <w:bottom w:val="nil"/>
              <w:right w:val="single" w:color="000000" w:sz="4" w:space="0"/>
            </w:tcBorders>
          </w:tcPr>
          <w:p>
            <w:pPr>
              <w:rPr>
                <w:color w:val="auto"/>
                <w:sz w:val="20"/>
                <w:highlight w:val="none"/>
              </w:rPr>
            </w:pPr>
          </w:p>
        </w:tc>
        <w:tc>
          <w:tcPr>
            <w:tcW w:w="445" w:type="dxa"/>
            <w:tcBorders>
              <w:left w:val="single" w:color="000000" w:sz="4" w:space="0"/>
            </w:tcBorders>
          </w:tcPr>
          <w:p>
            <w:pPr>
              <w:rPr>
                <w:color w:val="auto"/>
                <w:sz w:val="20"/>
                <w:highlight w:val="none"/>
              </w:rPr>
            </w:pPr>
          </w:p>
        </w:tc>
        <w:tc>
          <w:tcPr>
            <w:tcW w:w="429" w:type="dxa"/>
            <w:tcBorders>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8"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52" w:type="dxa"/>
            <w:tcBorders>
              <w:left w:val="single" w:color="000000" w:sz="4" w:space="0"/>
              <w:right w:val="single" w:color="000000" w:sz="10" w:space="0"/>
            </w:tcBorders>
          </w:tcPr>
          <w:p>
            <w:pPr>
              <w:rPr>
                <w:color w:val="auto"/>
                <w:sz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30" w:hRule="atLeast"/>
        </w:trPr>
        <w:tc>
          <w:tcPr>
            <w:tcW w:w="2796" w:type="dxa"/>
            <w:vMerge w:val="continue"/>
            <w:tcBorders>
              <w:top w:val="nil"/>
              <w:left w:val="single" w:color="000000" w:sz="10" w:space="0"/>
              <w:bottom w:val="thinThickSmallGap" w:color="auto" w:sz="24" w:space="0"/>
              <w:right w:val="nil"/>
            </w:tcBorders>
          </w:tcPr>
          <w:p>
            <w:pPr>
              <w:rPr>
                <w:color w:val="auto"/>
                <w:sz w:val="20"/>
                <w:highlight w:val="none"/>
              </w:rPr>
            </w:pPr>
          </w:p>
        </w:tc>
        <w:tc>
          <w:tcPr>
            <w:tcW w:w="567" w:type="dxa"/>
            <w:vMerge w:val="continue"/>
            <w:tcBorders>
              <w:top w:val="nil"/>
              <w:left w:val="nil"/>
              <w:bottom w:val="nil"/>
              <w:right w:val="single" w:color="000000" w:sz="4" w:space="0"/>
            </w:tcBorders>
          </w:tcPr>
          <w:p>
            <w:pPr>
              <w:rPr>
                <w:color w:val="auto"/>
                <w:sz w:val="20"/>
                <w:highlight w:val="none"/>
              </w:rPr>
            </w:pPr>
          </w:p>
        </w:tc>
        <w:tc>
          <w:tcPr>
            <w:tcW w:w="445" w:type="dxa"/>
            <w:vMerge w:val="restart"/>
            <w:tcBorders>
              <w:left w:val="single" w:color="000000" w:sz="4" w:space="0"/>
            </w:tcBorders>
          </w:tcPr>
          <w:p>
            <w:pPr>
              <w:rPr>
                <w:color w:val="auto"/>
                <w:sz w:val="20"/>
                <w:highlight w:val="none"/>
              </w:rPr>
            </w:pPr>
          </w:p>
        </w:tc>
        <w:tc>
          <w:tcPr>
            <w:tcW w:w="429" w:type="dxa"/>
            <w:vMerge w:val="restart"/>
            <w:tcBorders>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31"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31"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31"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31"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31"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28" w:type="dxa"/>
            <w:vMerge w:val="restart"/>
            <w:tcBorders>
              <w:left w:val="single" w:color="000000" w:sz="4" w:space="0"/>
              <w:right w:val="single" w:color="000000" w:sz="4" w:space="0"/>
            </w:tcBorders>
          </w:tcPr>
          <w:p>
            <w:pPr>
              <w:rPr>
                <w:color w:val="auto"/>
                <w:sz w:val="20"/>
                <w:highlight w:val="none"/>
              </w:rPr>
            </w:pPr>
          </w:p>
        </w:tc>
        <w:tc>
          <w:tcPr>
            <w:tcW w:w="431"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29" w:type="dxa"/>
            <w:vMerge w:val="restart"/>
            <w:tcBorders>
              <w:left w:val="single" w:color="000000" w:sz="4" w:space="0"/>
              <w:right w:val="single" w:color="000000" w:sz="4" w:space="0"/>
            </w:tcBorders>
          </w:tcPr>
          <w:p>
            <w:pPr>
              <w:rPr>
                <w:color w:val="auto"/>
                <w:sz w:val="20"/>
                <w:highlight w:val="none"/>
              </w:rPr>
            </w:pPr>
          </w:p>
        </w:tc>
        <w:tc>
          <w:tcPr>
            <w:tcW w:w="452" w:type="dxa"/>
            <w:vMerge w:val="restart"/>
            <w:tcBorders>
              <w:left w:val="single" w:color="000000" w:sz="4" w:space="0"/>
              <w:right w:val="single" w:color="000000" w:sz="10" w:space="0"/>
            </w:tcBorders>
          </w:tcPr>
          <w:p>
            <w:pPr>
              <w:rPr>
                <w:color w:val="auto"/>
                <w:sz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30" w:hRule="atLeast"/>
        </w:trPr>
        <w:tc>
          <w:tcPr>
            <w:tcW w:w="2796" w:type="dxa"/>
            <w:vMerge w:val="restart"/>
            <w:tcBorders>
              <w:top w:val="thinThickSmallGap" w:color="auto" w:sz="24" w:space="0"/>
              <w:left w:val="single" w:color="000000" w:sz="10" w:space="0"/>
              <w:bottom w:val="nil"/>
              <w:right w:val="nil"/>
            </w:tcBorders>
          </w:tcPr>
          <w:p>
            <w:pPr>
              <w:ind w:firstLine="100" w:firstLineChars="50"/>
              <w:rPr>
                <w:rFonts w:eastAsiaTheme="minorEastAsia"/>
                <w:color w:val="auto"/>
                <w:sz w:val="20"/>
                <w:highlight w:val="none"/>
              </w:rPr>
            </w:pPr>
            <w:r>
              <w:rPr>
                <w:rFonts w:hint="eastAsia" w:eastAsiaTheme="minorEastAsia"/>
                <w:color w:val="auto"/>
                <w:sz w:val="20"/>
                <w:highlight w:val="none"/>
              </w:rPr>
              <w:t>桥梁上部工程</w:t>
            </w:r>
          </w:p>
        </w:tc>
        <w:tc>
          <w:tcPr>
            <w:tcW w:w="567" w:type="dxa"/>
            <w:vMerge w:val="continue"/>
            <w:tcBorders>
              <w:top w:val="nil"/>
              <w:left w:val="nil"/>
              <w:bottom w:val="nil"/>
              <w:right w:val="single" w:color="000000" w:sz="4" w:space="0"/>
            </w:tcBorders>
          </w:tcPr>
          <w:p>
            <w:pPr>
              <w:rPr>
                <w:color w:val="auto"/>
                <w:sz w:val="20"/>
                <w:highlight w:val="none"/>
              </w:rPr>
            </w:pPr>
          </w:p>
        </w:tc>
        <w:tc>
          <w:tcPr>
            <w:tcW w:w="445" w:type="dxa"/>
            <w:vMerge w:val="continue"/>
            <w:tcBorders>
              <w:left w:val="single" w:color="000000" w:sz="4" w:space="0"/>
            </w:tcBorders>
          </w:tcPr>
          <w:p>
            <w:pPr>
              <w:rPr>
                <w:color w:val="auto"/>
                <w:sz w:val="20"/>
                <w:highlight w:val="none"/>
              </w:rPr>
            </w:pPr>
          </w:p>
        </w:tc>
        <w:tc>
          <w:tcPr>
            <w:tcW w:w="429" w:type="dxa"/>
            <w:vMerge w:val="continue"/>
            <w:tcBorders>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31"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31"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31"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31"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31"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28" w:type="dxa"/>
            <w:vMerge w:val="continue"/>
            <w:tcBorders>
              <w:left w:val="single" w:color="000000" w:sz="4" w:space="0"/>
              <w:right w:val="single" w:color="000000" w:sz="4" w:space="0"/>
            </w:tcBorders>
          </w:tcPr>
          <w:p>
            <w:pPr>
              <w:rPr>
                <w:color w:val="auto"/>
                <w:sz w:val="20"/>
                <w:highlight w:val="none"/>
              </w:rPr>
            </w:pPr>
          </w:p>
        </w:tc>
        <w:tc>
          <w:tcPr>
            <w:tcW w:w="431"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29" w:type="dxa"/>
            <w:vMerge w:val="continue"/>
            <w:tcBorders>
              <w:left w:val="single" w:color="000000" w:sz="4" w:space="0"/>
              <w:right w:val="single" w:color="000000" w:sz="4" w:space="0"/>
            </w:tcBorders>
          </w:tcPr>
          <w:p>
            <w:pPr>
              <w:rPr>
                <w:color w:val="auto"/>
                <w:sz w:val="20"/>
                <w:highlight w:val="none"/>
              </w:rPr>
            </w:pPr>
          </w:p>
        </w:tc>
        <w:tc>
          <w:tcPr>
            <w:tcW w:w="452" w:type="dxa"/>
            <w:vMerge w:val="continue"/>
            <w:tcBorders>
              <w:left w:val="single" w:color="000000" w:sz="4" w:space="0"/>
              <w:right w:val="single" w:color="000000" w:sz="10" w:space="0"/>
            </w:tcBorders>
          </w:tcPr>
          <w:p>
            <w:pPr>
              <w:rPr>
                <w:color w:val="auto"/>
                <w:sz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29" w:hRule="atLeast"/>
        </w:trPr>
        <w:tc>
          <w:tcPr>
            <w:tcW w:w="2796" w:type="dxa"/>
            <w:vMerge w:val="continue"/>
            <w:tcBorders>
              <w:top w:val="nil"/>
              <w:left w:val="single" w:color="000000" w:sz="10" w:space="0"/>
              <w:bottom w:val="dotted" w:color="auto" w:sz="36" w:space="0"/>
              <w:right w:val="nil"/>
            </w:tcBorders>
          </w:tcPr>
          <w:p>
            <w:pPr>
              <w:rPr>
                <w:color w:val="auto"/>
                <w:sz w:val="20"/>
                <w:highlight w:val="none"/>
              </w:rPr>
            </w:pPr>
          </w:p>
        </w:tc>
        <w:tc>
          <w:tcPr>
            <w:tcW w:w="567" w:type="dxa"/>
            <w:vMerge w:val="continue"/>
            <w:tcBorders>
              <w:top w:val="nil"/>
              <w:left w:val="nil"/>
              <w:bottom w:val="nil"/>
              <w:right w:val="single" w:color="000000" w:sz="4" w:space="0"/>
            </w:tcBorders>
          </w:tcPr>
          <w:p>
            <w:pPr>
              <w:rPr>
                <w:color w:val="auto"/>
                <w:sz w:val="20"/>
                <w:highlight w:val="none"/>
              </w:rPr>
            </w:pPr>
          </w:p>
        </w:tc>
        <w:tc>
          <w:tcPr>
            <w:tcW w:w="445" w:type="dxa"/>
            <w:tcBorders>
              <w:left w:val="single" w:color="000000" w:sz="4" w:space="0"/>
            </w:tcBorders>
          </w:tcPr>
          <w:p>
            <w:pPr>
              <w:rPr>
                <w:color w:val="auto"/>
                <w:sz w:val="20"/>
                <w:highlight w:val="none"/>
              </w:rPr>
            </w:pPr>
          </w:p>
        </w:tc>
        <w:tc>
          <w:tcPr>
            <w:tcW w:w="429" w:type="dxa"/>
            <w:tcBorders>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8"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52" w:type="dxa"/>
            <w:tcBorders>
              <w:left w:val="single" w:color="000000" w:sz="4" w:space="0"/>
              <w:right w:val="single" w:color="000000" w:sz="10" w:space="0"/>
            </w:tcBorders>
          </w:tcPr>
          <w:p>
            <w:pPr>
              <w:rPr>
                <w:color w:val="auto"/>
                <w:sz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28" w:hRule="atLeast"/>
        </w:trPr>
        <w:tc>
          <w:tcPr>
            <w:tcW w:w="2796" w:type="dxa"/>
            <w:vMerge w:val="restart"/>
            <w:tcBorders>
              <w:top w:val="dotted" w:color="auto" w:sz="36" w:space="0"/>
              <w:left w:val="single" w:color="000000" w:sz="10" w:space="0"/>
              <w:bottom w:val="nil"/>
              <w:right w:val="nil"/>
            </w:tcBorders>
          </w:tcPr>
          <w:p>
            <w:pPr>
              <w:rPr>
                <w:rFonts w:eastAsiaTheme="minorEastAsia"/>
                <w:color w:val="auto"/>
                <w:sz w:val="20"/>
                <w:highlight w:val="none"/>
              </w:rPr>
            </w:pPr>
            <w:r>
              <w:rPr>
                <w:rFonts w:hint="eastAsia" w:eastAsiaTheme="minorEastAsia"/>
                <w:color w:val="auto"/>
                <w:sz w:val="20"/>
                <w:highlight w:val="none"/>
              </w:rPr>
              <w:t xml:space="preserve"> 隧道</w:t>
            </w:r>
          </w:p>
        </w:tc>
        <w:tc>
          <w:tcPr>
            <w:tcW w:w="567" w:type="dxa"/>
            <w:vMerge w:val="continue"/>
            <w:tcBorders>
              <w:top w:val="nil"/>
              <w:left w:val="nil"/>
              <w:bottom w:val="nil"/>
              <w:right w:val="single" w:color="000000" w:sz="4" w:space="0"/>
            </w:tcBorders>
          </w:tcPr>
          <w:p>
            <w:pPr>
              <w:rPr>
                <w:color w:val="auto"/>
                <w:sz w:val="20"/>
                <w:highlight w:val="none"/>
              </w:rPr>
            </w:pPr>
          </w:p>
        </w:tc>
        <w:tc>
          <w:tcPr>
            <w:tcW w:w="445" w:type="dxa"/>
            <w:tcBorders>
              <w:left w:val="single" w:color="000000" w:sz="4" w:space="0"/>
            </w:tcBorders>
          </w:tcPr>
          <w:p>
            <w:pPr>
              <w:rPr>
                <w:color w:val="auto"/>
                <w:sz w:val="20"/>
                <w:highlight w:val="none"/>
              </w:rPr>
            </w:pPr>
          </w:p>
        </w:tc>
        <w:tc>
          <w:tcPr>
            <w:tcW w:w="429" w:type="dxa"/>
            <w:tcBorders>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8"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52" w:type="dxa"/>
            <w:tcBorders>
              <w:left w:val="single" w:color="000000" w:sz="4" w:space="0"/>
              <w:right w:val="single" w:color="000000" w:sz="10" w:space="0"/>
            </w:tcBorders>
          </w:tcPr>
          <w:p>
            <w:pPr>
              <w:rPr>
                <w:color w:val="auto"/>
                <w:sz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26" w:hRule="atLeast"/>
        </w:trPr>
        <w:tc>
          <w:tcPr>
            <w:tcW w:w="2796" w:type="dxa"/>
            <w:vMerge w:val="continue"/>
            <w:tcBorders>
              <w:top w:val="nil"/>
              <w:left w:val="single" w:color="000000" w:sz="10" w:space="0"/>
              <w:bottom w:val="nil"/>
              <w:right w:val="nil"/>
            </w:tcBorders>
          </w:tcPr>
          <w:p>
            <w:pPr>
              <w:rPr>
                <w:color w:val="auto"/>
                <w:sz w:val="20"/>
                <w:highlight w:val="none"/>
              </w:rPr>
            </w:pPr>
          </w:p>
        </w:tc>
        <w:tc>
          <w:tcPr>
            <w:tcW w:w="567" w:type="dxa"/>
            <w:vMerge w:val="continue"/>
            <w:tcBorders>
              <w:top w:val="nil"/>
              <w:left w:val="nil"/>
              <w:bottom w:val="nil"/>
              <w:right w:val="single" w:color="000000" w:sz="4" w:space="0"/>
            </w:tcBorders>
          </w:tcPr>
          <w:p>
            <w:pPr>
              <w:rPr>
                <w:color w:val="auto"/>
                <w:sz w:val="20"/>
                <w:highlight w:val="none"/>
              </w:rPr>
            </w:pPr>
          </w:p>
        </w:tc>
        <w:tc>
          <w:tcPr>
            <w:tcW w:w="445" w:type="dxa"/>
            <w:tcBorders>
              <w:left w:val="single" w:color="000000" w:sz="4" w:space="0"/>
            </w:tcBorders>
          </w:tcPr>
          <w:p>
            <w:pPr>
              <w:rPr>
                <w:color w:val="auto"/>
                <w:sz w:val="20"/>
                <w:highlight w:val="none"/>
              </w:rPr>
            </w:pPr>
          </w:p>
        </w:tc>
        <w:tc>
          <w:tcPr>
            <w:tcW w:w="429" w:type="dxa"/>
            <w:tcBorders>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8"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52" w:type="dxa"/>
            <w:tcBorders>
              <w:left w:val="single" w:color="000000" w:sz="4" w:space="0"/>
              <w:right w:val="single" w:color="000000" w:sz="10" w:space="0"/>
            </w:tcBorders>
          </w:tcPr>
          <w:p>
            <w:pPr>
              <w:rPr>
                <w:color w:val="auto"/>
                <w:sz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5" w:hRule="atLeast"/>
        </w:trPr>
        <w:tc>
          <w:tcPr>
            <w:tcW w:w="2796" w:type="dxa"/>
            <w:vMerge w:val="continue"/>
            <w:tcBorders>
              <w:top w:val="nil"/>
              <w:left w:val="single" w:color="000000" w:sz="10" w:space="0"/>
              <w:right w:val="nil"/>
            </w:tcBorders>
          </w:tcPr>
          <w:p>
            <w:pPr>
              <w:rPr>
                <w:color w:val="auto"/>
                <w:sz w:val="20"/>
                <w:highlight w:val="none"/>
              </w:rPr>
            </w:pPr>
          </w:p>
        </w:tc>
        <w:tc>
          <w:tcPr>
            <w:tcW w:w="567" w:type="dxa"/>
            <w:vMerge w:val="continue"/>
            <w:tcBorders>
              <w:top w:val="nil"/>
              <w:left w:val="nil"/>
              <w:right w:val="single" w:color="000000" w:sz="4" w:space="0"/>
            </w:tcBorders>
          </w:tcPr>
          <w:p>
            <w:pPr>
              <w:rPr>
                <w:color w:val="auto"/>
                <w:sz w:val="20"/>
                <w:highlight w:val="none"/>
              </w:rPr>
            </w:pPr>
          </w:p>
        </w:tc>
        <w:tc>
          <w:tcPr>
            <w:tcW w:w="445" w:type="dxa"/>
            <w:tcBorders>
              <w:left w:val="single" w:color="000000" w:sz="4" w:space="0"/>
            </w:tcBorders>
          </w:tcPr>
          <w:p>
            <w:pPr>
              <w:rPr>
                <w:color w:val="auto"/>
                <w:sz w:val="20"/>
                <w:highlight w:val="none"/>
              </w:rPr>
            </w:pPr>
          </w:p>
        </w:tc>
        <w:tc>
          <w:tcPr>
            <w:tcW w:w="429" w:type="dxa"/>
            <w:tcBorders>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8" w:type="dxa"/>
            <w:tcBorders>
              <w:left w:val="single" w:color="000000" w:sz="4" w:space="0"/>
              <w:right w:val="single" w:color="000000" w:sz="4" w:space="0"/>
            </w:tcBorders>
          </w:tcPr>
          <w:p>
            <w:pPr>
              <w:rPr>
                <w:color w:val="auto"/>
                <w:sz w:val="20"/>
                <w:highlight w:val="none"/>
              </w:rPr>
            </w:pPr>
          </w:p>
        </w:tc>
        <w:tc>
          <w:tcPr>
            <w:tcW w:w="431"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29" w:type="dxa"/>
            <w:tcBorders>
              <w:left w:val="single" w:color="000000" w:sz="4" w:space="0"/>
              <w:right w:val="single" w:color="000000" w:sz="4" w:space="0"/>
            </w:tcBorders>
          </w:tcPr>
          <w:p>
            <w:pPr>
              <w:rPr>
                <w:color w:val="auto"/>
                <w:sz w:val="20"/>
                <w:highlight w:val="none"/>
              </w:rPr>
            </w:pPr>
          </w:p>
        </w:tc>
        <w:tc>
          <w:tcPr>
            <w:tcW w:w="452" w:type="dxa"/>
            <w:tcBorders>
              <w:left w:val="single" w:color="000000" w:sz="4" w:space="0"/>
              <w:right w:val="single" w:color="000000" w:sz="10" w:space="0"/>
            </w:tcBorders>
          </w:tcPr>
          <w:p>
            <w:pPr>
              <w:rPr>
                <w:color w:val="auto"/>
                <w:sz w:val="20"/>
                <w:highlight w:val="none"/>
              </w:rPr>
            </w:pPr>
          </w:p>
        </w:tc>
      </w:tr>
    </w:tbl>
    <w:p>
      <w:pPr>
        <w:spacing w:line="316" w:lineRule="auto"/>
        <w:rPr>
          <w:rFonts w:ascii="Arial"/>
          <w:color w:val="auto"/>
          <w:sz w:val="21"/>
          <w:highlight w:val="none"/>
        </w:rPr>
      </w:pPr>
    </w:p>
    <w:p>
      <w:pPr>
        <w:spacing w:before="25" w:line="217" w:lineRule="auto"/>
        <w:ind w:left="782"/>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注：1.应按各标段实际工程</w:t>
      </w:r>
      <w:r>
        <w:rPr>
          <w:rFonts w:hint="eastAsia" w:ascii="宋体" w:hAnsi="宋体" w:eastAsia="宋体" w:cs="宋体"/>
          <w:color w:val="auto"/>
          <w:sz w:val="21"/>
          <w:szCs w:val="21"/>
          <w:highlight w:val="none"/>
        </w:rPr>
        <w:t>内容填写</w:t>
      </w:r>
    </w:p>
    <w:p>
      <w:pPr>
        <w:spacing w:before="25" w:line="217" w:lineRule="auto"/>
        <w:ind w:left="782" w:firstLine="416" w:firstLineChars="200"/>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2.各个项目的进程可</w:t>
      </w:r>
      <w:r>
        <w:rPr>
          <w:rFonts w:hint="eastAsia" w:ascii="宋体" w:hAnsi="宋体" w:eastAsia="宋体" w:cs="宋体"/>
          <w:color w:val="auto"/>
          <w:sz w:val="21"/>
          <w:szCs w:val="21"/>
          <w:highlight w:val="none"/>
        </w:rPr>
        <w:t>用线条长短来表示。</w:t>
      </w:r>
    </w:p>
    <w:p>
      <w:pPr>
        <w:rPr>
          <w:color w:val="auto"/>
          <w:highlight w:val="none"/>
        </w:rPr>
        <w:sectPr>
          <w:footerReference r:id="rId48" w:type="default"/>
          <w:pgSz w:w="16840" w:h="11900"/>
          <w:pgMar w:top="743" w:right="883" w:bottom="743" w:left="1283" w:header="454" w:footer="397" w:gutter="0"/>
          <w:pgNumType w:fmt="decimal"/>
          <w:cols w:space="720" w:num="1"/>
        </w:sectPr>
      </w:pPr>
    </w:p>
    <w:p>
      <w:pPr>
        <w:spacing w:before="117" w:line="222" w:lineRule="auto"/>
        <w:jc w:val="left"/>
        <w:outlineLvl w:val="2"/>
        <w:rPr>
          <w:rFonts w:hint="eastAsia" w:ascii="宋体" w:hAnsi="宋体" w:eastAsia="宋体" w:cs="宋体"/>
          <w:b/>
          <w:bCs/>
          <w:color w:val="auto"/>
          <w:spacing w:val="-3"/>
          <w:sz w:val="24"/>
          <w:szCs w:val="24"/>
          <w:highlight w:val="none"/>
        </w:rPr>
      </w:pPr>
      <w:bookmarkStart w:id="745" w:name="_Toc23152"/>
      <w:r>
        <w:rPr>
          <w:rFonts w:hint="eastAsia" w:ascii="宋体" w:hAnsi="宋体" w:eastAsia="宋体" w:cs="宋体"/>
          <w:b/>
          <w:bCs/>
          <w:color w:val="auto"/>
          <w:spacing w:val="-3"/>
          <w:sz w:val="24"/>
          <w:szCs w:val="24"/>
          <w:highlight w:val="none"/>
        </w:rPr>
        <w:t>附表三  工程管理曲线</w:t>
      </w:r>
      <w:bookmarkEnd w:id="745"/>
    </w:p>
    <w:p>
      <w:pPr>
        <w:rPr>
          <w:color w:val="auto"/>
          <w:highlight w:val="none"/>
        </w:rPr>
      </w:pPr>
    </w:p>
    <w:p>
      <w:pPr>
        <w:spacing w:line="240" w:lineRule="exact"/>
        <w:rPr>
          <w:color w:val="auto"/>
          <w:highlight w:val="none"/>
        </w:rPr>
      </w:pPr>
    </w:p>
    <w:tbl>
      <w:tblPr>
        <w:tblStyle w:val="26"/>
        <w:tblW w:w="9327"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584"/>
        <w:gridCol w:w="373"/>
        <w:gridCol w:w="371"/>
        <w:gridCol w:w="371"/>
        <w:gridCol w:w="376"/>
        <w:gridCol w:w="374"/>
        <w:gridCol w:w="373"/>
        <w:gridCol w:w="373"/>
        <w:gridCol w:w="378"/>
        <w:gridCol w:w="376"/>
        <w:gridCol w:w="481"/>
        <w:gridCol w:w="484"/>
        <w:gridCol w:w="484"/>
        <w:gridCol w:w="373"/>
        <w:gridCol w:w="374"/>
        <w:gridCol w:w="373"/>
        <w:gridCol w:w="376"/>
        <w:gridCol w:w="373"/>
        <w:gridCol w:w="373"/>
        <w:gridCol w:w="373"/>
        <w:gridCol w:w="36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536" w:type="dxa"/>
            <w:gridSpan w:val="2"/>
            <w:vMerge w:val="restart"/>
            <w:tcBorders>
              <w:left w:val="single" w:color="000000" w:sz="10" w:space="0"/>
              <w:bottom w:val="nil"/>
              <w:tl2br w:val="single" w:color="000000" w:sz="4" w:space="0"/>
            </w:tcBorders>
            <w:vAlign w:val="top"/>
          </w:tcPr>
          <w:p>
            <w:pPr>
              <w:spacing w:before="31" w:line="422" w:lineRule="exact"/>
              <w:ind w:firstLine="1"/>
              <w:textAlignment w:val="center"/>
              <w:rPr>
                <w:rFonts w:ascii="宋体" w:hAnsi="宋体" w:eastAsia="宋体" w:cs="宋体"/>
                <w:color w:val="auto"/>
                <w:sz w:val="20"/>
                <w:szCs w:val="20"/>
                <w:highlight w:val="none"/>
              </w:rPr>
            </w:pPr>
            <w:r>
              <w:rPr>
                <w:color w:val="auto"/>
                <w:highlight w:val="none"/>
              </w:rPr>
              <mc:AlternateContent>
                <mc:Choice Requires="wpg">
                  <w:drawing>
                    <wp:inline distT="0" distB="0" distL="114300" distR="114300">
                      <wp:extent cx="926465" cy="267970"/>
                      <wp:effectExtent l="12700" t="12700" r="13335" b="43180"/>
                      <wp:docPr id="33" name="组合 33"/>
                      <wp:cNvGraphicFramePr/>
                      <a:graphic xmlns:a="http://schemas.openxmlformats.org/drawingml/2006/main">
                        <a:graphicData uri="http://schemas.microsoft.com/office/word/2010/wordprocessingGroup">
                          <wpg:wgp>
                            <wpg:cNvGrpSpPr/>
                            <wpg:grpSpPr>
                              <a:xfrm>
                                <a:off x="0" y="0"/>
                                <a:ext cx="926465" cy="267970"/>
                                <a:chOff x="0" y="0"/>
                                <a:chExt cx="1458" cy="422"/>
                              </a:xfrm>
                            </wpg:grpSpPr>
                            <wps:wsp>
                              <wps:cNvPr id="34" name="任意多边形 23"/>
                              <wps:cNvSpPr/>
                              <wps:spPr>
                                <a:xfrm>
                                  <a:off x="0" y="0"/>
                                  <a:ext cx="1458" cy="422"/>
                                </a:xfrm>
                                <a:custGeom>
                                  <a:avLst/>
                                  <a:gdLst/>
                                  <a:ahLst/>
                                  <a:cxnLst/>
                                  <a:pathLst>
                                    <a:path w="1458" h="422">
                                      <a:moveTo>
                                        <a:pt x="1456" y="414"/>
                                      </a:moveTo>
                                      <a:lnTo>
                                        <a:pt x="1" y="6"/>
                                      </a:lnTo>
                                    </a:path>
                                  </a:pathLst>
                                </a:custGeom>
                                <a:noFill/>
                                <a:ln w="9144" cap="flat" cmpd="sng">
                                  <a:solidFill>
                                    <a:srgbClr val="000000"/>
                                  </a:solidFill>
                                  <a:prstDash val="solid"/>
                                  <a:headEnd type="none" w="med" len="med"/>
                                  <a:tailEnd type="none" w="med" len="med"/>
                                </a:ln>
                              </wps:spPr>
                              <wps:bodyPr upright="1"/>
                            </wps:wsp>
                            <wps:wsp>
                              <wps:cNvPr id="35" name="文本框 24"/>
                              <wps:cNvSpPr txBox="1"/>
                              <wps:spPr>
                                <a:xfrm>
                                  <a:off x="-20" y="-20"/>
                                  <a:ext cx="1498" cy="500"/>
                                </a:xfrm>
                                <a:prstGeom prst="rect">
                                  <a:avLst/>
                                </a:prstGeom>
                                <a:noFill/>
                                <a:ln>
                                  <a:noFill/>
                                </a:ln>
                              </wps:spPr>
                              <wps:txbx>
                                <w:txbxContent>
                                  <w:p>
                                    <w:pPr>
                                      <w:spacing w:before="52" w:line="228" w:lineRule="auto"/>
                                      <w:ind w:right="74"/>
                                      <w:jc w:val="right"/>
                                      <w:rPr>
                                        <w:rFonts w:ascii="宋体" w:hAnsi="宋体" w:eastAsia="宋体" w:cs="宋体"/>
                                        <w:sz w:val="20"/>
                                        <w:szCs w:val="20"/>
                                      </w:rPr>
                                    </w:pPr>
                                    <w:r>
                                      <w:rPr>
                                        <w:rFonts w:ascii="宋体" w:hAnsi="宋体" w:eastAsia="宋体" w:cs="宋体"/>
                                        <w:spacing w:val="4"/>
                                        <w:sz w:val="20"/>
                                        <w:szCs w:val="20"/>
                                      </w:rPr>
                                      <w:t>年度</w:t>
                                    </w:r>
                                  </w:p>
                                </w:txbxContent>
                              </wps:txbx>
                              <wps:bodyPr lIns="0" tIns="0" rIns="0" bIns="0" upright="1"/>
                            </wps:wsp>
                          </wpg:wgp>
                        </a:graphicData>
                      </a:graphic>
                    </wp:inline>
                  </w:drawing>
                </mc:Choice>
                <mc:Fallback>
                  <w:pict>
                    <v:group id="_x0000_s1026" o:spid="_x0000_s1026" o:spt="203" style="height:21.1pt;width:72.95pt;" coordsize="1458,422" o:gfxdata="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">
                      <o:lock v:ext="edit" aspectratio="f"/>
                      <v:shape id="任意多边形 23" o:spid="_x0000_s1026" o:spt="100" style="position:absolute;left:0;top:0;height:422;width:1458;" filled="f" stroked="t" coordsize="1458,422" o:gfxdata="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V3cQr4A&#10;AADbAAAADwAAAAAAAAABACAAAAAiAAAAZHJzL2Rvd25yZXYueG1sUEsBAhQAFAAAAAgAh07iQDMv&#10;BZ47AAAAOQAAABAAAAAAAAAAAQAgAAAADQEAAGRycy9zaGFwZXhtbC54bWxQSwUGAAAAAAYABgBb&#10;AQAAtwMAAAAA&#10;" path="m1456,414l1,6e">
                        <v:fill on="f" focussize="0,0"/>
                        <v:stroke weight="0.72pt" color="#000000" joinstyle="round"/>
                        <v:imagedata o:title=""/>
                        <o:lock v:ext="edit" aspectratio="f"/>
                      </v:shape>
                      <v:shape id="文本框 24" o:spid="_x0000_s1026" o:spt="202" type="#_x0000_t202" style="position:absolute;left:-20;top:-20;height:500;width:1498;" filled="f" stroked="f" coordsize="21600,21600" o:gfxdata="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cgOQ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before="52" w:line="228" w:lineRule="auto"/>
                                <w:ind w:right="74"/>
                                <w:jc w:val="right"/>
                                <w:rPr>
                                  <w:rFonts w:ascii="宋体" w:hAnsi="宋体" w:eastAsia="宋体" w:cs="宋体"/>
                                  <w:sz w:val="20"/>
                                  <w:szCs w:val="20"/>
                                </w:rPr>
                              </w:pPr>
                              <w:r>
                                <w:rPr>
                                  <w:rFonts w:ascii="宋体" w:hAnsi="宋体" w:eastAsia="宋体" w:cs="宋体"/>
                                  <w:spacing w:val="4"/>
                                  <w:sz w:val="20"/>
                                  <w:szCs w:val="20"/>
                                </w:rPr>
                                <w:t>年度</w:t>
                              </w:r>
                            </w:p>
                          </w:txbxContent>
                        </v:textbox>
                      </v:shape>
                      <w10:wrap type="none"/>
                      <w10:anchorlock/>
                    </v:group>
                  </w:pict>
                </mc:Fallback>
              </mc:AlternateContent>
            </w:r>
            <w:r>
              <w:rPr>
                <w:rFonts w:ascii="宋体" w:hAnsi="宋体" w:eastAsia="宋体" w:cs="宋体"/>
                <w:color w:val="auto"/>
                <w:spacing w:val="4"/>
                <w:sz w:val="20"/>
                <w:szCs w:val="20"/>
                <w:highlight w:val="none"/>
              </w:rPr>
              <w:t>季度</w:t>
            </w:r>
            <w:r>
              <w:rPr>
                <w:rFonts w:ascii="宋体" w:hAnsi="宋体" w:eastAsia="宋体" w:cs="宋体"/>
                <w:color w:val="auto"/>
                <w:spacing w:val="7"/>
                <w:sz w:val="20"/>
                <w:szCs w:val="20"/>
                <w:highlight w:val="none"/>
              </w:rPr>
              <w:t>进</w:t>
            </w:r>
            <w:r>
              <w:rPr>
                <w:rFonts w:ascii="宋体" w:hAnsi="宋体" w:eastAsia="宋体" w:cs="宋体"/>
                <w:color w:val="auto"/>
                <w:spacing w:val="5"/>
                <w:sz w:val="20"/>
                <w:szCs w:val="20"/>
                <w:highlight w:val="none"/>
              </w:rPr>
              <w:t xml:space="preserve">  度</w:t>
            </w:r>
          </w:p>
        </w:tc>
        <w:tc>
          <w:tcPr>
            <w:tcW w:w="4814" w:type="dxa"/>
            <w:gridSpan w:val="12"/>
            <w:vAlign w:val="top"/>
          </w:tcPr>
          <w:p>
            <w:pPr>
              <w:tabs>
                <w:tab w:val="left" w:pos="2725"/>
              </w:tabs>
              <w:spacing w:before="63" w:line="228" w:lineRule="auto"/>
              <w:ind w:left="1876"/>
              <w:rPr>
                <w:rFonts w:ascii="宋体" w:hAnsi="宋体" w:eastAsia="宋体" w:cs="宋体"/>
                <w:color w:val="auto"/>
                <w:sz w:val="20"/>
                <w:szCs w:val="20"/>
                <w:highlight w:val="none"/>
              </w:rPr>
            </w:pPr>
            <w:r>
              <w:rPr>
                <w:rFonts w:ascii="宋体" w:hAnsi="宋体" w:eastAsia="宋体" w:cs="宋体"/>
                <w:color w:val="auto"/>
                <w:sz w:val="20"/>
                <w:szCs w:val="20"/>
                <w:highlight w:val="none"/>
                <w:u w:val="single" w:color="auto"/>
              </w:rPr>
              <w:tab/>
            </w:r>
            <w:r>
              <w:rPr>
                <w:rFonts w:ascii="宋体" w:hAnsi="宋体" w:eastAsia="宋体" w:cs="宋体"/>
                <w:color w:val="auto"/>
                <w:sz w:val="20"/>
                <w:szCs w:val="20"/>
                <w:highlight w:val="none"/>
              </w:rPr>
              <w:t>年</w:t>
            </w:r>
          </w:p>
        </w:tc>
        <w:tc>
          <w:tcPr>
            <w:tcW w:w="2977" w:type="dxa"/>
            <w:gridSpan w:val="8"/>
            <w:tcBorders>
              <w:right w:val="single" w:color="000000" w:sz="10" w:space="0"/>
            </w:tcBorders>
            <w:vAlign w:val="top"/>
          </w:tcPr>
          <w:p>
            <w:pPr>
              <w:tabs>
                <w:tab w:val="left" w:pos="1811"/>
              </w:tabs>
              <w:spacing w:before="63" w:line="228" w:lineRule="auto"/>
              <w:ind w:left="962"/>
              <w:rPr>
                <w:rFonts w:ascii="宋体" w:hAnsi="宋体" w:eastAsia="宋体" w:cs="宋体"/>
                <w:color w:val="auto"/>
                <w:sz w:val="20"/>
                <w:szCs w:val="20"/>
                <w:highlight w:val="none"/>
              </w:rPr>
            </w:pPr>
            <w:r>
              <w:rPr>
                <w:rFonts w:ascii="宋体" w:hAnsi="宋体" w:eastAsia="宋体" w:cs="宋体"/>
                <w:color w:val="auto"/>
                <w:sz w:val="20"/>
                <w:szCs w:val="20"/>
                <w:highlight w:val="none"/>
                <w:u w:val="single" w:color="auto"/>
              </w:rPr>
              <w:tab/>
            </w:r>
            <w:r>
              <w:rPr>
                <w:rFonts w:ascii="宋体" w:hAnsi="宋体" w:eastAsia="宋体" w:cs="宋体"/>
                <w:color w:val="auto"/>
                <w:sz w:val="20"/>
                <w:szCs w:val="20"/>
                <w:highlight w:val="none"/>
              </w:rPr>
              <w:t>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1536" w:type="dxa"/>
            <w:gridSpan w:val="2"/>
            <w:vMerge w:val="continue"/>
            <w:tcBorders>
              <w:top w:val="nil"/>
              <w:left w:val="single" w:color="000000" w:sz="10" w:space="0"/>
              <w:bottom w:val="nil"/>
              <w:tl2br w:val="single" w:color="000000" w:sz="4" w:space="0"/>
            </w:tcBorders>
            <w:vAlign w:val="top"/>
          </w:tcPr>
          <w:p>
            <w:pPr>
              <w:rPr>
                <w:rFonts w:ascii="Arial"/>
                <w:color w:val="auto"/>
                <w:sz w:val="21"/>
                <w:highlight w:val="none"/>
              </w:rPr>
            </w:pPr>
          </w:p>
        </w:tc>
        <w:tc>
          <w:tcPr>
            <w:tcW w:w="1115" w:type="dxa"/>
            <w:gridSpan w:val="3"/>
            <w:vAlign w:val="top"/>
          </w:tcPr>
          <w:p>
            <w:pPr>
              <w:spacing w:before="70" w:line="187" w:lineRule="auto"/>
              <w:ind w:left="460"/>
              <w:rPr>
                <w:rFonts w:ascii="宋体" w:hAnsi="宋体" w:eastAsia="宋体" w:cs="宋体"/>
                <w:color w:val="auto"/>
                <w:sz w:val="20"/>
                <w:szCs w:val="20"/>
                <w:highlight w:val="none"/>
              </w:rPr>
            </w:pPr>
            <w:r>
              <w:rPr>
                <w:rFonts w:ascii="宋体" w:hAnsi="宋体" w:eastAsia="宋体" w:cs="宋体"/>
                <w:color w:val="auto"/>
                <w:sz w:val="20"/>
                <w:szCs w:val="20"/>
                <w:highlight w:val="none"/>
              </w:rPr>
              <w:t>一</w:t>
            </w:r>
          </w:p>
        </w:tc>
        <w:tc>
          <w:tcPr>
            <w:tcW w:w="1123" w:type="dxa"/>
            <w:gridSpan w:val="3"/>
            <w:vAlign w:val="top"/>
          </w:tcPr>
          <w:p>
            <w:pPr>
              <w:spacing w:before="70" w:line="187" w:lineRule="auto"/>
              <w:ind w:left="460"/>
              <w:rPr>
                <w:rFonts w:ascii="宋体" w:hAnsi="宋体" w:eastAsia="宋体" w:cs="宋体"/>
                <w:color w:val="auto"/>
                <w:sz w:val="20"/>
                <w:szCs w:val="20"/>
                <w:highlight w:val="none"/>
              </w:rPr>
            </w:pPr>
            <w:r>
              <w:rPr>
                <w:rFonts w:ascii="宋体" w:hAnsi="宋体" w:eastAsia="宋体" w:cs="宋体"/>
                <w:color w:val="auto"/>
                <w:sz w:val="20"/>
                <w:szCs w:val="20"/>
                <w:highlight w:val="none"/>
              </w:rPr>
              <w:t>二</w:t>
            </w:r>
          </w:p>
        </w:tc>
        <w:tc>
          <w:tcPr>
            <w:tcW w:w="1127" w:type="dxa"/>
            <w:gridSpan w:val="3"/>
            <w:vAlign w:val="top"/>
          </w:tcPr>
          <w:p>
            <w:pPr>
              <w:spacing w:before="70" w:line="187" w:lineRule="auto"/>
              <w:ind w:left="460"/>
              <w:rPr>
                <w:rFonts w:ascii="宋体" w:hAnsi="宋体" w:eastAsia="宋体" w:cs="宋体"/>
                <w:color w:val="auto"/>
                <w:sz w:val="20"/>
                <w:szCs w:val="20"/>
                <w:highlight w:val="none"/>
              </w:rPr>
            </w:pPr>
            <w:r>
              <w:rPr>
                <w:rFonts w:ascii="宋体" w:hAnsi="宋体" w:eastAsia="宋体" w:cs="宋体"/>
                <w:color w:val="auto"/>
                <w:sz w:val="20"/>
                <w:szCs w:val="20"/>
                <w:highlight w:val="none"/>
              </w:rPr>
              <w:t>三</w:t>
            </w:r>
          </w:p>
        </w:tc>
        <w:tc>
          <w:tcPr>
            <w:tcW w:w="1449" w:type="dxa"/>
            <w:gridSpan w:val="3"/>
            <w:vAlign w:val="top"/>
          </w:tcPr>
          <w:p>
            <w:pPr>
              <w:spacing w:before="70" w:line="187" w:lineRule="auto"/>
              <w:ind w:left="460"/>
              <w:rPr>
                <w:rFonts w:ascii="宋体" w:hAnsi="宋体" w:eastAsia="宋体" w:cs="宋体"/>
                <w:color w:val="auto"/>
                <w:sz w:val="20"/>
                <w:szCs w:val="20"/>
                <w:highlight w:val="none"/>
              </w:rPr>
            </w:pPr>
            <w:r>
              <w:rPr>
                <w:rFonts w:ascii="宋体" w:hAnsi="宋体" w:eastAsia="宋体" w:cs="宋体"/>
                <w:color w:val="auto"/>
                <w:sz w:val="20"/>
                <w:szCs w:val="20"/>
                <w:highlight w:val="none"/>
              </w:rPr>
              <w:t>四</w:t>
            </w:r>
          </w:p>
        </w:tc>
        <w:tc>
          <w:tcPr>
            <w:tcW w:w="1120" w:type="dxa"/>
            <w:gridSpan w:val="3"/>
            <w:vAlign w:val="top"/>
          </w:tcPr>
          <w:p>
            <w:pPr>
              <w:spacing w:before="70" w:line="187" w:lineRule="auto"/>
              <w:ind w:left="460"/>
              <w:rPr>
                <w:rFonts w:ascii="宋体" w:hAnsi="宋体" w:eastAsia="宋体" w:cs="宋体"/>
                <w:color w:val="auto"/>
                <w:sz w:val="20"/>
                <w:szCs w:val="20"/>
                <w:highlight w:val="none"/>
              </w:rPr>
            </w:pPr>
            <w:r>
              <w:rPr>
                <w:rFonts w:ascii="宋体" w:hAnsi="宋体" w:eastAsia="宋体" w:cs="宋体"/>
                <w:color w:val="auto"/>
                <w:sz w:val="20"/>
                <w:szCs w:val="20"/>
                <w:highlight w:val="none"/>
              </w:rPr>
              <w:t>一</w:t>
            </w:r>
          </w:p>
        </w:tc>
        <w:tc>
          <w:tcPr>
            <w:tcW w:w="1122" w:type="dxa"/>
            <w:gridSpan w:val="3"/>
            <w:vAlign w:val="top"/>
          </w:tcPr>
          <w:p>
            <w:pPr>
              <w:spacing w:before="70" w:line="187" w:lineRule="auto"/>
              <w:ind w:left="460"/>
              <w:rPr>
                <w:rFonts w:ascii="宋体" w:hAnsi="宋体" w:eastAsia="宋体" w:cs="宋体"/>
                <w:color w:val="auto"/>
                <w:sz w:val="20"/>
                <w:szCs w:val="20"/>
                <w:highlight w:val="none"/>
              </w:rPr>
            </w:pPr>
            <w:r>
              <w:rPr>
                <w:rFonts w:ascii="宋体" w:hAnsi="宋体" w:eastAsia="宋体" w:cs="宋体"/>
                <w:color w:val="auto"/>
                <w:sz w:val="20"/>
                <w:szCs w:val="20"/>
                <w:highlight w:val="none"/>
              </w:rPr>
              <w:t>二</w:t>
            </w:r>
          </w:p>
        </w:tc>
        <w:tc>
          <w:tcPr>
            <w:tcW w:w="735" w:type="dxa"/>
            <w:gridSpan w:val="2"/>
            <w:tcBorders>
              <w:right w:val="single" w:color="000000" w:sz="10" w:space="0"/>
            </w:tcBorders>
            <w:vAlign w:val="top"/>
          </w:tcPr>
          <w:p>
            <w:pPr>
              <w:spacing w:before="70" w:line="187" w:lineRule="auto"/>
              <w:jc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536" w:type="dxa"/>
            <w:gridSpan w:val="2"/>
            <w:vMerge w:val="continue"/>
            <w:tcBorders>
              <w:top w:val="nil"/>
              <w:left w:val="single" w:color="000000" w:sz="10" w:space="0"/>
              <w:tl2br w:val="single" w:color="000000" w:sz="4" w:space="0"/>
            </w:tcBorders>
            <w:vAlign w:val="top"/>
          </w:tcPr>
          <w:p>
            <w:pPr>
              <w:rPr>
                <w:rFonts w:ascii="Arial"/>
                <w:color w:val="auto"/>
                <w:sz w:val="21"/>
                <w:highlight w:val="none"/>
              </w:rPr>
            </w:pPr>
          </w:p>
        </w:tc>
        <w:tc>
          <w:tcPr>
            <w:tcW w:w="373" w:type="dxa"/>
            <w:vAlign w:val="top"/>
          </w:tcPr>
          <w:p>
            <w:pPr>
              <w:spacing w:before="54" w:line="192" w:lineRule="auto"/>
              <w:ind w:left="148"/>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c>
          <w:tcPr>
            <w:tcW w:w="371" w:type="dxa"/>
            <w:vAlign w:val="top"/>
          </w:tcPr>
          <w:p>
            <w:pPr>
              <w:spacing w:before="54" w:line="192" w:lineRule="auto"/>
              <w:ind w:left="127"/>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c>
          <w:tcPr>
            <w:tcW w:w="371" w:type="dxa"/>
            <w:vAlign w:val="top"/>
          </w:tcPr>
          <w:p>
            <w:pPr>
              <w:spacing w:before="54" w:line="192" w:lineRule="auto"/>
              <w:ind w:left="132"/>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3</w:t>
            </w:r>
          </w:p>
        </w:tc>
        <w:tc>
          <w:tcPr>
            <w:tcW w:w="376" w:type="dxa"/>
            <w:vAlign w:val="top"/>
          </w:tcPr>
          <w:p>
            <w:pPr>
              <w:spacing w:before="54" w:line="192" w:lineRule="auto"/>
              <w:ind w:left="130"/>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1"/>
                <w:sz w:val="20"/>
                <w:szCs w:val="20"/>
                <w:highlight w:val="none"/>
              </w:rPr>
              <w:t>4</w:t>
            </w:r>
          </w:p>
        </w:tc>
        <w:tc>
          <w:tcPr>
            <w:tcW w:w="374" w:type="dxa"/>
            <w:vAlign w:val="top"/>
          </w:tcPr>
          <w:p>
            <w:pPr>
              <w:spacing w:before="57" w:line="189" w:lineRule="auto"/>
              <w:ind w:left="136"/>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5</w:t>
            </w:r>
          </w:p>
        </w:tc>
        <w:tc>
          <w:tcPr>
            <w:tcW w:w="373" w:type="dxa"/>
            <w:vAlign w:val="top"/>
          </w:tcPr>
          <w:p>
            <w:pPr>
              <w:spacing w:before="54" w:line="192" w:lineRule="auto"/>
              <w:ind w:left="137"/>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6</w:t>
            </w:r>
          </w:p>
        </w:tc>
        <w:tc>
          <w:tcPr>
            <w:tcW w:w="373" w:type="dxa"/>
            <w:vAlign w:val="top"/>
          </w:tcPr>
          <w:p>
            <w:pPr>
              <w:spacing w:before="57" w:line="189" w:lineRule="auto"/>
              <w:ind w:left="137"/>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7</w:t>
            </w:r>
          </w:p>
        </w:tc>
        <w:tc>
          <w:tcPr>
            <w:tcW w:w="378" w:type="dxa"/>
            <w:vAlign w:val="top"/>
          </w:tcPr>
          <w:p>
            <w:pPr>
              <w:spacing w:before="54" w:line="192" w:lineRule="auto"/>
              <w:ind w:left="146"/>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8</w:t>
            </w:r>
          </w:p>
        </w:tc>
        <w:tc>
          <w:tcPr>
            <w:tcW w:w="376" w:type="dxa"/>
            <w:vAlign w:val="top"/>
          </w:tcPr>
          <w:p>
            <w:pPr>
              <w:spacing w:before="54" w:line="192" w:lineRule="auto"/>
              <w:ind w:left="141"/>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9</w:t>
            </w:r>
          </w:p>
        </w:tc>
        <w:tc>
          <w:tcPr>
            <w:tcW w:w="481" w:type="dxa"/>
            <w:vAlign w:val="top"/>
          </w:tcPr>
          <w:p>
            <w:pPr>
              <w:spacing w:before="54" w:line="192" w:lineRule="auto"/>
              <w:ind w:left="158"/>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5"/>
                <w:sz w:val="20"/>
                <w:szCs w:val="20"/>
                <w:highlight w:val="none"/>
              </w:rPr>
              <w:t>1</w:t>
            </w:r>
            <w:r>
              <w:rPr>
                <w:rFonts w:ascii="Times New Roman" w:hAnsi="Times New Roman" w:eastAsia="Times New Roman" w:cs="Times New Roman"/>
                <w:color w:val="auto"/>
                <w:spacing w:val="-3"/>
                <w:sz w:val="20"/>
                <w:szCs w:val="20"/>
                <w:highlight w:val="none"/>
              </w:rPr>
              <w:t>0</w:t>
            </w:r>
          </w:p>
        </w:tc>
        <w:tc>
          <w:tcPr>
            <w:tcW w:w="484" w:type="dxa"/>
            <w:vAlign w:val="top"/>
          </w:tcPr>
          <w:p>
            <w:pPr>
              <w:spacing w:before="54" w:line="192" w:lineRule="auto"/>
              <w:ind w:left="166"/>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5"/>
                <w:sz w:val="20"/>
                <w:szCs w:val="20"/>
                <w:highlight w:val="none"/>
              </w:rPr>
              <w:t>11</w:t>
            </w:r>
          </w:p>
        </w:tc>
        <w:tc>
          <w:tcPr>
            <w:tcW w:w="484" w:type="dxa"/>
            <w:vAlign w:val="top"/>
          </w:tcPr>
          <w:p>
            <w:pPr>
              <w:spacing w:before="54" w:line="192" w:lineRule="auto"/>
              <w:ind w:left="162"/>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5"/>
                <w:sz w:val="20"/>
                <w:szCs w:val="20"/>
                <w:highlight w:val="none"/>
              </w:rPr>
              <w:t>1</w:t>
            </w:r>
            <w:r>
              <w:rPr>
                <w:rFonts w:ascii="Times New Roman" w:hAnsi="Times New Roman" w:eastAsia="Times New Roman" w:cs="Times New Roman"/>
                <w:color w:val="auto"/>
                <w:spacing w:val="-3"/>
                <w:sz w:val="20"/>
                <w:szCs w:val="20"/>
                <w:highlight w:val="none"/>
              </w:rPr>
              <w:t>2</w:t>
            </w:r>
          </w:p>
        </w:tc>
        <w:tc>
          <w:tcPr>
            <w:tcW w:w="373" w:type="dxa"/>
            <w:vAlign w:val="top"/>
          </w:tcPr>
          <w:p>
            <w:pPr>
              <w:spacing w:before="54" w:line="192" w:lineRule="auto"/>
              <w:ind w:left="158"/>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c>
          <w:tcPr>
            <w:tcW w:w="374" w:type="dxa"/>
            <w:vAlign w:val="top"/>
          </w:tcPr>
          <w:p>
            <w:pPr>
              <w:spacing w:before="54" w:line="192" w:lineRule="auto"/>
              <w:ind w:left="142"/>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c>
          <w:tcPr>
            <w:tcW w:w="373" w:type="dxa"/>
            <w:vAlign w:val="top"/>
          </w:tcPr>
          <w:p>
            <w:pPr>
              <w:spacing w:before="54" w:line="192" w:lineRule="auto"/>
              <w:ind w:left="146"/>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3</w:t>
            </w:r>
          </w:p>
        </w:tc>
        <w:tc>
          <w:tcPr>
            <w:tcW w:w="376" w:type="dxa"/>
            <w:vAlign w:val="top"/>
          </w:tcPr>
          <w:p>
            <w:pPr>
              <w:spacing w:before="54" w:line="192" w:lineRule="auto"/>
              <w:ind w:left="143"/>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1"/>
                <w:sz w:val="20"/>
                <w:szCs w:val="20"/>
                <w:highlight w:val="none"/>
              </w:rPr>
              <w:t>4</w:t>
            </w:r>
          </w:p>
        </w:tc>
        <w:tc>
          <w:tcPr>
            <w:tcW w:w="373" w:type="dxa"/>
            <w:vAlign w:val="top"/>
          </w:tcPr>
          <w:p>
            <w:pPr>
              <w:spacing w:before="69" w:line="189" w:lineRule="auto"/>
              <w:ind w:left="148"/>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5</w:t>
            </w:r>
          </w:p>
        </w:tc>
        <w:tc>
          <w:tcPr>
            <w:tcW w:w="373" w:type="dxa"/>
            <w:vAlign w:val="top"/>
          </w:tcPr>
          <w:p>
            <w:pPr>
              <w:spacing w:before="66" w:line="192" w:lineRule="auto"/>
              <w:ind w:left="150"/>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6</w:t>
            </w:r>
          </w:p>
        </w:tc>
        <w:tc>
          <w:tcPr>
            <w:tcW w:w="735" w:type="dxa"/>
            <w:gridSpan w:val="2"/>
            <w:tcBorders>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952" w:type="dxa"/>
            <w:vMerge w:val="restart"/>
            <w:tcBorders>
              <w:left w:val="single" w:color="000000" w:sz="10" w:space="0"/>
              <w:bottom w:val="nil"/>
              <w:right w:val="nil"/>
            </w:tcBorders>
            <w:textDirection w:val="tbRlV"/>
            <w:vAlign w:val="top"/>
          </w:tcPr>
          <w:p>
            <w:pPr>
              <w:spacing w:before="154" w:line="274" w:lineRule="exact"/>
              <w:ind w:left="2732"/>
              <w:rPr>
                <w:rFonts w:ascii="Times New Roman" w:hAnsi="Times New Roman" w:eastAsia="Times New Roman" w:cs="Times New Roman"/>
                <w:color w:val="auto"/>
                <w:sz w:val="20"/>
                <w:szCs w:val="20"/>
                <w:highlight w:val="none"/>
              </w:rPr>
            </w:pPr>
            <w:r>
              <w:rPr>
                <w:rFonts w:hint="eastAsia" w:ascii="宋体" w:hAnsi="宋体" w:eastAsia="宋体" w:cs="宋体"/>
                <w:color w:val="auto"/>
                <w:spacing w:val="12"/>
                <w:position w:val="2"/>
                <w:sz w:val="21"/>
                <w:szCs w:val="21"/>
                <w:highlight w:val="none"/>
              </w:rPr>
              <w:t>工</w:t>
            </w:r>
            <w:r>
              <w:rPr>
                <w:rFonts w:hint="eastAsia" w:ascii="宋体" w:hAnsi="宋体" w:eastAsia="宋体" w:cs="宋体"/>
                <w:color w:val="auto"/>
                <w:spacing w:val="8"/>
                <w:position w:val="2"/>
                <w:sz w:val="21"/>
                <w:szCs w:val="21"/>
                <w:highlight w:val="none"/>
              </w:rPr>
              <w:t>程完成的百分比(%)</w:t>
            </w:r>
          </w:p>
        </w:tc>
        <w:tc>
          <w:tcPr>
            <w:tcW w:w="584" w:type="dxa"/>
            <w:vMerge w:val="restart"/>
            <w:tcBorders>
              <w:left w:val="nil"/>
              <w:bottom w:val="nil"/>
            </w:tcBorders>
            <w:vAlign w:val="top"/>
          </w:tcPr>
          <w:p>
            <w:pPr>
              <w:spacing w:before="54" w:line="192" w:lineRule="auto"/>
              <w:ind w:left="135"/>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2"/>
                <w:sz w:val="20"/>
                <w:szCs w:val="20"/>
                <w:highlight w:val="none"/>
              </w:rPr>
              <w:t>100</w:t>
            </w:r>
          </w:p>
          <w:p>
            <w:pPr>
              <w:spacing w:line="249" w:lineRule="auto"/>
              <w:rPr>
                <w:rFonts w:ascii="Arial"/>
                <w:color w:val="auto"/>
                <w:sz w:val="21"/>
                <w:highlight w:val="none"/>
              </w:rPr>
            </w:pPr>
          </w:p>
          <w:p>
            <w:pPr>
              <w:spacing w:line="250" w:lineRule="auto"/>
              <w:rPr>
                <w:rFonts w:ascii="Arial"/>
                <w:color w:val="auto"/>
                <w:sz w:val="21"/>
                <w:highlight w:val="none"/>
              </w:rPr>
            </w:pPr>
          </w:p>
          <w:p>
            <w:pPr>
              <w:spacing w:before="57" w:line="192" w:lineRule="auto"/>
              <w:ind w:left="169"/>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1"/>
                <w:sz w:val="20"/>
                <w:szCs w:val="20"/>
                <w:highlight w:val="none"/>
              </w:rPr>
              <w:t>9</w:t>
            </w:r>
            <w:r>
              <w:rPr>
                <w:rFonts w:ascii="Times New Roman" w:hAnsi="Times New Roman" w:eastAsia="Times New Roman" w:cs="Times New Roman"/>
                <w:color w:val="auto"/>
                <w:sz w:val="20"/>
                <w:szCs w:val="20"/>
                <w:highlight w:val="none"/>
              </w:rPr>
              <w:t>0</w:t>
            </w:r>
          </w:p>
          <w:p>
            <w:pPr>
              <w:spacing w:line="255" w:lineRule="auto"/>
              <w:rPr>
                <w:rFonts w:ascii="Arial"/>
                <w:color w:val="auto"/>
                <w:sz w:val="21"/>
                <w:highlight w:val="none"/>
              </w:rPr>
            </w:pPr>
          </w:p>
          <w:p>
            <w:pPr>
              <w:spacing w:line="256" w:lineRule="auto"/>
              <w:rPr>
                <w:rFonts w:ascii="Arial"/>
                <w:color w:val="auto"/>
                <w:sz w:val="21"/>
                <w:highlight w:val="none"/>
              </w:rPr>
            </w:pPr>
          </w:p>
          <w:p>
            <w:pPr>
              <w:spacing w:before="57" w:line="192" w:lineRule="auto"/>
              <w:ind w:left="173"/>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1"/>
                <w:sz w:val="20"/>
                <w:szCs w:val="20"/>
                <w:highlight w:val="none"/>
              </w:rPr>
              <w:t>80</w:t>
            </w:r>
          </w:p>
          <w:p>
            <w:pPr>
              <w:spacing w:line="249" w:lineRule="auto"/>
              <w:rPr>
                <w:rFonts w:ascii="Arial"/>
                <w:color w:val="auto"/>
                <w:sz w:val="21"/>
                <w:highlight w:val="none"/>
              </w:rPr>
            </w:pPr>
          </w:p>
          <w:p>
            <w:pPr>
              <w:spacing w:line="250" w:lineRule="auto"/>
              <w:rPr>
                <w:rFonts w:ascii="Arial"/>
                <w:color w:val="auto"/>
                <w:sz w:val="21"/>
                <w:highlight w:val="none"/>
              </w:rPr>
            </w:pPr>
          </w:p>
          <w:p>
            <w:pPr>
              <w:spacing w:before="58" w:line="192" w:lineRule="auto"/>
              <w:ind w:left="168"/>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1"/>
                <w:sz w:val="20"/>
                <w:szCs w:val="20"/>
                <w:highlight w:val="none"/>
              </w:rPr>
              <w:t>70</w:t>
            </w:r>
          </w:p>
          <w:p>
            <w:pPr>
              <w:spacing w:line="249" w:lineRule="auto"/>
              <w:rPr>
                <w:rFonts w:ascii="Arial"/>
                <w:color w:val="auto"/>
                <w:sz w:val="21"/>
                <w:highlight w:val="none"/>
              </w:rPr>
            </w:pPr>
          </w:p>
          <w:p>
            <w:pPr>
              <w:spacing w:line="250" w:lineRule="auto"/>
              <w:rPr>
                <w:rFonts w:ascii="Arial"/>
                <w:color w:val="auto"/>
                <w:sz w:val="21"/>
                <w:highlight w:val="none"/>
              </w:rPr>
            </w:pPr>
          </w:p>
          <w:p>
            <w:pPr>
              <w:spacing w:before="58" w:line="192" w:lineRule="auto"/>
              <w:ind w:left="170"/>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1"/>
                <w:sz w:val="20"/>
                <w:szCs w:val="20"/>
                <w:highlight w:val="none"/>
              </w:rPr>
              <w:t>6</w:t>
            </w:r>
            <w:r>
              <w:rPr>
                <w:rFonts w:ascii="Times New Roman" w:hAnsi="Times New Roman" w:eastAsia="Times New Roman" w:cs="Times New Roman"/>
                <w:color w:val="auto"/>
                <w:sz w:val="20"/>
                <w:szCs w:val="20"/>
                <w:highlight w:val="none"/>
              </w:rPr>
              <w:t>0</w:t>
            </w:r>
          </w:p>
          <w:p>
            <w:pPr>
              <w:spacing w:line="249" w:lineRule="auto"/>
              <w:rPr>
                <w:rFonts w:ascii="Arial"/>
                <w:color w:val="auto"/>
                <w:sz w:val="21"/>
                <w:highlight w:val="none"/>
              </w:rPr>
            </w:pPr>
          </w:p>
          <w:p>
            <w:pPr>
              <w:spacing w:line="250" w:lineRule="auto"/>
              <w:rPr>
                <w:rFonts w:ascii="Arial"/>
                <w:color w:val="auto"/>
                <w:sz w:val="21"/>
                <w:highlight w:val="none"/>
              </w:rPr>
            </w:pPr>
          </w:p>
          <w:p>
            <w:pPr>
              <w:spacing w:before="58" w:line="192" w:lineRule="auto"/>
              <w:ind w:left="171"/>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1"/>
                <w:sz w:val="20"/>
                <w:szCs w:val="20"/>
                <w:highlight w:val="none"/>
              </w:rPr>
              <w:t>5</w:t>
            </w:r>
            <w:r>
              <w:rPr>
                <w:rFonts w:ascii="Times New Roman" w:hAnsi="Times New Roman" w:eastAsia="Times New Roman" w:cs="Times New Roman"/>
                <w:color w:val="auto"/>
                <w:sz w:val="20"/>
                <w:szCs w:val="20"/>
                <w:highlight w:val="none"/>
              </w:rPr>
              <w:t>0</w:t>
            </w:r>
          </w:p>
          <w:p>
            <w:pPr>
              <w:spacing w:line="255" w:lineRule="auto"/>
              <w:rPr>
                <w:rFonts w:ascii="Arial"/>
                <w:color w:val="auto"/>
                <w:sz w:val="21"/>
                <w:highlight w:val="none"/>
              </w:rPr>
            </w:pPr>
          </w:p>
          <w:p>
            <w:pPr>
              <w:spacing w:line="256" w:lineRule="auto"/>
              <w:rPr>
                <w:rFonts w:ascii="Arial"/>
                <w:color w:val="auto"/>
                <w:sz w:val="21"/>
                <w:highlight w:val="none"/>
              </w:rPr>
            </w:pPr>
          </w:p>
          <w:p>
            <w:pPr>
              <w:spacing w:before="58" w:line="192" w:lineRule="auto"/>
              <w:ind w:left="164"/>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3"/>
                <w:sz w:val="20"/>
                <w:szCs w:val="20"/>
                <w:highlight w:val="none"/>
              </w:rPr>
              <w:t>40</w:t>
            </w:r>
          </w:p>
          <w:p>
            <w:pPr>
              <w:spacing w:line="249" w:lineRule="auto"/>
              <w:rPr>
                <w:rFonts w:ascii="Arial"/>
                <w:color w:val="auto"/>
                <w:sz w:val="21"/>
                <w:highlight w:val="none"/>
              </w:rPr>
            </w:pPr>
          </w:p>
          <w:p>
            <w:pPr>
              <w:spacing w:line="250" w:lineRule="auto"/>
              <w:rPr>
                <w:rFonts w:ascii="Arial"/>
                <w:color w:val="auto"/>
                <w:sz w:val="21"/>
                <w:highlight w:val="none"/>
              </w:rPr>
            </w:pPr>
          </w:p>
          <w:p>
            <w:pPr>
              <w:spacing w:before="57" w:line="192" w:lineRule="auto"/>
              <w:ind w:left="169"/>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1"/>
                <w:sz w:val="20"/>
                <w:szCs w:val="20"/>
                <w:highlight w:val="none"/>
              </w:rPr>
              <w:t>3</w:t>
            </w:r>
            <w:r>
              <w:rPr>
                <w:rFonts w:ascii="Times New Roman" w:hAnsi="Times New Roman" w:eastAsia="Times New Roman" w:cs="Times New Roman"/>
                <w:color w:val="auto"/>
                <w:sz w:val="20"/>
                <w:szCs w:val="20"/>
                <w:highlight w:val="none"/>
              </w:rPr>
              <w:t>0</w:t>
            </w:r>
          </w:p>
          <w:p>
            <w:pPr>
              <w:spacing w:line="249" w:lineRule="auto"/>
              <w:rPr>
                <w:rFonts w:ascii="Arial"/>
                <w:color w:val="auto"/>
                <w:sz w:val="21"/>
                <w:highlight w:val="none"/>
              </w:rPr>
            </w:pPr>
          </w:p>
          <w:p>
            <w:pPr>
              <w:spacing w:line="250" w:lineRule="auto"/>
              <w:rPr>
                <w:rFonts w:ascii="Arial"/>
                <w:color w:val="auto"/>
                <w:sz w:val="21"/>
                <w:highlight w:val="none"/>
              </w:rPr>
            </w:pPr>
          </w:p>
          <w:p>
            <w:pPr>
              <w:spacing w:before="58" w:line="192" w:lineRule="auto"/>
              <w:ind w:left="165"/>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3"/>
                <w:sz w:val="20"/>
                <w:szCs w:val="20"/>
                <w:highlight w:val="none"/>
              </w:rPr>
              <w:t>2</w:t>
            </w:r>
            <w:r>
              <w:rPr>
                <w:rFonts w:ascii="Times New Roman" w:hAnsi="Times New Roman" w:eastAsia="Times New Roman" w:cs="Times New Roman"/>
                <w:color w:val="auto"/>
                <w:spacing w:val="2"/>
                <w:sz w:val="20"/>
                <w:szCs w:val="20"/>
                <w:highlight w:val="none"/>
              </w:rPr>
              <w:t>0</w:t>
            </w:r>
          </w:p>
          <w:p>
            <w:pPr>
              <w:spacing w:line="249" w:lineRule="auto"/>
              <w:rPr>
                <w:rFonts w:ascii="Arial"/>
                <w:color w:val="auto"/>
                <w:sz w:val="21"/>
                <w:highlight w:val="none"/>
              </w:rPr>
            </w:pPr>
          </w:p>
          <w:p>
            <w:pPr>
              <w:spacing w:line="250" w:lineRule="auto"/>
              <w:rPr>
                <w:rFonts w:ascii="Arial"/>
                <w:color w:val="auto"/>
                <w:sz w:val="21"/>
                <w:highlight w:val="none"/>
              </w:rPr>
            </w:pPr>
          </w:p>
          <w:p>
            <w:pPr>
              <w:spacing w:before="58" w:line="192" w:lineRule="auto"/>
              <w:ind w:left="185"/>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5"/>
                <w:sz w:val="20"/>
                <w:szCs w:val="20"/>
                <w:highlight w:val="none"/>
              </w:rPr>
              <w:t>1</w:t>
            </w:r>
            <w:r>
              <w:rPr>
                <w:rFonts w:ascii="Times New Roman" w:hAnsi="Times New Roman" w:eastAsia="Times New Roman" w:cs="Times New Roman"/>
                <w:color w:val="auto"/>
                <w:spacing w:val="-3"/>
                <w:sz w:val="20"/>
                <w:szCs w:val="20"/>
                <w:highlight w:val="none"/>
              </w:rPr>
              <w:t>0</w:t>
            </w:r>
          </w:p>
        </w:tc>
        <w:tc>
          <w:tcPr>
            <w:tcW w:w="373"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8"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481"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62" w:type="dxa"/>
            <w:tcBorders>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952" w:type="dxa"/>
            <w:vMerge w:val="continue"/>
            <w:tcBorders>
              <w:top w:val="nil"/>
              <w:left w:val="single" w:color="000000" w:sz="10" w:space="0"/>
              <w:bottom w:val="nil"/>
              <w:right w:val="nil"/>
            </w:tcBorders>
            <w:textDirection w:val="tbRlV"/>
            <w:vAlign w:val="top"/>
          </w:tcPr>
          <w:p>
            <w:pPr>
              <w:rPr>
                <w:rFonts w:ascii="Arial"/>
                <w:color w:val="auto"/>
                <w:sz w:val="21"/>
                <w:highlight w:val="none"/>
              </w:rPr>
            </w:pPr>
          </w:p>
        </w:tc>
        <w:tc>
          <w:tcPr>
            <w:tcW w:w="584" w:type="dxa"/>
            <w:vMerge w:val="continue"/>
            <w:tcBorders>
              <w:top w:val="nil"/>
              <w:left w:val="nil"/>
              <w:bottom w:val="nil"/>
            </w:tcBorders>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8"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481"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62" w:type="dxa"/>
            <w:tcBorders>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952" w:type="dxa"/>
            <w:vMerge w:val="continue"/>
            <w:tcBorders>
              <w:top w:val="nil"/>
              <w:left w:val="single" w:color="000000" w:sz="10" w:space="0"/>
              <w:bottom w:val="nil"/>
              <w:right w:val="nil"/>
            </w:tcBorders>
            <w:textDirection w:val="tbRlV"/>
            <w:vAlign w:val="top"/>
          </w:tcPr>
          <w:p>
            <w:pPr>
              <w:rPr>
                <w:rFonts w:ascii="Arial"/>
                <w:color w:val="auto"/>
                <w:sz w:val="21"/>
                <w:highlight w:val="none"/>
              </w:rPr>
            </w:pPr>
          </w:p>
        </w:tc>
        <w:tc>
          <w:tcPr>
            <w:tcW w:w="584" w:type="dxa"/>
            <w:vMerge w:val="continue"/>
            <w:tcBorders>
              <w:top w:val="nil"/>
              <w:left w:val="nil"/>
              <w:bottom w:val="nil"/>
            </w:tcBorders>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8"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481"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62" w:type="dxa"/>
            <w:tcBorders>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vMerge w:val="continue"/>
            <w:tcBorders>
              <w:top w:val="nil"/>
              <w:left w:val="single" w:color="000000" w:sz="10" w:space="0"/>
              <w:bottom w:val="nil"/>
              <w:right w:val="nil"/>
            </w:tcBorders>
            <w:textDirection w:val="tbRlV"/>
            <w:vAlign w:val="top"/>
          </w:tcPr>
          <w:p>
            <w:pPr>
              <w:rPr>
                <w:rFonts w:ascii="Arial"/>
                <w:color w:val="auto"/>
                <w:sz w:val="21"/>
                <w:highlight w:val="none"/>
              </w:rPr>
            </w:pPr>
          </w:p>
        </w:tc>
        <w:tc>
          <w:tcPr>
            <w:tcW w:w="584" w:type="dxa"/>
            <w:vMerge w:val="continue"/>
            <w:tcBorders>
              <w:top w:val="nil"/>
              <w:left w:val="nil"/>
              <w:bottom w:val="nil"/>
            </w:tcBorders>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8"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481"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62" w:type="dxa"/>
            <w:tcBorders>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952" w:type="dxa"/>
            <w:vMerge w:val="continue"/>
            <w:tcBorders>
              <w:top w:val="nil"/>
              <w:left w:val="single" w:color="000000" w:sz="10" w:space="0"/>
              <w:bottom w:val="nil"/>
              <w:right w:val="nil"/>
            </w:tcBorders>
            <w:textDirection w:val="tbRlV"/>
            <w:vAlign w:val="top"/>
          </w:tcPr>
          <w:p>
            <w:pPr>
              <w:rPr>
                <w:rFonts w:ascii="Arial"/>
                <w:color w:val="auto"/>
                <w:sz w:val="21"/>
                <w:highlight w:val="none"/>
              </w:rPr>
            </w:pPr>
          </w:p>
        </w:tc>
        <w:tc>
          <w:tcPr>
            <w:tcW w:w="584" w:type="dxa"/>
            <w:vMerge w:val="continue"/>
            <w:tcBorders>
              <w:top w:val="nil"/>
              <w:left w:val="nil"/>
              <w:bottom w:val="nil"/>
            </w:tcBorders>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8"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481"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62" w:type="dxa"/>
            <w:tcBorders>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952" w:type="dxa"/>
            <w:vMerge w:val="continue"/>
            <w:tcBorders>
              <w:top w:val="nil"/>
              <w:left w:val="single" w:color="000000" w:sz="10" w:space="0"/>
              <w:bottom w:val="nil"/>
              <w:right w:val="nil"/>
            </w:tcBorders>
            <w:textDirection w:val="tbRlV"/>
            <w:vAlign w:val="top"/>
          </w:tcPr>
          <w:p>
            <w:pPr>
              <w:rPr>
                <w:rFonts w:ascii="Arial"/>
                <w:color w:val="auto"/>
                <w:sz w:val="21"/>
                <w:highlight w:val="none"/>
              </w:rPr>
            </w:pPr>
          </w:p>
        </w:tc>
        <w:tc>
          <w:tcPr>
            <w:tcW w:w="584" w:type="dxa"/>
            <w:vMerge w:val="continue"/>
            <w:tcBorders>
              <w:top w:val="nil"/>
              <w:left w:val="nil"/>
              <w:bottom w:val="nil"/>
            </w:tcBorders>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8"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481"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62" w:type="dxa"/>
            <w:tcBorders>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952" w:type="dxa"/>
            <w:vMerge w:val="continue"/>
            <w:tcBorders>
              <w:top w:val="nil"/>
              <w:left w:val="single" w:color="000000" w:sz="10" w:space="0"/>
              <w:bottom w:val="nil"/>
              <w:right w:val="nil"/>
            </w:tcBorders>
            <w:textDirection w:val="tbRlV"/>
            <w:vAlign w:val="top"/>
          </w:tcPr>
          <w:p>
            <w:pPr>
              <w:rPr>
                <w:rFonts w:ascii="Arial"/>
                <w:color w:val="auto"/>
                <w:sz w:val="21"/>
                <w:highlight w:val="none"/>
              </w:rPr>
            </w:pPr>
          </w:p>
        </w:tc>
        <w:tc>
          <w:tcPr>
            <w:tcW w:w="584" w:type="dxa"/>
            <w:vMerge w:val="continue"/>
            <w:tcBorders>
              <w:top w:val="nil"/>
              <w:left w:val="nil"/>
              <w:bottom w:val="nil"/>
            </w:tcBorders>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8"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481"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62" w:type="dxa"/>
            <w:tcBorders>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952" w:type="dxa"/>
            <w:vMerge w:val="continue"/>
            <w:tcBorders>
              <w:top w:val="nil"/>
              <w:left w:val="single" w:color="000000" w:sz="10" w:space="0"/>
              <w:bottom w:val="nil"/>
              <w:right w:val="nil"/>
            </w:tcBorders>
            <w:textDirection w:val="tbRlV"/>
            <w:vAlign w:val="top"/>
          </w:tcPr>
          <w:p>
            <w:pPr>
              <w:rPr>
                <w:rFonts w:ascii="Arial"/>
                <w:color w:val="auto"/>
                <w:sz w:val="21"/>
                <w:highlight w:val="none"/>
              </w:rPr>
            </w:pPr>
          </w:p>
        </w:tc>
        <w:tc>
          <w:tcPr>
            <w:tcW w:w="584" w:type="dxa"/>
            <w:vMerge w:val="continue"/>
            <w:tcBorders>
              <w:top w:val="nil"/>
              <w:left w:val="nil"/>
              <w:bottom w:val="nil"/>
            </w:tcBorders>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8"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481"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62" w:type="dxa"/>
            <w:tcBorders>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952" w:type="dxa"/>
            <w:vMerge w:val="continue"/>
            <w:tcBorders>
              <w:top w:val="nil"/>
              <w:left w:val="single" w:color="000000" w:sz="10" w:space="0"/>
              <w:bottom w:val="nil"/>
              <w:right w:val="nil"/>
            </w:tcBorders>
            <w:textDirection w:val="tbRlV"/>
            <w:vAlign w:val="top"/>
          </w:tcPr>
          <w:p>
            <w:pPr>
              <w:rPr>
                <w:rFonts w:ascii="Arial"/>
                <w:color w:val="auto"/>
                <w:sz w:val="21"/>
                <w:highlight w:val="none"/>
              </w:rPr>
            </w:pPr>
          </w:p>
        </w:tc>
        <w:tc>
          <w:tcPr>
            <w:tcW w:w="584" w:type="dxa"/>
            <w:vMerge w:val="continue"/>
            <w:tcBorders>
              <w:top w:val="nil"/>
              <w:left w:val="nil"/>
              <w:bottom w:val="nil"/>
            </w:tcBorders>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8"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481"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62" w:type="dxa"/>
            <w:tcBorders>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952" w:type="dxa"/>
            <w:vMerge w:val="continue"/>
            <w:tcBorders>
              <w:top w:val="nil"/>
              <w:left w:val="single" w:color="000000" w:sz="10" w:space="0"/>
              <w:bottom w:val="nil"/>
              <w:right w:val="nil"/>
            </w:tcBorders>
            <w:textDirection w:val="tbRlV"/>
            <w:vAlign w:val="top"/>
          </w:tcPr>
          <w:p>
            <w:pPr>
              <w:rPr>
                <w:rFonts w:ascii="Arial"/>
                <w:color w:val="auto"/>
                <w:sz w:val="21"/>
                <w:highlight w:val="none"/>
              </w:rPr>
            </w:pPr>
          </w:p>
        </w:tc>
        <w:tc>
          <w:tcPr>
            <w:tcW w:w="584" w:type="dxa"/>
            <w:vMerge w:val="continue"/>
            <w:tcBorders>
              <w:top w:val="nil"/>
              <w:left w:val="nil"/>
              <w:bottom w:val="nil"/>
            </w:tcBorders>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8"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481"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62" w:type="dxa"/>
            <w:tcBorders>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952" w:type="dxa"/>
            <w:vMerge w:val="continue"/>
            <w:tcBorders>
              <w:top w:val="nil"/>
              <w:left w:val="single" w:color="000000" w:sz="10" w:space="0"/>
              <w:bottom w:val="nil"/>
              <w:right w:val="nil"/>
            </w:tcBorders>
            <w:textDirection w:val="tbRlV"/>
            <w:vAlign w:val="top"/>
          </w:tcPr>
          <w:p>
            <w:pPr>
              <w:rPr>
                <w:rFonts w:ascii="Arial"/>
                <w:color w:val="auto"/>
                <w:sz w:val="21"/>
                <w:highlight w:val="none"/>
              </w:rPr>
            </w:pPr>
          </w:p>
        </w:tc>
        <w:tc>
          <w:tcPr>
            <w:tcW w:w="584" w:type="dxa"/>
            <w:vMerge w:val="continue"/>
            <w:tcBorders>
              <w:top w:val="nil"/>
              <w:left w:val="nil"/>
              <w:bottom w:val="nil"/>
            </w:tcBorders>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8"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481"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62" w:type="dxa"/>
            <w:tcBorders>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952" w:type="dxa"/>
            <w:vMerge w:val="continue"/>
            <w:tcBorders>
              <w:top w:val="nil"/>
              <w:left w:val="single" w:color="000000" w:sz="10" w:space="0"/>
              <w:bottom w:val="nil"/>
              <w:right w:val="nil"/>
            </w:tcBorders>
            <w:textDirection w:val="tbRlV"/>
            <w:vAlign w:val="top"/>
          </w:tcPr>
          <w:p>
            <w:pPr>
              <w:rPr>
                <w:rFonts w:ascii="Arial"/>
                <w:color w:val="auto"/>
                <w:sz w:val="21"/>
                <w:highlight w:val="none"/>
              </w:rPr>
            </w:pPr>
          </w:p>
        </w:tc>
        <w:tc>
          <w:tcPr>
            <w:tcW w:w="584" w:type="dxa"/>
            <w:vMerge w:val="continue"/>
            <w:tcBorders>
              <w:top w:val="nil"/>
              <w:left w:val="nil"/>
              <w:bottom w:val="nil"/>
            </w:tcBorders>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8"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481"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62" w:type="dxa"/>
            <w:tcBorders>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952" w:type="dxa"/>
            <w:vMerge w:val="continue"/>
            <w:tcBorders>
              <w:top w:val="nil"/>
              <w:left w:val="single" w:color="000000" w:sz="10" w:space="0"/>
              <w:bottom w:val="nil"/>
              <w:right w:val="nil"/>
            </w:tcBorders>
            <w:textDirection w:val="tbRlV"/>
            <w:vAlign w:val="top"/>
          </w:tcPr>
          <w:p>
            <w:pPr>
              <w:rPr>
                <w:rFonts w:ascii="Arial"/>
                <w:color w:val="auto"/>
                <w:sz w:val="21"/>
                <w:highlight w:val="none"/>
              </w:rPr>
            </w:pPr>
          </w:p>
        </w:tc>
        <w:tc>
          <w:tcPr>
            <w:tcW w:w="584" w:type="dxa"/>
            <w:vMerge w:val="continue"/>
            <w:tcBorders>
              <w:top w:val="nil"/>
              <w:left w:val="nil"/>
              <w:bottom w:val="nil"/>
            </w:tcBorders>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8"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481"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62" w:type="dxa"/>
            <w:tcBorders>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952" w:type="dxa"/>
            <w:vMerge w:val="continue"/>
            <w:tcBorders>
              <w:top w:val="nil"/>
              <w:left w:val="single" w:color="000000" w:sz="10" w:space="0"/>
              <w:bottom w:val="nil"/>
              <w:right w:val="nil"/>
            </w:tcBorders>
            <w:textDirection w:val="tbRlV"/>
            <w:vAlign w:val="top"/>
          </w:tcPr>
          <w:p>
            <w:pPr>
              <w:rPr>
                <w:rFonts w:ascii="Arial"/>
                <w:color w:val="auto"/>
                <w:sz w:val="21"/>
                <w:highlight w:val="none"/>
              </w:rPr>
            </w:pPr>
          </w:p>
        </w:tc>
        <w:tc>
          <w:tcPr>
            <w:tcW w:w="584" w:type="dxa"/>
            <w:vMerge w:val="continue"/>
            <w:tcBorders>
              <w:top w:val="nil"/>
              <w:left w:val="nil"/>
              <w:bottom w:val="nil"/>
            </w:tcBorders>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8"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481"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62" w:type="dxa"/>
            <w:tcBorders>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952" w:type="dxa"/>
            <w:vMerge w:val="continue"/>
            <w:tcBorders>
              <w:top w:val="nil"/>
              <w:left w:val="single" w:color="000000" w:sz="10" w:space="0"/>
              <w:bottom w:val="nil"/>
              <w:right w:val="nil"/>
            </w:tcBorders>
            <w:textDirection w:val="tbRlV"/>
            <w:vAlign w:val="top"/>
          </w:tcPr>
          <w:p>
            <w:pPr>
              <w:rPr>
                <w:rFonts w:ascii="Arial"/>
                <w:color w:val="auto"/>
                <w:sz w:val="21"/>
                <w:highlight w:val="none"/>
              </w:rPr>
            </w:pPr>
          </w:p>
        </w:tc>
        <w:tc>
          <w:tcPr>
            <w:tcW w:w="584" w:type="dxa"/>
            <w:vMerge w:val="continue"/>
            <w:tcBorders>
              <w:top w:val="nil"/>
              <w:left w:val="nil"/>
              <w:bottom w:val="nil"/>
            </w:tcBorders>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8"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481"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62" w:type="dxa"/>
            <w:tcBorders>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952" w:type="dxa"/>
            <w:vMerge w:val="continue"/>
            <w:tcBorders>
              <w:top w:val="nil"/>
              <w:left w:val="single" w:color="000000" w:sz="10" w:space="0"/>
              <w:bottom w:val="nil"/>
              <w:right w:val="nil"/>
            </w:tcBorders>
            <w:textDirection w:val="tbRlV"/>
            <w:vAlign w:val="top"/>
          </w:tcPr>
          <w:p>
            <w:pPr>
              <w:rPr>
                <w:rFonts w:ascii="Arial"/>
                <w:color w:val="auto"/>
                <w:sz w:val="21"/>
                <w:highlight w:val="none"/>
              </w:rPr>
            </w:pPr>
          </w:p>
        </w:tc>
        <w:tc>
          <w:tcPr>
            <w:tcW w:w="584" w:type="dxa"/>
            <w:vMerge w:val="continue"/>
            <w:tcBorders>
              <w:top w:val="nil"/>
              <w:left w:val="nil"/>
              <w:bottom w:val="nil"/>
            </w:tcBorders>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8"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481"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62" w:type="dxa"/>
            <w:tcBorders>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952" w:type="dxa"/>
            <w:vMerge w:val="continue"/>
            <w:tcBorders>
              <w:top w:val="nil"/>
              <w:left w:val="single" w:color="000000" w:sz="10" w:space="0"/>
              <w:bottom w:val="nil"/>
              <w:right w:val="nil"/>
            </w:tcBorders>
            <w:textDirection w:val="tbRlV"/>
            <w:vAlign w:val="top"/>
          </w:tcPr>
          <w:p>
            <w:pPr>
              <w:rPr>
                <w:rFonts w:ascii="Arial"/>
                <w:color w:val="auto"/>
                <w:sz w:val="21"/>
                <w:highlight w:val="none"/>
              </w:rPr>
            </w:pPr>
          </w:p>
        </w:tc>
        <w:tc>
          <w:tcPr>
            <w:tcW w:w="584" w:type="dxa"/>
            <w:vMerge w:val="continue"/>
            <w:tcBorders>
              <w:top w:val="nil"/>
              <w:left w:val="nil"/>
              <w:bottom w:val="nil"/>
            </w:tcBorders>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8"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481"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62" w:type="dxa"/>
            <w:tcBorders>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952" w:type="dxa"/>
            <w:vMerge w:val="continue"/>
            <w:tcBorders>
              <w:top w:val="nil"/>
              <w:left w:val="single" w:color="000000" w:sz="10" w:space="0"/>
              <w:bottom w:val="nil"/>
              <w:right w:val="nil"/>
            </w:tcBorders>
            <w:textDirection w:val="tbRlV"/>
            <w:vAlign w:val="top"/>
          </w:tcPr>
          <w:p>
            <w:pPr>
              <w:rPr>
                <w:rFonts w:ascii="Arial"/>
                <w:color w:val="auto"/>
                <w:sz w:val="21"/>
                <w:highlight w:val="none"/>
              </w:rPr>
            </w:pPr>
          </w:p>
        </w:tc>
        <w:tc>
          <w:tcPr>
            <w:tcW w:w="584" w:type="dxa"/>
            <w:vMerge w:val="continue"/>
            <w:tcBorders>
              <w:top w:val="nil"/>
              <w:left w:val="nil"/>
              <w:bottom w:val="nil"/>
            </w:tcBorders>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8"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481"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62" w:type="dxa"/>
            <w:tcBorders>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952" w:type="dxa"/>
            <w:vMerge w:val="continue"/>
            <w:tcBorders>
              <w:top w:val="nil"/>
              <w:left w:val="single" w:color="000000" w:sz="10" w:space="0"/>
              <w:bottom w:val="nil"/>
              <w:right w:val="nil"/>
            </w:tcBorders>
            <w:textDirection w:val="tbRlV"/>
            <w:vAlign w:val="top"/>
          </w:tcPr>
          <w:p>
            <w:pPr>
              <w:rPr>
                <w:rFonts w:ascii="Arial"/>
                <w:color w:val="auto"/>
                <w:sz w:val="21"/>
                <w:highlight w:val="none"/>
              </w:rPr>
            </w:pPr>
          </w:p>
        </w:tc>
        <w:tc>
          <w:tcPr>
            <w:tcW w:w="584" w:type="dxa"/>
            <w:vMerge w:val="continue"/>
            <w:tcBorders>
              <w:top w:val="nil"/>
              <w:left w:val="nil"/>
              <w:bottom w:val="nil"/>
            </w:tcBorders>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8"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481"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62" w:type="dxa"/>
            <w:tcBorders>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952" w:type="dxa"/>
            <w:vMerge w:val="continue"/>
            <w:tcBorders>
              <w:top w:val="nil"/>
              <w:left w:val="single" w:color="000000" w:sz="10" w:space="0"/>
              <w:right w:val="nil"/>
            </w:tcBorders>
            <w:textDirection w:val="tbRlV"/>
            <w:vAlign w:val="top"/>
          </w:tcPr>
          <w:p>
            <w:pPr>
              <w:rPr>
                <w:rFonts w:ascii="Arial"/>
                <w:color w:val="auto"/>
                <w:sz w:val="21"/>
                <w:highlight w:val="none"/>
              </w:rPr>
            </w:pPr>
          </w:p>
        </w:tc>
        <w:tc>
          <w:tcPr>
            <w:tcW w:w="584" w:type="dxa"/>
            <w:vMerge w:val="continue"/>
            <w:tcBorders>
              <w:top w:val="nil"/>
              <w:left w:val="nil"/>
            </w:tcBorders>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1"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8"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481"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48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4"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6"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73" w:type="dxa"/>
            <w:vAlign w:val="top"/>
          </w:tcPr>
          <w:p>
            <w:pPr>
              <w:rPr>
                <w:rFonts w:ascii="Arial"/>
                <w:color w:val="auto"/>
                <w:sz w:val="21"/>
                <w:highlight w:val="none"/>
              </w:rPr>
            </w:pPr>
          </w:p>
        </w:tc>
        <w:tc>
          <w:tcPr>
            <w:tcW w:w="362" w:type="dxa"/>
            <w:tcBorders>
              <w:right w:val="single" w:color="000000" w:sz="10" w:space="0"/>
            </w:tcBorders>
            <w:vAlign w:val="top"/>
          </w:tcPr>
          <w:p>
            <w:pPr>
              <w:rPr>
                <w:rFonts w:ascii="Arial"/>
                <w:color w:val="auto"/>
                <w:sz w:val="21"/>
                <w:highlight w:val="none"/>
              </w:rPr>
            </w:pPr>
          </w:p>
        </w:tc>
      </w:tr>
    </w:tbl>
    <w:p>
      <w:pPr>
        <w:spacing w:before="50" w:line="193" w:lineRule="auto"/>
        <w:ind w:right="80"/>
        <w:jc w:val="right"/>
        <w:rPr>
          <w:rFonts w:ascii="Times New Roman" w:hAnsi="Times New Roman" w:eastAsia="Times New Roman" w:cs="Times New Roman"/>
          <w:color w:val="auto"/>
          <w:spacing w:val="2"/>
          <w:sz w:val="19"/>
          <w:szCs w:val="19"/>
          <w:highlight w:val="none"/>
        </w:rPr>
      </w:pPr>
      <w:r>
        <w:rPr>
          <w:rFonts w:hint="eastAsia" w:ascii="Times New Roman" w:hAnsi="Times New Roman" w:eastAsia="宋体" w:cs="Times New Roman"/>
          <w:color w:val="auto"/>
          <w:spacing w:val="4"/>
          <w:sz w:val="19"/>
          <w:szCs w:val="19"/>
          <w:highlight w:val="none"/>
          <w:lang w:val="en-US" w:eastAsia="zh-CN"/>
        </w:rPr>
        <w:t xml:space="preserve">    </w:t>
      </w:r>
      <w:r>
        <w:rPr>
          <w:rFonts w:ascii="Times New Roman" w:hAnsi="Times New Roman" w:eastAsia="Times New Roman" w:cs="Times New Roman"/>
          <w:color w:val="auto"/>
          <w:spacing w:val="4"/>
          <w:sz w:val="19"/>
          <w:szCs w:val="19"/>
          <w:highlight w:val="none"/>
        </w:rPr>
        <w:t xml:space="preserve">  0           10            20     </w:t>
      </w:r>
      <w:r>
        <w:rPr>
          <w:rFonts w:ascii="Times New Roman" w:hAnsi="Times New Roman" w:eastAsia="Times New Roman" w:cs="Times New Roman"/>
          <w:color w:val="auto"/>
          <w:spacing w:val="2"/>
          <w:sz w:val="19"/>
          <w:szCs w:val="19"/>
          <w:highlight w:val="none"/>
        </w:rPr>
        <w:t xml:space="preserve">       30          40            50              60            70            80            90      100</w:t>
      </w:r>
    </w:p>
    <w:p>
      <w:pPr>
        <w:spacing w:before="50" w:line="193" w:lineRule="auto"/>
        <w:ind w:right="80"/>
        <w:jc w:val="right"/>
        <w:rPr>
          <w:rFonts w:ascii="Times New Roman" w:hAnsi="Times New Roman" w:eastAsia="Times New Roman" w:cs="Times New Roman"/>
          <w:color w:val="auto"/>
          <w:spacing w:val="2"/>
          <w:sz w:val="19"/>
          <w:szCs w:val="19"/>
          <w:highlight w:val="none"/>
        </w:rPr>
      </w:pPr>
    </w:p>
    <w:p>
      <w:pPr>
        <w:spacing w:before="50" w:line="193" w:lineRule="auto"/>
        <w:ind w:right="80"/>
        <w:jc w:val="center"/>
        <w:outlineLvl w:val="1"/>
        <w:rPr>
          <w:rFonts w:ascii="宋体" w:hAnsi="宋体" w:eastAsia="宋体" w:cs="宋体"/>
          <w:color w:val="auto"/>
          <w:sz w:val="21"/>
          <w:szCs w:val="21"/>
          <w:highlight w:val="none"/>
        </w:rPr>
      </w:pPr>
      <w:bookmarkStart w:id="746" w:name="_Toc8464"/>
      <w:bookmarkStart w:id="747" w:name="_Toc18958"/>
      <w:r>
        <w:rPr>
          <w:rFonts w:ascii="宋体" w:hAnsi="宋体" w:eastAsia="宋体" w:cs="宋体"/>
          <w:color w:val="auto"/>
          <w:spacing w:val="8"/>
          <w:position w:val="1"/>
          <w:sz w:val="21"/>
          <w:szCs w:val="21"/>
          <w:highlight w:val="none"/>
        </w:rPr>
        <w:t>工</w:t>
      </w:r>
      <w:r>
        <w:rPr>
          <w:rFonts w:ascii="宋体" w:hAnsi="宋体" w:eastAsia="宋体" w:cs="宋体"/>
          <w:color w:val="auto"/>
          <w:spacing w:val="7"/>
          <w:position w:val="1"/>
          <w:sz w:val="21"/>
          <w:szCs w:val="21"/>
          <w:highlight w:val="none"/>
        </w:rPr>
        <w:t>期历程的百分比 (</w:t>
      </w:r>
      <w:r>
        <w:rPr>
          <w:rFonts w:ascii="Times New Roman" w:hAnsi="Times New Roman" w:eastAsia="Times New Roman" w:cs="Times New Roman"/>
          <w:color w:val="auto"/>
          <w:spacing w:val="7"/>
          <w:position w:val="1"/>
          <w:sz w:val="21"/>
          <w:szCs w:val="21"/>
          <w:highlight w:val="none"/>
        </w:rPr>
        <w:t>%</w:t>
      </w:r>
      <w:r>
        <w:rPr>
          <w:rFonts w:ascii="宋体" w:hAnsi="宋体" w:eastAsia="宋体" w:cs="宋体"/>
          <w:color w:val="auto"/>
          <w:spacing w:val="7"/>
          <w:position w:val="1"/>
          <w:sz w:val="21"/>
          <w:szCs w:val="21"/>
          <w:highlight w:val="none"/>
        </w:rPr>
        <w:t>)</w:t>
      </w:r>
      <w:bookmarkEnd w:id="746"/>
      <w:bookmarkEnd w:id="747"/>
    </w:p>
    <w:p>
      <w:pPr>
        <w:rPr>
          <w:color w:val="auto"/>
          <w:highlight w:val="none"/>
        </w:rPr>
        <w:sectPr>
          <w:pgSz w:w="11900" w:h="16840"/>
          <w:pgMar w:top="1160" w:right="1354" w:bottom="1448" w:left="1132" w:header="883" w:footer="1234" w:gutter="0"/>
          <w:pgNumType w:fmt="decimal"/>
          <w:cols w:space="720" w:num="1"/>
        </w:sectPr>
      </w:pPr>
    </w:p>
    <w:p>
      <w:pPr>
        <w:spacing w:before="117" w:line="222" w:lineRule="auto"/>
        <w:jc w:val="left"/>
        <w:outlineLvl w:val="2"/>
        <w:rPr>
          <w:rFonts w:hint="eastAsia" w:ascii="宋体" w:hAnsi="宋体" w:eastAsia="宋体" w:cs="宋体"/>
          <w:b/>
          <w:bCs/>
          <w:color w:val="auto"/>
          <w:spacing w:val="-3"/>
          <w:sz w:val="24"/>
          <w:szCs w:val="24"/>
          <w:highlight w:val="none"/>
        </w:rPr>
      </w:pPr>
      <w:bookmarkStart w:id="748" w:name="_Toc10692"/>
      <w:r>
        <w:rPr>
          <w:rFonts w:hint="eastAsia" w:ascii="宋体" w:hAnsi="宋体" w:eastAsia="宋体" w:cs="宋体"/>
          <w:b/>
          <w:bCs/>
          <w:color w:val="auto"/>
          <w:spacing w:val="-3"/>
          <w:sz w:val="24"/>
          <w:szCs w:val="24"/>
          <w:highlight w:val="none"/>
        </w:rPr>
        <mc:AlternateContent>
          <mc:Choice Requires="wps">
            <w:drawing>
              <wp:anchor distT="0" distB="0" distL="0" distR="0" simplePos="0" relativeHeight="251666432" behindDoc="0" locked="0" layoutInCell="0" allowOverlap="1">
                <wp:simplePos x="0" y="0"/>
                <wp:positionH relativeFrom="page">
                  <wp:posOffset>-442595</wp:posOffset>
                </wp:positionH>
                <wp:positionV relativeFrom="page">
                  <wp:posOffset>7759700</wp:posOffset>
                </wp:positionV>
                <wp:extent cx="2942590" cy="271145"/>
                <wp:effectExtent l="1336040" t="0" r="0" b="0"/>
                <wp:wrapNone/>
                <wp:docPr id="249" name="TextBox 208"/>
                <wp:cNvGraphicFramePr/>
                <a:graphic xmlns:a="http://schemas.openxmlformats.org/drawingml/2006/main">
                  <a:graphicData uri="http://schemas.microsoft.com/office/word/2010/wordprocessingShape">
                    <wps:wsp>
                      <wps:cNvSpPr txBox="1"/>
                      <wps:spPr>
                        <a:xfrm rot="16200000">
                          <a:off x="-442660" y="7759920"/>
                          <a:ext cx="2942589" cy="2711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20" w:line="221" w:lineRule="auto"/>
                              <w:ind w:left="20"/>
                              <w:rPr>
                                <w:rFonts w:ascii="黑体" w:hAnsi="黑体" w:eastAsia="黑体" w:cs="黑体"/>
                                <w:sz w:val="28"/>
                                <w:szCs w:val="28"/>
                              </w:rPr>
                            </w:pPr>
                            <w:r>
                              <w:rPr>
                                <w:rFonts w:ascii="黑体" w:hAnsi="黑体" w:eastAsia="黑体" w:cs="黑体"/>
                                <w:spacing w:val="-2"/>
                                <w:sz w:val="28"/>
                                <w:szCs w:val="28"/>
                              </w:rPr>
                              <w:t>附表四 分项工程生</w:t>
                            </w:r>
                            <w:r>
                              <w:rPr>
                                <w:rFonts w:ascii="黑体" w:hAnsi="黑体" w:eastAsia="黑体" w:cs="黑体"/>
                                <w:spacing w:val="-1"/>
                                <w:sz w:val="28"/>
                                <w:szCs w:val="28"/>
                              </w:rPr>
                              <w:t>产率和施工周期表</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08" o:spid="_x0000_s1026" o:spt="202" type="#_x0000_t202" style="position:absolute;left:0pt;margin-left:-34.85pt;margin-top:611pt;height:21.35pt;width:231.7pt;mso-position-horizontal-relative:page;mso-position-vertical-relative:page;rotation:-5898240f;z-index:251666432;mso-width-relative:page;mso-height-relative:page;" filled="f" stroked="f" coordsize="21600,21600" o:allowincell="f" o:gfxdata="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HL6mf/bAAAADQEAAA8AAAAAAAAAAQAgAAAAIgAAAGRycy9kb3du&#10;cmV2LnhtbFBLAQIUABQAAAAIAIdO4kCSCYHVNQIAAHAEAAAOAAAAAAAAAAEAIAAAACoBAABkcnMv&#10;ZTJvRG9jLnhtbFBLBQYAAAAABgAGAFkBAADRBQAAAAA=&#10;">
                <v:fill on="f" focussize="0,0"/>
                <v:stroke on="f" weight="0pt"/>
                <v:imagedata o:title=""/>
                <o:lock v:ext="edit" aspectratio="f"/>
                <v:textbox inset="0mm,0mm,0mm,0mm">
                  <w:txbxContent>
                    <w:p>
                      <w:pPr>
                        <w:spacing w:before="20" w:line="221" w:lineRule="auto"/>
                        <w:ind w:left="20"/>
                        <w:rPr>
                          <w:rFonts w:ascii="黑体" w:hAnsi="黑体" w:eastAsia="黑体" w:cs="黑体"/>
                          <w:sz w:val="28"/>
                          <w:szCs w:val="28"/>
                        </w:rPr>
                      </w:pPr>
                      <w:r>
                        <w:rPr>
                          <w:rFonts w:ascii="黑体" w:hAnsi="黑体" w:eastAsia="黑体" w:cs="黑体"/>
                          <w:spacing w:val="-2"/>
                          <w:sz w:val="28"/>
                          <w:szCs w:val="28"/>
                        </w:rPr>
                        <w:t>附表四 分项工程生</w:t>
                      </w:r>
                      <w:r>
                        <w:rPr>
                          <w:rFonts w:ascii="黑体" w:hAnsi="黑体" w:eastAsia="黑体" w:cs="黑体"/>
                          <w:spacing w:val="-1"/>
                          <w:sz w:val="28"/>
                          <w:szCs w:val="28"/>
                        </w:rPr>
                        <w:t>产率和施工周期表</w:t>
                      </w:r>
                    </w:p>
                  </w:txbxContent>
                </v:textbox>
              </v:shape>
            </w:pict>
          </mc:Fallback>
        </mc:AlternateContent>
      </w:r>
      <w:r>
        <w:rPr>
          <w:rFonts w:hint="eastAsia" w:ascii="宋体" w:hAnsi="宋体" w:eastAsia="宋体" w:cs="宋体"/>
          <w:b/>
          <w:bCs/>
          <w:color w:val="auto"/>
          <w:spacing w:val="-3"/>
          <w:sz w:val="24"/>
          <w:szCs w:val="24"/>
          <w:highlight w:val="none"/>
        </w:rPr>
        <w:t>附表四  分项工程生产率和施工周期表</w:t>
      </w:r>
      <w:bookmarkEnd w:id="748"/>
    </w:p>
    <w:p>
      <w:pPr>
        <w:spacing w:line="148" w:lineRule="exact"/>
        <w:rPr>
          <w:color w:val="auto"/>
          <w:highlight w:val="none"/>
        </w:rPr>
      </w:pPr>
    </w:p>
    <w:tbl>
      <w:tblPr>
        <w:tblStyle w:val="26"/>
        <w:tblW w:w="8193" w:type="dxa"/>
        <w:tblInd w:w="6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783"/>
        <w:gridCol w:w="735"/>
        <w:gridCol w:w="743"/>
        <w:gridCol w:w="735"/>
        <w:gridCol w:w="735"/>
        <w:gridCol w:w="733"/>
        <w:gridCol w:w="735"/>
        <w:gridCol w:w="732"/>
        <w:gridCol w:w="735"/>
        <w:gridCol w:w="74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79" w:type="dxa"/>
            <w:tcBorders>
              <w:left w:val="single" w:color="000000" w:sz="10" w:space="0"/>
              <w:right w:val="single" w:color="000000" w:sz="4" w:space="0"/>
            </w:tcBorders>
            <w:textDirection w:val="btLr"/>
            <w:vAlign w:val="top"/>
          </w:tcPr>
          <w:p>
            <w:pPr>
              <w:spacing w:line="228" w:lineRule="auto"/>
              <w:ind w:left="184"/>
              <w:rPr>
                <w:rFonts w:hint="eastAsia" w:ascii="宋体" w:hAnsi="宋体" w:eastAsia="宋体" w:cs="宋体"/>
                <w:color w:val="auto"/>
                <w:spacing w:val="-13"/>
                <w:sz w:val="20"/>
                <w:szCs w:val="20"/>
                <w:highlight w:val="none"/>
                <w:lang w:val="en-US" w:eastAsia="zh-CN"/>
              </w:rPr>
            </w:pPr>
            <w:r>
              <w:rPr>
                <w:rFonts w:ascii="宋体" w:hAnsi="宋体" w:eastAsia="宋体" w:cs="宋体"/>
                <w:color w:val="auto"/>
                <w:spacing w:val="-13"/>
                <w:sz w:val="20"/>
                <w:szCs w:val="20"/>
                <w:highlight w:val="none"/>
              </w:rPr>
              <w:t>生</w:t>
            </w:r>
            <w:r>
              <w:rPr>
                <w:rFonts w:hint="eastAsia" w:ascii="宋体" w:hAnsi="宋体" w:eastAsia="宋体" w:cs="宋体"/>
                <w:color w:val="auto"/>
                <w:spacing w:val="-13"/>
                <w:sz w:val="20"/>
                <w:szCs w:val="20"/>
                <w:highlight w:val="none"/>
                <w:lang w:val="en-US" w:eastAsia="zh-CN"/>
              </w:rPr>
              <w:t>产单位总算</w:t>
            </w:r>
          </w:p>
          <w:p>
            <w:pPr>
              <w:spacing w:line="228" w:lineRule="auto"/>
              <w:ind w:left="184"/>
              <w:rPr>
                <w:rFonts w:ascii="宋体" w:hAnsi="宋体" w:eastAsia="宋体" w:cs="宋体"/>
                <w:color w:val="auto"/>
                <w:sz w:val="20"/>
                <w:szCs w:val="20"/>
                <w:highlight w:val="none"/>
              </w:rPr>
            </w:pPr>
            <w:r>
              <w:rPr>
                <w:rFonts w:ascii="宋体" w:hAnsi="宋体" w:eastAsia="宋体" w:cs="宋体"/>
                <w:color w:val="auto"/>
                <w:spacing w:val="-11"/>
                <w:sz w:val="20"/>
                <w:szCs w:val="20"/>
                <w:highlight w:val="none"/>
              </w:rPr>
              <w:t>(个)</w:t>
            </w:r>
          </w:p>
        </w:tc>
        <w:tc>
          <w:tcPr>
            <w:tcW w:w="783"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43"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33"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32"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48"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3" w:hRule="atLeast"/>
        </w:trPr>
        <w:tc>
          <w:tcPr>
            <w:tcW w:w="779" w:type="dxa"/>
            <w:tcBorders>
              <w:left w:val="single" w:color="000000" w:sz="10" w:space="0"/>
              <w:right w:val="single" w:color="000000" w:sz="4" w:space="0"/>
            </w:tcBorders>
            <w:textDirection w:val="btLr"/>
            <w:vAlign w:val="top"/>
          </w:tcPr>
          <w:p>
            <w:pPr>
              <w:spacing w:line="228" w:lineRule="auto"/>
              <w:ind w:left="184"/>
              <w:rPr>
                <w:rFonts w:ascii="宋体" w:hAnsi="宋体" w:eastAsia="宋体" w:cs="宋体"/>
                <w:color w:val="auto"/>
                <w:sz w:val="20"/>
                <w:szCs w:val="20"/>
                <w:highlight w:val="none"/>
              </w:rPr>
            </w:pPr>
            <w:r>
              <w:rPr>
                <w:rFonts w:ascii="宋体" w:hAnsi="宋体" w:eastAsia="宋体" w:cs="宋体"/>
                <w:color w:val="auto"/>
                <w:spacing w:val="-13"/>
                <w:sz w:val="20"/>
                <w:szCs w:val="20"/>
                <w:highlight w:val="none"/>
              </w:rPr>
              <w:t>每</w:t>
            </w:r>
            <w:r>
              <w:rPr>
                <w:rFonts w:ascii="宋体" w:hAnsi="宋体" w:eastAsia="宋体" w:cs="宋体"/>
                <w:color w:val="auto"/>
                <w:spacing w:val="-11"/>
                <w:sz w:val="20"/>
                <w:szCs w:val="20"/>
                <w:highlight w:val="none"/>
              </w:rPr>
              <w:t>生产单位平均</w:t>
            </w:r>
            <w:r>
              <w:rPr>
                <w:rFonts w:ascii="宋体" w:hAnsi="宋体" w:eastAsia="宋体" w:cs="宋体"/>
                <w:color w:val="auto"/>
                <w:spacing w:val="-17"/>
                <w:sz w:val="20"/>
                <w:szCs w:val="20"/>
                <w:highlight w:val="none"/>
              </w:rPr>
              <w:t>施</w:t>
            </w:r>
            <w:r>
              <w:rPr>
                <w:rFonts w:ascii="宋体" w:hAnsi="宋体" w:eastAsia="宋体" w:cs="宋体"/>
                <w:color w:val="auto"/>
                <w:spacing w:val="-16"/>
                <w:sz w:val="20"/>
                <w:szCs w:val="20"/>
                <w:highlight w:val="none"/>
              </w:rPr>
              <w:t xml:space="preserve"> </w:t>
            </w:r>
            <w:r>
              <w:rPr>
                <w:rFonts w:hint="eastAsia" w:ascii="宋体" w:hAnsi="宋体" w:eastAsia="宋体" w:cs="宋体"/>
                <w:color w:val="auto"/>
                <w:spacing w:val="-16"/>
                <w:sz w:val="20"/>
                <w:szCs w:val="20"/>
                <w:highlight w:val="none"/>
                <w:lang w:val="en-US" w:eastAsia="zh-CN"/>
              </w:rPr>
              <w:t>工时间</w:t>
            </w:r>
            <w:r>
              <w:rPr>
                <w:rFonts w:ascii="宋体" w:hAnsi="宋体" w:eastAsia="宋体" w:cs="宋体"/>
                <w:color w:val="auto"/>
                <w:spacing w:val="-16"/>
                <w:sz w:val="20"/>
                <w:szCs w:val="20"/>
                <w:highlight w:val="none"/>
              </w:rPr>
              <w:t xml:space="preserve"> (周)</w:t>
            </w:r>
          </w:p>
        </w:tc>
        <w:tc>
          <w:tcPr>
            <w:tcW w:w="783"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43"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33"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32"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48"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33" w:hRule="atLeast"/>
        </w:trPr>
        <w:tc>
          <w:tcPr>
            <w:tcW w:w="779" w:type="dxa"/>
            <w:tcBorders>
              <w:left w:val="single" w:color="000000" w:sz="10" w:space="0"/>
              <w:right w:val="single" w:color="000000" w:sz="4" w:space="0"/>
            </w:tcBorders>
            <w:textDirection w:val="btLr"/>
            <w:vAlign w:val="top"/>
          </w:tcPr>
          <w:p>
            <w:pPr>
              <w:spacing w:line="228" w:lineRule="auto"/>
              <w:ind w:left="402"/>
              <w:rPr>
                <w:rFonts w:ascii="宋体" w:hAnsi="宋体" w:eastAsia="宋体" w:cs="宋体"/>
                <w:color w:val="auto"/>
                <w:sz w:val="20"/>
                <w:szCs w:val="20"/>
                <w:highlight w:val="none"/>
              </w:rPr>
            </w:pPr>
            <w:r>
              <w:rPr>
                <w:rFonts w:ascii="宋体" w:hAnsi="宋体" w:eastAsia="宋体" w:cs="宋体"/>
                <w:color w:val="auto"/>
                <w:spacing w:val="-17"/>
                <w:sz w:val="20"/>
                <w:szCs w:val="20"/>
                <w:highlight w:val="none"/>
              </w:rPr>
              <w:t>平</w:t>
            </w:r>
            <w:r>
              <w:rPr>
                <w:rFonts w:ascii="宋体" w:hAnsi="宋体" w:eastAsia="宋体" w:cs="宋体"/>
                <w:color w:val="auto"/>
                <w:spacing w:val="-10"/>
                <w:sz w:val="20"/>
                <w:szCs w:val="20"/>
                <w:highlight w:val="none"/>
              </w:rPr>
              <w:t>均每单位生产率</w:t>
            </w:r>
            <w:r>
              <w:rPr>
                <w:rFonts w:ascii="宋体" w:hAnsi="宋体" w:eastAsia="宋体" w:cs="宋体"/>
                <w:color w:val="auto"/>
                <w:spacing w:val="-12"/>
                <w:sz w:val="20"/>
                <w:szCs w:val="20"/>
                <w:highlight w:val="none"/>
              </w:rPr>
              <w:t>(</w:t>
            </w:r>
            <w:r>
              <w:rPr>
                <w:rFonts w:ascii="宋体" w:hAnsi="宋体" w:eastAsia="宋体" w:cs="宋体"/>
                <w:color w:val="auto"/>
                <w:spacing w:val="-9"/>
                <w:sz w:val="20"/>
                <w:szCs w:val="20"/>
                <w:highlight w:val="none"/>
              </w:rPr>
              <w:t xml:space="preserve"> 数量、每周)</w:t>
            </w:r>
          </w:p>
        </w:tc>
        <w:tc>
          <w:tcPr>
            <w:tcW w:w="783"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43"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33"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32"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48"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8" w:hRule="atLeast"/>
        </w:trPr>
        <w:tc>
          <w:tcPr>
            <w:tcW w:w="779" w:type="dxa"/>
            <w:tcBorders>
              <w:left w:val="single" w:color="000000" w:sz="10" w:space="0"/>
              <w:right w:val="single" w:color="000000" w:sz="4" w:space="0"/>
            </w:tcBorders>
            <w:textDirection w:val="btLr"/>
            <w:vAlign w:val="top"/>
          </w:tcPr>
          <w:p>
            <w:pPr>
              <w:spacing w:line="227" w:lineRule="auto"/>
              <w:ind w:left="203"/>
              <w:rPr>
                <w:rFonts w:ascii="宋体" w:hAnsi="宋体" w:eastAsia="宋体" w:cs="宋体"/>
                <w:color w:val="auto"/>
                <w:sz w:val="20"/>
                <w:szCs w:val="20"/>
                <w:highlight w:val="none"/>
              </w:rPr>
            </w:pPr>
            <w:r>
              <w:rPr>
                <w:rFonts w:ascii="宋体" w:hAnsi="宋体" w:eastAsia="宋体" w:cs="宋体"/>
                <w:color w:val="auto"/>
                <w:spacing w:val="-12"/>
                <w:sz w:val="20"/>
                <w:szCs w:val="20"/>
                <w:highlight w:val="none"/>
              </w:rPr>
              <w:t>平</w:t>
            </w:r>
            <w:r>
              <w:rPr>
                <w:rFonts w:ascii="宋体" w:hAnsi="宋体" w:eastAsia="宋体" w:cs="宋体"/>
                <w:color w:val="auto"/>
                <w:spacing w:val="-9"/>
                <w:sz w:val="20"/>
                <w:szCs w:val="20"/>
                <w:highlight w:val="none"/>
              </w:rPr>
              <w:t>均每生产单位规模 (</w:t>
            </w:r>
            <w:r>
              <w:rPr>
                <w:rFonts w:ascii="Times New Roman" w:hAnsi="Times New Roman" w:eastAsia="Times New Roman" w:cs="Times New Roman"/>
                <w:color w:val="auto"/>
                <w:spacing w:val="-9"/>
                <w:sz w:val="20"/>
                <w:szCs w:val="20"/>
                <w:highlight w:val="none"/>
              </w:rPr>
              <w:t>____</w:t>
            </w:r>
            <w:r>
              <w:rPr>
                <w:rFonts w:ascii="宋体" w:hAnsi="宋体" w:eastAsia="宋体" w:cs="宋体"/>
                <w:color w:val="auto"/>
                <w:spacing w:val="-11"/>
                <w:sz w:val="20"/>
                <w:szCs w:val="20"/>
                <w:highlight w:val="none"/>
              </w:rPr>
              <w:t>人</w:t>
            </w:r>
            <w:r>
              <w:rPr>
                <w:rFonts w:ascii="宋体" w:hAnsi="宋体" w:eastAsia="宋体" w:cs="宋体"/>
                <w:color w:val="auto"/>
                <w:spacing w:val="-10"/>
                <w:sz w:val="20"/>
                <w:szCs w:val="20"/>
                <w:highlight w:val="none"/>
              </w:rPr>
              <w:t>，各种机械</w:t>
            </w:r>
            <w:r>
              <w:rPr>
                <w:rFonts w:ascii="Times New Roman" w:hAnsi="Times New Roman" w:eastAsia="Times New Roman" w:cs="Times New Roman"/>
                <w:color w:val="auto"/>
                <w:spacing w:val="-10"/>
                <w:sz w:val="20"/>
                <w:szCs w:val="20"/>
                <w:highlight w:val="none"/>
              </w:rPr>
              <w:t xml:space="preserve">____ </w:t>
            </w:r>
            <w:r>
              <w:rPr>
                <w:rFonts w:ascii="宋体" w:hAnsi="宋体" w:eastAsia="宋体" w:cs="宋体"/>
                <w:color w:val="auto"/>
                <w:spacing w:val="-10"/>
                <w:sz w:val="20"/>
                <w:szCs w:val="20"/>
                <w:highlight w:val="none"/>
              </w:rPr>
              <w:t>台)</w:t>
            </w:r>
          </w:p>
        </w:tc>
        <w:tc>
          <w:tcPr>
            <w:tcW w:w="783"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43"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33"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32"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48"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trPr>
        <w:tc>
          <w:tcPr>
            <w:tcW w:w="779" w:type="dxa"/>
            <w:tcBorders>
              <w:left w:val="single" w:color="000000" w:sz="10" w:space="0"/>
              <w:right w:val="single" w:color="000000" w:sz="4" w:space="0"/>
            </w:tcBorders>
            <w:textDirection w:val="btLr"/>
            <w:vAlign w:val="top"/>
          </w:tcPr>
          <w:p>
            <w:pPr>
              <w:spacing w:before="211" w:line="228" w:lineRule="auto"/>
              <w:ind w:left="241"/>
              <w:rPr>
                <w:rFonts w:ascii="宋体" w:hAnsi="宋体" w:eastAsia="宋体" w:cs="宋体"/>
                <w:color w:val="auto"/>
                <w:sz w:val="20"/>
                <w:szCs w:val="20"/>
                <w:highlight w:val="none"/>
              </w:rPr>
            </w:pPr>
            <w:r>
              <w:rPr>
                <w:rFonts w:ascii="宋体" w:hAnsi="宋体" w:eastAsia="宋体" w:cs="宋体"/>
                <w:color w:val="auto"/>
                <w:spacing w:val="-12"/>
                <w:sz w:val="20"/>
                <w:szCs w:val="20"/>
                <w:highlight w:val="none"/>
              </w:rPr>
              <w:t>数量</w:t>
            </w:r>
          </w:p>
        </w:tc>
        <w:tc>
          <w:tcPr>
            <w:tcW w:w="783"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43"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33"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32"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48"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7" w:hRule="atLeast"/>
        </w:trPr>
        <w:tc>
          <w:tcPr>
            <w:tcW w:w="779" w:type="dxa"/>
            <w:tcBorders>
              <w:left w:val="single" w:color="000000" w:sz="10" w:space="0"/>
              <w:right w:val="single" w:color="000000" w:sz="4" w:space="0"/>
            </w:tcBorders>
            <w:textDirection w:val="btLr"/>
            <w:vAlign w:val="top"/>
          </w:tcPr>
          <w:p>
            <w:pPr>
              <w:spacing w:before="211" w:line="229" w:lineRule="auto"/>
              <w:ind w:left="267"/>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单</w:t>
            </w:r>
            <w:r>
              <w:rPr>
                <w:rFonts w:ascii="宋体" w:hAnsi="宋体" w:eastAsia="宋体" w:cs="宋体"/>
                <w:color w:val="auto"/>
                <w:spacing w:val="-8"/>
                <w:sz w:val="20"/>
                <w:szCs w:val="20"/>
                <w:highlight w:val="none"/>
              </w:rPr>
              <w:t>位</w:t>
            </w:r>
          </w:p>
        </w:tc>
        <w:tc>
          <w:tcPr>
            <w:tcW w:w="783"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43"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33"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32" w:type="dxa"/>
            <w:tcBorders>
              <w:left w:val="single" w:color="000000" w:sz="4" w:space="0"/>
              <w:right w:val="single" w:color="000000" w:sz="4" w:space="0"/>
            </w:tcBorders>
            <w:vAlign w:val="top"/>
          </w:tcPr>
          <w:p>
            <w:pPr>
              <w:rPr>
                <w:rFonts w:ascii="Arial"/>
                <w:color w:val="auto"/>
                <w:sz w:val="21"/>
                <w:highlight w:val="none"/>
              </w:rPr>
            </w:pPr>
          </w:p>
        </w:tc>
        <w:tc>
          <w:tcPr>
            <w:tcW w:w="735" w:type="dxa"/>
            <w:tcBorders>
              <w:left w:val="single" w:color="000000" w:sz="4" w:space="0"/>
              <w:right w:val="single" w:color="000000" w:sz="4" w:space="0"/>
            </w:tcBorders>
            <w:vAlign w:val="top"/>
          </w:tcPr>
          <w:p>
            <w:pPr>
              <w:rPr>
                <w:rFonts w:ascii="Arial"/>
                <w:color w:val="auto"/>
                <w:sz w:val="21"/>
                <w:highlight w:val="none"/>
              </w:rPr>
            </w:pPr>
          </w:p>
        </w:tc>
        <w:tc>
          <w:tcPr>
            <w:tcW w:w="748"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26" w:hRule="atLeast"/>
        </w:trPr>
        <w:tc>
          <w:tcPr>
            <w:tcW w:w="779" w:type="dxa"/>
            <w:tcBorders>
              <w:left w:val="single" w:color="000000" w:sz="10" w:space="0"/>
              <w:right w:val="single" w:color="000000" w:sz="4" w:space="0"/>
            </w:tcBorders>
            <w:textDirection w:val="btLr"/>
            <w:vAlign w:val="top"/>
          </w:tcPr>
          <w:p>
            <w:pPr>
              <w:spacing w:before="211" w:line="228" w:lineRule="auto"/>
              <w:ind w:left="727"/>
              <w:rPr>
                <w:rFonts w:ascii="宋体" w:hAnsi="宋体" w:eastAsia="宋体" w:cs="宋体"/>
                <w:color w:val="auto"/>
                <w:sz w:val="20"/>
                <w:szCs w:val="20"/>
                <w:highlight w:val="none"/>
              </w:rPr>
            </w:pPr>
            <w:r>
              <w:rPr>
                <w:rFonts w:ascii="宋体" w:hAnsi="宋体" w:eastAsia="宋体" w:cs="宋体"/>
                <w:color w:val="auto"/>
                <w:spacing w:val="-12"/>
                <w:sz w:val="20"/>
                <w:szCs w:val="20"/>
                <w:highlight w:val="none"/>
              </w:rPr>
              <w:t>工程项目</w:t>
            </w:r>
          </w:p>
        </w:tc>
        <w:tc>
          <w:tcPr>
            <w:tcW w:w="783" w:type="dxa"/>
            <w:tcBorders>
              <w:left w:val="single" w:color="000000" w:sz="4" w:space="0"/>
              <w:right w:val="single" w:color="000000" w:sz="4" w:space="0"/>
            </w:tcBorders>
            <w:textDirection w:val="btLr"/>
            <w:vAlign w:val="top"/>
          </w:tcPr>
          <w:p>
            <w:pPr>
              <w:spacing w:before="169" w:line="228" w:lineRule="auto"/>
              <w:ind w:left="445"/>
              <w:rPr>
                <w:rFonts w:ascii="宋体" w:hAnsi="宋体" w:eastAsia="宋体" w:cs="宋体"/>
                <w:color w:val="auto"/>
                <w:spacing w:val="-15"/>
                <w:sz w:val="20"/>
                <w:szCs w:val="20"/>
                <w:highlight w:val="none"/>
              </w:rPr>
            </w:pPr>
            <w:r>
              <w:rPr>
                <w:rFonts w:ascii="宋体" w:hAnsi="宋体" w:eastAsia="宋体" w:cs="宋体"/>
                <w:color w:val="auto"/>
                <w:spacing w:val="-15"/>
                <w:sz w:val="20"/>
                <w:szCs w:val="20"/>
                <w:highlight w:val="none"/>
              </w:rPr>
              <w:t>特殊路基处理</w:t>
            </w:r>
          </w:p>
        </w:tc>
        <w:tc>
          <w:tcPr>
            <w:tcW w:w="735" w:type="dxa"/>
            <w:tcBorders>
              <w:left w:val="single" w:color="000000" w:sz="4" w:space="0"/>
              <w:right w:val="single" w:color="000000" w:sz="4" w:space="0"/>
            </w:tcBorders>
            <w:textDirection w:val="btLr"/>
            <w:vAlign w:val="top"/>
          </w:tcPr>
          <w:p>
            <w:pPr>
              <w:spacing w:before="169" w:line="228" w:lineRule="auto"/>
              <w:ind w:left="445"/>
              <w:rPr>
                <w:rFonts w:ascii="宋体" w:hAnsi="宋体" w:eastAsia="宋体" w:cs="宋体"/>
                <w:color w:val="auto"/>
                <w:spacing w:val="-15"/>
                <w:sz w:val="20"/>
                <w:szCs w:val="20"/>
                <w:highlight w:val="none"/>
              </w:rPr>
            </w:pPr>
            <w:r>
              <w:rPr>
                <w:rFonts w:ascii="宋体" w:hAnsi="宋体" w:eastAsia="宋体" w:cs="宋体"/>
                <w:color w:val="auto"/>
                <w:spacing w:val="-15"/>
                <w:sz w:val="20"/>
                <w:szCs w:val="20"/>
                <w:highlight w:val="none"/>
              </w:rPr>
              <w:t>路基填筑</w:t>
            </w:r>
          </w:p>
        </w:tc>
        <w:tc>
          <w:tcPr>
            <w:tcW w:w="743" w:type="dxa"/>
            <w:tcBorders>
              <w:left w:val="single" w:color="000000" w:sz="4" w:space="0"/>
              <w:right w:val="single" w:color="000000" w:sz="4" w:space="0"/>
            </w:tcBorders>
            <w:textDirection w:val="btLr"/>
            <w:vAlign w:val="top"/>
          </w:tcPr>
          <w:p>
            <w:pPr>
              <w:spacing w:before="169" w:line="228" w:lineRule="auto"/>
              <w:ind w:left="445"/>
              <w:rPr>
                <w:rFonts w:ascii="宋体" w:hAnsi="宋体" w:eastAsia="宋体" w:cs="宋体"/>
                <w:color w:val="auto"/>
                <w:spacing w:val="-15"/>
                <w:sz w:val="20"/>
                <w:szCs w:val="20"/>
                <w:highlight w:val="none"/>
              </w:rPr>
            </w:pPr>
            <w:r>
              <w:rPr>
                <w:rFonts w:ascii="宋体" w:hAnsi="宋体" w:eastAsia="宋体" w:cs="宋体"/>
                <w:color w:val="auto"/>
                <w:spacing w:val="-15"/>
                <w:sz w:val="20"/>
                <w:szCs w:val="20"/>
                <w:highlight w:val="none"/>
              </w:rPr>
              <w:t>路面基层</w:t>
            </w:r>
          </w:p>
        </w:tc>
        <w:tc>
          <w:tcPr>
            <w:tcW w:w="735" w:type="dxa"/>
            <w:tcBorders>
              <w:left w:val="single" w:color="000000" w:sz="4" w:space="0"/>
              <w:right w:val="single" w:color="000000" w:sz="4" w:space="0"/>
            </w:tcBorders>
            <w:textDirection w:val="btLr"/>
            <w:vAlign w:val="top"/>
          </w:tcPr>
          <w:p>
            <w:pPr>
              <w:spacing w:before="169" w:line="228" w:lineRule="auto"/>
              <w:ind w:left="445"/>
              <w:rPr>
                <w:rFonts w:ascii="宋体" w:hAnsi="宋体" w:eastAsia="宋体" w:cs="宋体"/>
                <w:color w:val="auto"/>
                <w:spacing w:val="-15"/>
                <w:sz w:val="20"/>
                <w:szCs w:val="20"/>
                <w:highlight w:val="none"/>
              </w:rPr>
            </w:pPr>
            <w:r>
              <w:rPr>
                <w:rFonts w:ascii="宋体" w:hAnsi="宋体" w:eastAsia="宋体" w:cs="宋体"/>
                <w:color w:val="auto"/>
                <w:spacing w:val="-15"/>
                <w:sz w:val="20"/>
                <w:szCs w:val="20"/>
                <w:highlight w:val="none"/>
              </w:rPr>
              <w:t>路面面层</w:t>
            </w:r>
          </w:p>
        </w:tc>
        <w:tc>
          <w:tcPr>
            <w:tcW w:w="735" w:type="dxa"/>
            <w:tcBorders>
              <w:left w:val="single" w:color="000000" w:sz="4" w:space="0"/>
              <w:right w:val="single" w:color="000000" w:sz="4" w:space="0"/>
            </w:tcBorders>
            <w:textDirection w:val="btLr"/>
            <w:vAlign w:val="top"/>
          </w:tcPr>
          <w:p>
            <w:pPr>
              <w:spacing w:before="169" w:line="228" w:lineRule="auto"/>
              <w:ind w:left="445"/>
              <w:rPr>
                <w:rFonts w:ascii="宋体" w:hAnsi="宋体" w:eastAsia="宋体" w:cs="宋体"/>
                <w:color w:val="auto"/>
                <w:spacing w:val="-15"/>
                <w:sz w:val="20"/>
                <w:szCs w:val="20"/>
                <w:highlight w:val="none"/>
              </w:rPr>
            </w:pPr>
            <w:r>
              <w:rPr>
                <w:rFonts w:ascii="宋体" w:hAnsi="宋体" w:eastAsia="宋体" w:cs="宋体"/>
                <w:color w:val="auto"/>
                <w:spacing w:val="-15"/>
                <w:sz w:val="20"/>
                <w:szCs w:val="20"/>
                <w:highlight w:val="none"/>
              </w:rPr>
              <w:t>路基防护及排水</w:t>
            </w:r>
          </w:p>
        </w:tc>
        <w:tc>
          <w:tcPr>
            <w:tcW w:w="733" w:type="dxa"/>
            <w:tcBorders>
              <w:left w:val="single" w:color="000000" w:sz="4" w:space="0"/>
              <w:right w:val="single" w:color="000000" w:sz="4" w:space="0"/>
            </w:tcBorders>
            <w:textDirection w:val="btLr"/>
            <w:vAlign w:val="top"/>
          </w:tcPr>
          <w:p>
            <w:pPr>
              <w:spacing w:before="169" w:line="228" w:lineRule="auto"/>
              <w:ind w:left="445"/>
              <w:rPr>
                <w:rFonts w:ascii="宋体" w:hAnsi="宋体" w:eastAsia="宋体" w:cs="宋体"/>
                <w:color w:val="auto"/>
                <w:spacing w:val="-15"/>
                <w:sz w:val="20"/>
                <w:szCs w:val="20"/>
                <w:highlight w:val="none"/>
              </w:rPr>
            </w:pPr>
            <w:r>
              <w:rPr>
                <w:rFonts w:ascii="宋体" w:hAnsi="宋体" w:eastAsia="宋体" w:cs="宋体"/>
                <w:color w:val="auto"/>
                <w:spacing w:val="-15"/>
                <w:sz w:val="20"/>
                <w:szCs w:val="20"/>
                <w:highlight w:val="none"/>
              </w:rPr>
              <w:t>涵洞</w:t>
            </w:r>
          </w:p>
        </w:tc>
        <w:tc>
          <w:tcPr>
            <w:tcW w:w="735" w:type="dxa"/>
            <w:tcBorders>
              <w:left w:val="single" w:color="000000" w:sz="4" w:space="0"/>
              <w:right w:val="single" w:color="000000" w:sz="4" w:space="0"/>
            </w:tcBorders>
            <w:textDirection w:val="btLr"/>
            <w:vAlign w:val="top"/>
          </w:tcPr>
          <w:p>
            <w:pPr>
              <w:spacing w:before="169" w:line="228" w:lineRule="auto"/>
              <w:ind w:left="445"/>
              <w:rPr>
                <w:rFonts w:ascii="宋体" w:hAnsi="宋体" w:eastAsia="宋体" w:cs="宋体"/>
                <w:color w:val="auto"/>
                <w:spacing w:val="-15"/>
                <w:sz w:val="20"/>
                <w:szCs w:val="20"/>
                <w:highlight w:val="none"/>
              </w:rPr>
            </w:pPr>
            <w:r>
              <w:rPr>
                <w:rFonts w:ascii="宋体" w:hAnsi="宋体" w:eastAsia="宋体" w:cs="宋体"/>
                <w:color w:val="auto"/>
                <w:spacing w:val="-15"/>
                <w:sz w:val="20"/>
                <w:szCs w:val="20"/>
                <w:highlight w:val="none"/>
              </w:rPr>
              <w:t>通道</w:t>
            </w:r>
          </w:p>
        </w:tc>
        <w:tc>
          <w:tcPr>
            <w:tcW w:w="732" w:type="dxa"/>
            <w:tcBorders>
              <w:left w:val="single" w:color="000000" w:sz="4" w:space="0"/>
              <w:right w:val="single" w:color="000000" w:sz="4" w:space="0"/>
            </w:tcBorders>
            <w:textDirection w:val="btLr"/>
            <w:vAlign w:val="top"/>
          </w:tcPr>
          <w:p>
            <w:pPr>
              <w:spacing w:before="169" w:line="228" w:lineRule="auto"/>
              <w:ind w:left="445"/>
              <w:rPr>
                <w:rFonts w:ascii="宋体" w:hAnsi="宋体" w:eastAsia="宋体" w:cs="宋体"/>
                <w:color w:val="auto"/>
                <w:spacing w:val="-15"/>
                <w:sz w:val="20"/>
                <w:szCs w:val="20"/>
                <w:highlight w:val="none"/>
              </w:rPr>
            </w:pPr>
            <w:r>
              <w:rPr>
                <w:rFonts w:hint="eastAsia" w:ascii="宋体" w:hAnsi="宋体" w:eastAsia="宋体" w:cs="宋体"/>
                <w:color w:val="auto"/>
                <w:spacing w:val="-15"/>
                <w:sz w:val="20"/>
                <w:szCs w:val="20"/>
                <w:highlight w:val="none"/>
                <w:lang w:val="en-US" w:eastAsia="zh-CN"/>
              </w:rPr>
              <w:t>桥梁基装</w:t>
            </w:r>
            <w:r>
              <w:rPr>
                <w:rFonts w:ascii="宋体" w:hAnsi="宋体" w:eastAsia="宋体" w:cs="宋体"/>
                <w:color w:val="auto"/>
                <w:spacing w:val="-15"/>
                <w:sz w:val="20"/>
                <w:szCs w:val="20"/>
                <w:highlight w:val="none"/>
              </w:rPr>
              <w:t xml:space="preserve"> </w:t>
            </w:r>
          </w:p>
        </w:tc>
        <w:tc>
          <w:tcPr>
            <w:tcW w:w="735" w:type="dxa"/>
            <w:tcBorders>
              <w:left w:val="single" w:color="000000" w:sz="4" w:space="0"/>
              <w:right w:val="single" w:color="000000" w:sz="4" w:space="0"/>
            </w:tcBorders>
            <w:textDirection w:val="btLr"/>
            <w:vAlign w:val="top"/>
          </w:tcPr>
          <w:p>
            <w:pPr>
              <w:spacing w:before="169" w:line="228" w:lineRule="auto"/>
              <w:ind w:left="445"/>
              <w:rPr>
                <w:rFonts w:hint="default" w:ascii="宋体" w:hAnsi="宋体" w:eastAsia="宋体" w:cs="宋体"/>
                <w:color w:val="auto"/>
                <w:spacing w:val="-15"/>
                <w:sz w:val="20"/>
                <w:szCs w:val="20"/>
                <w:highlight w:val="none"/>
                <w:lang w:val="en-US" w:eastAsia="zh-CN"/>
              </w:rPr>
            </w:pPr>
            <w:r>
              <w:rPr>
                <w:rFonts w:hint="eastAsia" w:ascii="宋体" w:hAnsi="宋体" w:eastAsia="宋体" w:cs="宋体"/>
                <w:color w:val="auto"/>
                <w:spacing w:val="-15"/>
                <w:sz w:val="20"/>
                <w:szCs w:val="20"/>
                <w:highlight w:val="none"/>
                <w:lang w:val="en-US" w:eastAsia="zh-CN"/>
              </w:rPr>
              <w:t>桥梁墩台</w:t>
            </w:r>
          </w:p>
        </w:tc>
        <w:tc>
          <w:tcPr>
            <w:tcW w:w="748" w:type="dxa"/>
            <w:tcBorders>
              <w:left w:val="single" w:color="000000" w:sz="4" w:space="0"/>
              <w:right w:val="single" w:color="000000" w:sz="10" w:space="0"/>
            </w:tcBorders>
            <w:textDirection w:val="btLr"/>
            <w:vAlign w:val="top"/>
          </w:tcPr>
          <w:p>
            <w:pPr>
              <w:spacing w:before="169" w:line="228" w:lineRule="auto"/>
              <w:ind w:left="445"/>
              <w:rPr>
                <w:rFonts w:ascii="宋体" w:hAnsi="宋体" w:eastAsia="宋体" w:cs="宋体"/>
                <w:color w:val="auto"/>
                <w:spacing w:val="-15"/>
                <w:sz w:val="20"/>
                <w:szCs w:val="20"/>
                <w:highlight w:val="none"/>
              </w:rPr>
            </w:pPr>
            <w:r>
              <w:rPr>
                <w:rFonts w:ascii="宋体" w:hAnsi="宋体" w:eastAsia="宋体" w:cs="宋体"/>
                <w:color w:val="auto"/>
                <w:spacing w:val="-15"/>
                <w:sz w:val="20"/>
                <w:szCs w:val="20"/>
                <w:highlight w:val="none"/>
              </w:rPr>
              <w:t>梁体预制安装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8" w:hRule="atLeast"/>
        </w:trPr>
        <w:tc>
          <w:tcPr>
            <w:tcW w:w="779" w:type="dxa"/>
            <w:tcBorders>
              <w:left w:val="single" w:color="000000" w:sz="10" w:space="0"/>
              <w:right w:val="single" w:color="000000" w:sz="4" w:space="0"/>
            </w:tcBorders>
            <w:textDirection w:val="btLr"/>
            <w:vAlign w:val="top"/>
          </w:tcPr>
          <w:p>
            <w:pPr>
              <w:spacing w:before="211" w:line="230" w:lineRule="auto"/>
              <w:ind w:left="232"/>
              <w:rPr>
                <w:rFonts w:ascii="宋体" w:hAnsi="宋体" w:eastAsia="宋体" w:cs="宋体"/>
                <w:color w:val="auto"/>
                <w:sz w:val="20"/>
                <w:szCs w:val="20"/>
                <w:highlight w:val="none"/>
              </w:rPr>
            </w:pPr>
            <w:r>
              <w:rPr>
                <w:rFonts w:ascii="宋体" w:hAnsi="宋体" w:eastAsia="宋体" w:cs="宋体"/>
                <w:color w:val="auto"/>
                <w:spacing w:val="-12"/>
                <w:sz w:val="20"/>
                <w:szCs w:val="20"/>
                <w:highlight w:val="none"/>
              </w:rPr>
              <w:t>序</w:t>
            </w:r>
            <w:r>
              <w:rPr>
                <w:rFonts w:ascii="宋体" w:hAnsi="宋体" w:eastAsia="宋体" w:cs="宋体"/>
                <w:color w:val="auto"/>
                <w:spacing w:val="-10"/>
                <w:sz w:val="20"/>
                <w:szCs w:val="20"/>
                <w:highlight w:val="none"/>
              </w:rPr>
              <w:t>号</w:t>
            </w:r>
          </w:p>
        </w:tc>
        <w:tc>
          <w:tcPr>
            <w:tcW w:w="783" w:type="dxa"/>
            <w:tcBorders>
              <w:left w:val="single" w:color="000000" w:sz="4" w:space="0"/>
              <w:right w:val="single" w:color="000000" w:sz="4" w:space="0"/>
            </w:tcBorders>
            <w:textDirection w:val="btLr"/>
            <w:vAlign w:val="top"/>
          </w:tcPr>
          <w:p>
            <w:pPr>
              <w:spacing w:before="245" w:line="192" w:lineRule="auto"/>
              <w:ind w:left="388"/>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1</w:t>
            </w:r>
          </w:p>
        </w:tc>
        <w:tc>
          <w:tcPr>
            <w:tcW w:w="735" w:type="dxa"/>
            <w:tcBorders>
              <w:left w:val="single" w:color="000000" w:sz="4" w:space="0"/>
              <w:right w:val="single" w:color="000000" w:sz="4" w:space="0"/>
            </w:tcBorders>
            <w:textDirection w:val="btLr"/>
            <w:vAlign w:val="top"/>
          </w:tcPr>
          <w:p>
            <w:pPr>
              <w:spacing w:before="221" w:line="192" w:lineRule="auto"/>
              <w:ind w:left="371"/>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2</w:t>
            </w:r>
          </w:p>
        </w:tc>
        <w:tc>
          <w:tcPr>
            <w:tcW w:w="743" w:type="dxa"/>
            <w:tcBorders>
              <w:left w:val="single" w:color="000000" w:sz="4" w:space="0"/>
              <w:right w:val="single" w:color="000000" w:sz="4" w:space="0"/>
            </w:tcBorders>
            <w:textDirection w:val="btLr"/>
            <w:vAlign w:val="top"/>
          </w:tcPr>
          <w:p>
            <w:pPr>
              <w:spacing w:before="226" w:line="192" w:lineRule="auto"/>
              <w:ind w:left="374"/>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3</w:t>
            </w:r>
          </w:p>
        </w:tc>
        <w:tc>
          <w:tcPr>
            <w:tcW w:w="735" w:type="dxa"/>
            <w:tcBorders>
              <w:left w:val="single" w:color="000000" w:sz="4" w:space="0"/>
              <w:right w:val="single" w:color="000000" w:sz="4" w:space="0"/>
            </w:tcBorders>
            <w:textDirection w:val="btLr"/>
            <w:vAlign w:val="top"/>
          </w:tcPr>
          <w:p>
            <w:pPr>
              <w:spacing w:before="221" w:line="192" w:lineRule="auto"/>
              <w:ind w:left="370"/>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4</w:t>
            </w:r>
          </w:p>
        </w:tc>
        <w:tc>
          <w:tcPr>
            <w:tcW w:w="735" w:type="dxa"/>
            <w:tcBorders>
              <w:left w:val="single" w:color="000000" w:sz="4" w:space="0"/>
              <w:right w:val="single" w:color="000000" w:sz="4" w:space="0"/>
            </w:tcBorders>
            <w:textDirection w:val="btLr"/>
            <w:vAlign w:val="top"/>
          </w:tcPr>
          <w:p>
            <w:pPr>
              <w:spacing w:before="224" w:line="189" w:lineRule="auto"/>
              <w:ind w:left="376"/>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5</w:t>
            </w:r>
          </w:p>
        </w:tc>
        <w:tc>
          <w:tcPr>
            <w:tcW w:w="733" w:type="dxa"/>
            <w:tcBorders>
              <w:left w:val="single" w:color="000000" w:sz="4" w:space="0"/>
              <w:right w:val="single" w:color="000000" w:sz="4" w:space="0"/>
            </w:tcBorders>
            <w:textDirection w:val="btLr"/>
            <w:vAlign w:val="top"/>
          </w:tcPr>
          <w:p>
            <w:pPr>
              <w:spacing w:before="221" w:line="192" w:lineRule="auto"/>
              <w:ind w:left="375"/>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6</w:t>
            </w:r>
          </w:p>
        </w:tc>
        <w:tc>
          <w:tcPr>
            <w:tcW w:w="735" w:type="dxa"/>
            <w:tcBorders>
              <w:left w:val="single" w:color="000000" w:sz="4" w:space="0"/>
              <w:right w:val="single" w:color="000000" w:sz="4" w:space="0"/>
            </w:tcBorders>
            <w:textDirection w:val="btLr"/>
            <w:vAlign w:val="top"/>
          </w:tcPr>
          <w:p>
            <w:pPr>
              <w:spacing w:before="226" w:line="189" w:lineRule="auto"/>
              <w:ind w:left="374"/>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7</w:t>
            </w:r>
          </w:p>
        </w:tc>
        <w:tc>
          <w:tcPr>
            <w:tcW w:w="732" w:type="dxa"/>
            <w:tcBorders>
              <w:left w:val="single" w:color="000000" w:sz="4" w:space="0"/>
              <w:right w:val="single" w:color="000000" w:sz="4" w:space="0"/>
            </w:tcBorders>
            <w:textDirection w:val="btLr"/>
            <w:vAlign w:val="top"/>
          </w:tcPr>
          <w:p>
            <w:pPr>
              <w:spacing w:before="221" w:line="192" w:lineRule="auto"/>
              <w:ind w:left="378"/>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8</w:t>
            </w:r>
          </w:p>
        </w:tc>
        <w:tc>
          <w:tcPr>
            <w:tcW w:w="735" w:type="dxa"/>
            <w:tcBorders>
              <w:left w:val="single" w:color="000000" w:sz="4" w:space="0"/>
              <w:right w:val="single" w:color="000000" w:sz="4" w:space="0"/>
            </w:tcBorders>
            <w:textDirection w:val="btLr"/>
            <w:vAlign w:val="top"/>
          </w:tcPr>
          <w:p>
            <w:pPr>
              <w:spacing w:before="221" w:line="192" w:lineRule="auto"/>
              <w:ind w:left="374"/>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z w:val="20"/>
                <w:szCs w:val="20"/>
                <w:highlight w:val="none"/>
              </w:rPr>
              <w:t>9</w:t>
            </w:r>
          </w:p>
        </w:tc>
        <w:tc>
          <w:tcPr>
            <w:tcW w:w="748" w:type="dxa"/>
            <w:tcBorders>
              <w:left w:val="single" w:color="000000" w:sz="4" w:space="0"/>
              <w:right w:val="single" w:color="000000" w:sz="10" w:space="0"/>
            </w:tcBorders>
            <w:textDirection w:val="btLr"/>
            <w:vAlign w:val="top"/>
          </w:tcPr>
          <w:p>
            <w:pPr>
              <w:spacing w:before="221" w:line="192" w:lineRule="auto"/>
              <w:ind w:left="340"/>
              <w:rPr>
                <w:rFonts w:ascii="Times New Roman" w:hAnsi="Times New Roman" w:eastAsia="Times New Roman" w:cs="Times New Roman"/>
                <w:color w:val="auto"/>
                <w:sz w:val="20"/>
                <w:szCs w:val="20"/>
                <w:highlight w:val="none"/>
              </w:rPr>
            </w:pPr>
            <w:r>
              <w:rPr>
                <w:rFonts w:ascii="Times New Roman" w:hAnsi="Times New Roman" w:eastAsia="Times New Roman" w:cs="Times New Roman"/>
                <w:color w:val="auto"/>
                <w:spacing w:val="-9"/>
                <w:sz w:val="20"/>
                <w:szCs w:val="20"/>
                <w:highlight w:val="none"/>
              </w:rPr>
              <w:t>10</w:t>
            </w:r>
          </w:p>
        </w:tc>
      </w:tr>
    </w:tbl>
    <w:p>
      <w:pPr>
        <w:spacing w:before="221" w:line="192" w:lineRule="auto"/>
        <w:ind w:left="340"/>
        <w:rPr>
          <w:rFonts w:hint="eastAsia" w:eastAsia="宋体"/>
          <w:color w:val="auto"/>
          <w:highlight w:val="none"/>
          <w:lang w:eastAsia="zh-CN"/>
        </w:rPr>
        <w:sectPr>
          <w:footerReference r:id="rId49" w:type="default"/>
          <w:pgSz w:w="11900" w:h="16840"/>
          <w:pgMar w:top="1160" w:right="1354" w:bottom="1448" w:left="1363" w:header="883" w:footer="1234" w:gutter="0"/>
          <w:pgNumType w:fmt="decimal"/>
          <w:cols w:space="720" w:num="1"/>
        </w:sectPr>
      </w:pPr>
      <w:r>
        <w:rPr>
          <w:rFonts w:hint="eastAsia"/>
          <w:color w:val="auto"/>
          <w:highlight w:val="none"/>
        </w:rPr>
        <w:t>注：互通立交、分离立交的匝道、匝道涵洞、通道、桥梁分别归入表中相关的项目内</w:t>
      </w:r>
      <w:r>
        <w:rPr>
          <w:rFonts w:hint="eastAsia" w:eastAsia="宋体"/>
          <w:color w:val="auto"/>
          <w:highlight w:val="none"/>
          <w:lang w:eastAsia="zh-CN"/>
        </w:rPr>
        <w:t>。</w:t>
      </w:r>
    </w:p>
    <w:p>
      <w:pPr>
        <w:spacing w:before="117" w:line="222" w:lineRule="auto"/>
        <w:jc w:val="left"/>
        <w:outlineLvl w:val="2"/>
        <w:rPr>
          <w:rFonts w:hint="eastAsia" w:ascii="宋体" w:hAnsi="宋体" w:eastAsia="宋体" w:cs="宋体"/>
          <w:b/>
          <w:bCs/>
          <w:color w:val="auto"/>
          <w:spacing w:val="-3"/>
          <w:sz w:val="13"/>
          <w:szCs w:val="13"/>
          <w:highlight w:val="none"/>
        </w:rPr>
      </w:pPr>
      <w:bookmarkStart w:id="749" w:name="_Toc5410"/>
    </w:p>
    <w:p>
      <w:pPr>
        <w:spacing w:before="117" w:line="222" w:lineRule="auto"/>
        <w:jc w:val="left"/>
        <w:outlineLvl w:val="2"/>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pacing w:val="-3"/>
          <w:sz w:val="24"/>
          <w:szCs w:val="24"/>
          <w:highlight w:val="none"/>
        </w:rPr>
        <w:t>附表五   施工总平面图</w:t>
      </w:r>
      <w:bookmarkEnd w:id="749"/>
    </w:p>
    <w:p>
      <w:pPr>
        <w:spacing w:line="453" w:lineRule="auto"/>
        <w:rPr>
          <w:rFonts w:ascii="Arial"/>
          <w:color w:val="auto"/>
          <w:sz w:val="21"/>
          <w:highlight w:val="none"/>
        </w:rPr>
      </w:pPr>
    </w:p>
    <w:p>
      <w:pPr>
        <w:spacing w:before="65" w:line="382" w:lineRule="auto"/>
        <w:ind w:left="4" w:firstLine="424"/>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投标人应递交一份施工总平面图，绘出现场临时设施布置图表并附文字说明，说明施工营地、料场、临时设施、加工车间、现场办公、设备及仓储、供电、供水、卫生、生活、道路、消防等设施的情况和布置。</w:t>
      </w:r>
    </w:p>
    <w:p>
      <w:pPr>
        <w:rPr>
          <w:color w:val="auto"/>
          <w:highlight w:val="none"/>
        </w:rPr>
        <w:sectPr>
          <w:footerReference r:id="rId50" w:type="default"/>
          <w:pgSz w:w="11900" w:h="16840"/>
          <w:pgMar w:top="1160" w:right="1351" w:bottom="1448" w:left="1363" w:header="883" w:footer="1234" w:gutter="0"/>
          <w:pgNumType w:fmt="decimal"/>
          <w:cols w:space="720" w:num="1"/>
        </w:sectPr>
      </w:pPr>
    </w:p>
    <w:p>
      <w:pPr>
        <w:spacing w:before="292" w:line="220" w:lineRule="auto"/>
        <w:ind w:left="148"/>
        <w:jc w:val="left"/>
        <w:outlineLvl w:val="3"/>
        <w:rPr>
          <w:rFonts w:hint="eastAsia" w:ascii="宋体" w:hAnsi="宋体" w:eastAsia="宋体" w:cs="宋体"/>
          <w:color w:val="auto"/>
          <w:sz w:val="22"/>
          <w:szCs w:val="22"/>
          <w:highlight w:val="none"/>
        </w:rPr>
      </w:pPr>
      <w:r>
        <w:rPr>
          <w:rFonts w:hint="eastAsia" w:ascii="宋体" w:hAnsi="宋体" w:eastAsia="宋体" w:cs="宋体"/>
          <w:b/>
          <w:bCs/>
          <w:color w:val="auto"/>
          <w:spacing w:val="-3"/>
          <w:sz w:val="24"/>
          <w:szCs w:val="24"/>
          <w:highlight w:val="none"/>
        </w:rPr>
        <w:t>附表六  劳动力计划表</w:t>
      </w:r>
      <w:r>
        <w:rPr>
          <w:rFonts w:hint="eastAsia" w:ascii="宋体" w:hAnsi="宋体" w:eastAsia="宋体" w:cs="宋体"/>
          <w:b/>
          <w:bCs/>
          <w:color w:val="auto"/>
          <w:spacing w:val="-3"/>
          <w:sz w:val="24"/>
          <w:szCs w:val="24"/>
          <w:highlight w:val="none"/>
          <w:lang w:val="en-US" w:eastAsia="zh-CN"/>
        </w:rPr>
        <w:t xml:space="preserve">  </w:t>
      </w:r>
      <w:r>
        <w:rPr>
          <w:rFonts w:hint="eastAsia" w:ascii="宋体" w:hAnsi="宋体" w:eastAsia="宋体" w:cs="宋体"/>
          <w:color w:val="auto"/>
          <w:spacing w:val="-1"/>
          <w:sz w:val="24"/>
          <w:szCs w:val="24"/>
          <w:highlight w:val="none"/>
          <w:lang w:val="en-US" w:eastAsia="zh-CN"/>
          <w14:textOutline w14:w="4354" w14:cap="flat" w14:cmpd="sng">
            <w14:solidFill>
              <w14:srgbClr w14:val="000000"/>
            </w14:solidFill>
            <w14:prstDash w14:val="solid"/>
            <w14:miter w14:val="0"/>
          </w14:textOutline>
        </w:rPr>
        <w:t xml:space="preserve">                                              </w:t>
      </w:r>
      <w:r>
        <w:rPr>
          <w:rFonts w:hint="eastAsia" w:ascii="宋体" w:hAnsi="宋体" w:eastAsia="宋体" w:cs="宋体"/>
          <w:color w:val="auto"/>
          <w:spacing w:val="8"/>
          <w:sz w:val="22"/>
          <w:szCs w:val="22"/>
          <w:highlight w:val="none"/>
        </w:rPr>
        <w:t>单</w:t>
      </w:r>
      <w:r>
        <w:rPr>
          <w:rFonts w:hint="eastAsia" w:ascii="宋体" w:hAnsi="宋体" w:eastAsia="宋体" w:cs="宋体"/>
          <w:color w:val="auto"/>
          <w:spacing w:val="6"/>
          <w:sz w:val="22"/>
          <w:szCs w:val="22"/>
          <w:highlight w:val="none"/>
        </w:rPr>
        <w:t>位：人</w:t>
      </w:r>
    </w:p>
    <w:p>
      <w:pPr>
        <w:spacing w:line="130" w:lineRule="exact"/>
        <w:rPr>
          <w:rFonts w:hint="eastAsia" w:ascii="宋体" w:hAnsi="宋体" w:eastAsia="宋体" w:cs="宋体"/>
          <w:color w:val="auto"/>
          <w:sz w:val="22"/>
          <w:szCs w:val="22"/>
          <w:highlight w:val="none"/>
        </w:rPr>
      </w:pPr>
    </w:p>
    <w:tbl>
      <w:tblPr>
        <w:tblStyle w:val="26"/>
        <w:tblW w:w="9402"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4"/>
        <w:gridCol w:w="1436"/>
        <w:gridCol w:w="1171"/>
        <w:gridCol w:w="1173"/>
        <w:gridCol w:w="1170"/>
        <w:gridCol w:w="1173"/>
        <w:gridCol w:w="1170"/>
        <w:gridCol w:w="118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924" w:type="dxa"/>
            <w:tcBorders>
              <w:left w:val="single" w:color="000000" w:sz="10" w:space="0"/>
              <w:right w:val="single" w:color="000000" w:sz="4" w:space="0"/>
            </w:tcBorders>
            <w:vAlign w:val="top"/>
          </w:tcPr>
          <w:p>
            <w:pPr>
              <w:spacing w:before="53" w:line="229" w:lineRule="auto"/>
              <w:ind w:left="244"/>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工种</w:t>
            </w:r>
          </w:p>
        </w:tc>
        <w:tc>
          <w:tcPr>
            <w:tcW w:w="8478" w:type="dxa"/>
            <w:gridSpan w:val="7"/>
            <w:tcBorders>
              <w:left w:val="single" w:color="000000" w:sz="4" w:space="0"/>
              <w:right w:val="single" w:color="000000" w:sz="10" w:space="0"/>
            </w:tcBorders>
            <w:vAlign w:val="top"/>
          </w:tcPr>
          <w:p>
            <w:pPr>
              <w:spacing w:before="53" w:line="228" w:lineRule="auto"/>
              <w:ind w:left="2766"/>
              <w:rPr>
                <w:rFonts w:hint="eastAsia" w:ascii="宋体" w:hAnsi="宋体" w:eastAsia="宋体" w:cs="宋体"/>
                <w:color w:val="auto"/>
                <w:sz w:val="22"/>
                <w:szCs w:val="22"/>
                <w:highlight w:val="none"/>
              </w:rPr>
            </w:pPr>
            <w:r>
              <w:rPr>
                <w:rFonts w:hint="eastAsia" w:ascii="宋体" w:hAnsi="宋体" w:eastAsia="宋体" w:cs="宋体"/>
                <w:color w:val="auto"/>
                <w:spacing w:val="10"/>
                <w:sz w:val="22"/>
                <w:szCs w:val="22"/>
                <w:highlight w:val="none"/>
              </w:rPr>
              <w:t>按</w:t>
            </w:r>
            <w:r>
              <w:rPr>
                <w:rFonts w:hint="eastAsia" w:ascii="宋体" w:hAnsi="宋体" w:eastAsia="宋体" w:cs="宋体"/>
                <w:color w:val="auto"/>
                <w:spacing w:val="9"/>
                <w:sz w:val="22"/>
                <w:szCs w:val="22"/>
                <w:highlight w:val="none"/>
              </w:rPr>
              <w:t>工程施工阶段投入劳动力情况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924" w:type="dxa"/>
            <w:tcBorders>
              <w:left w:val="single" w:color="000000" w:sz="10" w:space="0"/>
              <w:right w:val="single" w:color="000000" w:sz="4" w:space="0"/>
            </w:tcBorders>
            <w:vAlign w:val="top"/>
          </w:tcPr>
          <w:p>
            <w:pPr>
              <w:rPr>
                <w:rFonts w:ascii="Arial"/>
                <w:color w:val="auto"/>
                <w:sz w:val="21"/>
                <w:highlight w:val="none"/>
              </w:rPr>
            </w:pPr>
          </w:p>
        </w:tc>
        <w:tc>
          <w:tcPr>
            <w:tcW w:w="1436" w:type="dxa"/>
            <w:tcBorders>
              <w:left w:val="single" w:color="000000" w:sz="4" w:space="0"/>
              <w:right w:val="single" w:color="000000" w:sz="4" w:space="0"/>
            </w:tcBorders>
            <w:vAlign w:val="top"/>
          </w:tcPr>
          <w:p>
            <w:pPr>
              <w:rPr>
                <w:rFonts w:ascii="Arial"/>
                <w:color w:val="auto"/>
                <w:sz w:val="21"/>
                <w:highlight w:val="none"/>
              </w:rPr>
            </w:pPr>
          </w:p>
        </w:tc>
        <w:tc>
          <w:tcPr>
            <w:tcW w:w="1171"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73" w:type="dxa"/>
            <w:tcBorders>
              <w:left w:val="single" w:color="000000" w:sz="4" w:space="0"/>
              <w:right w:val="single" w:color="000000" w:sz="4" w:space="0"/>
            </w:tcBorders>
            <w:vAlign w:val="top"/>
          </w:tcPr>
          <w:p>
            <w:pPr>
              <w:rPr>
                <w:rFonts w:ascii="Arial"/>
                <w:color w:val="auto"/>
                <w:sz w:val="21"/>
                <w:highlight w:val="none"/>
              </w:rPr>
            </w:pPr>
          </w:p>
        </w:tc>
        <w:tc>
          <w:tcPr>
            <w:tcW w:w="1170" w:type="dxa"/>
            <w:tcBorders>
              <w:left w:val="single" w:color="000000" w:sz="4" w:space="0"/>
              <w:right w:val="single" w:color="000000" w:sz="4" w:space="0"/>
            </w:tcBorders>
            <w:vAlign w:val="top"/>
          </w:tcPr>
          <w:p>
            <w:pPr>
              <w:rPr>
                <w:rFonts w:ascii="Arial"/>
                <w:color w:val="auto"/>
                <w:sz w:val="21"/>
                <w:highlight w:val="none"/>
              </w:rPr>
            </w:pPr>
          </w:p>
        </w:tc>
        <w:tc>
          <w:tcPr>
            <w:tcW w:w="1185" w:type="dxa"/>
            <w:tcBorders>
              <w:left w:val="single" w:color="000000" w:sz="4" w:space="0"/>
              <w:right w:val="single" w:color="000000" w:sz="10" w:space="0"/>
            </w:tcBorders>
            <w:vAlign w:val="top"/>
          </w:tcPr>
          <w:p>
            <w:pPr>
              <w:rPr>
                <w:rFonts w:ascii="Arial"/>
                <w:color w:val="auto"/>
                <w:sz w:val="21"/>
                <w:highlight w:val="none"/>
              </w:rPr>
            </w:pPr>
          </w:p>
        </w:tc>
      </w:tr>
    </w:tbl>
    <w:p>
      <w:pPr>
        <w:rPr>
          <w:rFonts w:ascii="Arial"/>
          <w:color w:val="auto"/>
          <w:sz w:val="21"/>
          <w:highlight w:val="none"/>
        </w:rPr>
      </w:pPr>
    </w:p>
    <w:p>
      <w:pPr>
        <w:rPr>
          <w:color w:val="auto"/>
          <w:highlight w:val="none"/>
        </w:rPr>
        <w:sectPr>
          <w:footerReference r:id="rId51" w:type="default"/>
          <w:pgSz w:w="11900" w:h="16840"/>
          <w:pgMar w:top="1160" w:right="1231" w:bottom="1448" w:left="1240" w:header="883" w:footer="1234" w:gutter="0"/>
          <w:pgNumType w:fmt="decimal"/>
          <w:cols w:space="720" w:num="1"/>
        </w:sectPr>
      </w:pPr>
    </w:p>
    <w:p>
      <w:pPr>
        <w:spacing w:before="292" w:line="220" w:lineRule="auto"/>
        <w:ind w:left="148"/>
        <w:jc w:val="left"/>
        <w:outlineLvl w:val="3"/>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pacing w:val="-3"/>
          <w:sz w:val="24"/>
          <w:szCs w:val="24"/>
          <w:highlight w:val="none"/>
        </w:rPr>
        <w:t>附表七  临时占地计划表</w:t>
      </w:r>
    </w:p>
    <w:p>
      <w:pPr>
        <w:rPr>
          <w:color w:val="auto"/>
          <w:highlight w:val="none"/>
        </w:rPr>
      </w:pPr>
    </w:p>
    <w:p>
      <w:pPr>
        <w:rPr>
          <w:color w:val="auto"/>
          <w:highlight w:val="none"/>
        </w:rPr>
      </w:pPr>
    </w:p>
    <w:p>
      <w:pPr>
        <w:spacing w:line="61" w:lineRule="exact"/>
        <w:rPr>
          <w:color w:val="auto"/>
          <w:highlight w:val="none"/>
        </w:rPr>
      </w:pPr>
    </w:p>
    <w:tbl>
      <w:tblPr>
        <w:tblStyle w:val="26"/>
        <w:tblW w:w="939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31"/>
        <w:gridCol w:w="692"/>
        <w:gridCol w:w="694"/>
        <w:gridCol w:w="694"/>
        <w:gridCol w:w="692"/>
        <w:gridCol w:w="694"/>
        <w:gridCol w:w="1340"/>
        <w:gridCol w:w="658"/>
        <w:gridCol w:w="840"/>
        <w:gridCol w:w="85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2231" w:type="dxa"/>
            <w:vMerge w:val="restart"/>
            <w:tcBorders>
              <w:left w:val="single" w:color="000000" w:sz="10" w:space="0"/>
              <w:bottom w:val="nil"/>
              <w:right w:val="single" w:color="000000" w:sz="4" w:space="0"/>
            </w:tcBorders>
            <w:vAlign w:val="top"/>
          </w:tcPr>
          <w:p>
            <w:pPr>
              <w:spacing w:line="298" w:lineRule="auto"/>
              <w:rPr>
                <w:rFonts w:hint="eastAsia" w:ascii="宋体" w:hAnsi="宋体" w:eastAsia="宋体" w:cs="宋体"/>
                <w:color w:val="auto"/>
                <w:sz w:val="21"/>
                <w:szCs w:val="21"/>
                <w:highlight w:val="none"/>
              </w:rPr>
            </w:pPr>
          </w:p>
          <w:p>
            <w:pPr>
              <w:spacing w:line="298" w:lineRule="auto"/>
              <w:rPr>
                <w:rFonts w:hint="eastAsia" w:ascii="宋体" w:hAnsi="宋体" w:eastAsia="宋体" w:cs="宋体"/>
                <w:color w:val="auto"/>
                <w:sz w:val="21"/>
                <w:szCs w:val="21"/>
                <w:highlight w:val="none"/>
              </w:rPr>
            </w:pPr>
          </w:p>
          <w:p>
            <w:pPr>
              <w:spacing w:before="65" w:line="230" w:lineRule="auto"/>
              <w:ind w:left="846"/>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用</w:t>
            </w:r>
            <w:r>
              <w:rPr>
                <w:rFonts w:hint="eastAsia" w:ascii="宋体" w:hAnsi="宋体" w:eastAsia="宋体" w:cs="宋体"/>
                <w:color w:val="auto"/>
                <w:spacing w:val="4"/>
                <w:sz w:val="21"/>
                <w:szCs w:val="21"/>
                <w:highlight w:val="none"/>
              </w:rPr>
              <w:t xml:space="preserve"> 途</w:t>
            </w:r>
          </w:p>
        </w:tc>
        <w:tc>
          <w:tcPr>
            <w:tcW w:w="3466" w:type="dxa"/>
            <w:gridSpan w:val="5"/>
            <w:tcBorders>
              <w:left w:val="single" w:color="000000" w:sz="4" w:space="0"/>
              <w:right w:val="single" w:color="000000" w:sz="4" w:space="0"/>
            </w:tcBorders>
            <w:vAlign w:val="top"/>
          </w:tcPr>
          <w:p>
            <w:pPr>
              <w:spacing w:before="53" w:line="229" w:lineRule="auto"/>
              <w:ind w:left="1197"/>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面</w:t>
            </w:r>
            <w:r>
              <w:rPr>
                <w:rFonts w:hint="eastAsia" w:ascii="宋体" w:hAnsi="宋体" w:eastAsia="宋体" w:cs="宋体"/>
                <w:color w:val="auto"/>
                <w:spacing w:val="4"/>
                <w:sz w:val="21"/>
                <w:szCs w:val="21"/>
                <w:highlight w:val="none"/>
              </w:rPr>
              <w:t>积 (</w:t>
            </w:r>
            <w:r>
              <w:rPr>
                <w:rFonts w:hint="eastAsia" w:ascii="宋体" w:hAnsi="宋体" w:eastAsia="宋体" w:cs="宋体"/>
                <w:color w:val="auto"/>
                <w:sz w:val="21"/>
                <w:szCs w:val="21"/>
                <w:highlight w:val="none"/>
              </w:rPr>
              <w:t>m</w:t>
            </w:r>
            <w:r>
              <w:rPr>
                <w:rFonts w:hint="eastAsia" w:ascii="宋体" w:hAnsi="宋体" w:eastAsia="宋体" w:cs="宋体"/>
                <w:color w:val="auto"/>
                <w:spacing w:val="4"/>
                <w:position w:val="6"/>
                <w:sz w:val="21"/>
                <w:szCs w:val="21"/>
                <w:highlight w:val="none"/>
              </w:rPr>
              <w:t xml:space="preserve">2 </w:t>
            </w:r>
            <w:r>
              <w:rPr>
                <w:rFonts w:hint="eastAsia" w:ascii="宋体" w:hAnsi="宋体" w:eastAsia="宋体" w:cs="宋体"/>
                <w:color w:val="auto"/>
                <w:spacing w:val="4"/>
                <w:sz w:val="21"/>
                <w:szCs w:val="21"/>
                <w:highlight w:val="none"/>
              </w:rPr>
              <w:t>)</w:t>
            </w:r>
          </w:p>
        </w:tc>
        <w:tc>
          <w:tcPr>
            <w:tcW w:w="1340" w:type="dxa"/>
            <w:vMerge w:val="restart"/>
            <w:tcBorders>
              <w:left w:val="single" w:color="000000" w:sz="4" w:space="0"/>
              <w:bottom w:val="nil"/>
              <w:right w:val="single" w:color="000000" w:sz="4" w:space="0"/>
            </w:tcBorders>
            <w:vAlign w:val="top"/>
          </w:tcPr>
          <w:p>
            <w:pPr>
              <w:spacing w:before="53" w:line="229" w:lineRule="auto"/>
              <w:ind w:left="265"/>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需用时</w:t>
            </w:r>
            <w:r>
              <w:rPr>
                <w:rFonts w:hint="eastAsia" w:ascii="宋体" w:hAnsi="宋体" w:eastAsia="宋体" w:cs="宋体"/>
                <w:color w:val="auto"/>
                <w:spacing w:val="4"/>
                <w:sz w:val="21"/>
                <w:szCs w:val="21"/>
                <w:highlight w:val="none"/>
              </w:rPr>
              <w:t>间</w:t>
            </w:r>
            <w:r>
              <w:rPr>
                <w:rFonts w:hint="eastAsia" w:ascii="宋体" w:hAnsi="宋体" w:eastAsia="宋体" w:cs="宋体"/>
                <w:color w:val="auto"/>
                <w:spacing w:val="7"/>
                <w:sz w:val="21"/>
                <w:szCs w:val="21"/>
                <w:highlight w:val="none"/>
              </w:rPr>
              <w:t>___年__</w:t>
            </w:r>
            <w:r>
              <w:rPr>
                <w:rFonts w:hint="eastAsia" w:ascii="宋体" w:hAnsi="宋体" w:eastAsia="宋体" w:cs="宋体"/>
                <w:color w:val="auto"/>
                <w:spacing w:val="5"/>
                <w:sz w:val="21"/>
                <w:szCs w:val="21"/>
                <w:highlight w:val="none"/>
              </w:rPr>
              <w:t>月</w:t>
            </w:r>
            <w:r>
              <w:rPr>
                <w:rFonts w:hint="eastAsia" w:ascii="宋体" w:hAnsi="宋体" w:eastAsia="宋体" w:cs="宋体"/>
                <w:color w:val="auto"/>
                <w:spacing w:val="7"/>
                <w:sz w:val="21"/>
                <w:szCs w:val="21"/>
                <w:highlight w:val="none"/>
              </w:rPr>
              <w:t>至</w:t>
            </w:r>
            <w:r>
              <w:rPr>
                <w:rFonts w:hint="eastAsia" w:ascii="宋体" w:hAnsi="宋体" w:eastAsia="宋体" w:cs="宋体"/>
                <w:color w:val="auto"/>
                <w:spacing w:val="5"/>
                <w:sz w:val="21"/>
                <w:szCs w:val="21"/>
                <w:highlight w:val="none"/>
              </w:rPr>
              <w:t>____年__</w:t>
            </w:r>
            <w:r>
              <w:rPr>
                <w:rFonts w:hint="eastAsia" w:ascii="宋体" w:hAnsi="宋体" w:eastAsia="宋体" w:cs="宋体"/>
                <w:color w:val="auto"/>
                <w:sz w:val="21"/>
                <w:szCs w:val="21"/>
                <w:highlight w:val="none"/>
              </w:rPr>
              <w:t>月</w:t>
            </w:r>
          </w:p>
        </w:tc>
        <w:tc>
          <w:tcPr>
            <w:tcW w:w="2353" w:type="dxa"/>
            <w:gridSpan w:val="3"/>
            <w:tcBorders>
              <w:left w:val="single" w:color="000000" w:sz="4" w:space="0"/>
              <w:right w:val="single" w:color="000000" w:sz="10" w:space="0"/>
            </w:tcBorders>
            <w:vAlign w:val="top"/>
          </w:tcPr>
          <w:p>
            <w:pPr>
              <w:spacing w:before="53" w:line="230" w:lineRule="auto"/>
              <w:ind w:left="762"/>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用地位</w:t>
            </w:r>
            <w:r>
              <w:rPr>
                <w:rFonts w:hint="eastAsia" w:ascii="宋体" w:hAnsi="宋体" w:eastAsia="宋体" w:cs="宋体"/>
                <w:color w:val="auto"/>
                <w:spacing w:val="6"/>
                <w:sz w:val="21"/>
                <w:szCs w:val="21"/>
                <w:highlight w:val="none"/>
              </w:rPr>
              <w:t>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1" w:hRule="atLeast"/>
        </w:trPr>
        <w:tc>
          <w:tcPr>
            <w:tcW w:w="2231" w:type="dxa"/>
            <w:vMerge w:val="continue"/>
            <w:tcBorders>
              <w:top w:val="nil"/>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spacing w:line="365" w:lineRule="auto"/>
              <w:rPr>
                <w:rFonts w:hint="eastAsia" w:ascii="宋体" w:hAnsi="宋体" w:eastAsia="宋体" w:cs="宋体"/>
                <w:color w:val="auto"/>
                <w:sz w:val="21"/>
                <w:szCs w:val="21"/>
                <w:highlight w:val="none"/>
              </w:rPr>
            </w:pPr>
          </w:p>
          <w:p>
            <w:pPr>
              <w:spacing w:before="65" w:line="228" w:lineRule="auto"/>
              <w:ind w:left="104"/>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菜</w:t>
            </w:r>
            <w:r>
              <w:rPr>
                <w:rFonts w:hint="eastAsia" w:ascii="宋体" w:hAnsi="宋体" w:eastAsia="宋体" w:cs="宋体"/>
                <w:color w:val="auto"/>
                <w:spacing w:val="4"/>
                <w:sz w:val="21"/>
                <w:szCs w:val="21"/>
                <w:highlight w:val="none"/>
              </w:rPr>
              <w:t>地</w:t>
            </w:r>
          </w:p>
        </w:tc>
        <w:tc>
          <w:tcPr>
            <w:tcW w:w="694" w:type="dxa"/>
            <w:tcBorders>
              <w:left w:val="single" w:color="000000" w:sz="4" w:space="0"/>
              <w:right w:val="single" w:color="000000" w:sz="4" w:space="0"/>
            </w:tcBorders>
            <w:vAlign w:val="top"/>
          </w:tcPr>
          <w:p>
            <w:pPr>
              <w:spacing w:line="365" w:lineRule="auto"/>
              <w:rPr>
                <w:rFonts w:hint="eastAsia" w:ascii="宋体" w:hAnsi="宋体" w:eastAsia="宋体" w:cs="宋体"/>
                <w:color w:val="auto"/>
                <w:sz w:val="21"/>
                <w:szCs w:val="21"/>
                <w:highlight w:val="none"/>
              </w:rPr>
            </w:pPr>
          </w:p>
          <w:p>
            <w:pPr>
              <w:spacing w:before="65" w:line="228" w:lineRule="auto"/>
              <w:ind w:left="108"/>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水田</w:t>
            </w:r>
          </w:p>
        </w:tc>
        <w:tc>
          <w:tcPr>
            <w:tcW w:w="694" w:type="dxa"/>
            <w:tcBorders>
              <w:left w:val="single" w:color="000000" w:sz="4" w:space="0"/>
              <w:right w:val="single" w:color="000000" w:sz="4" w:space="0"/>
            </w:tcBorders>
            <w:vAlign w:val="top"/>
          </w:tcPr>
          <w:p>
            <w:pPr>
              <w:spacing w:line="365" w:lineRule="auto"/>
              <w:rPr>
                <w:rFonts w:hint="eastAsia" w:ascii="宋体" w:hAnsi="宋体" w:eastAsia="宋体" w:cs="宋体"/>
                <w:color w:val="auto"/>
                <w:sz w:val="21"/>
                <w:szCs w:val="21"/>
                <w:highlight w:val="none"/>
              </w:rPr>
            </w:pPr>
          </w:p>
          <w:p>
            <w:pPr>
              <w:spacing w:before="65" w:line="230" w:lineRule="auto"/>
              <w:ind w:left="108"/>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旱地</w:t>
            </w:r>
          </w:p>
        </w:tc>
        <w:tc>
          <w:tcPr>
            <w:tcW w:w="692" w:type="dxa"/>
            <w:tcBorders>
              <w:left w:val="single" w:color="000000" w:sz="4" w:space="0"/>
              <w:right w:val="single" w:color="000000" w:sz="4" w:space="0"/>
            </w:tcBorders>
            <w:vAlign w:val="top"/>
          </w:tcPr>
          <w:p>
            <w:pPr>
              <w:spacing w:line="365" w:lineRule="auto"/>
              <w:rPr>
                <w:rFonts w:hint="eastAsia" w:ascii="宋体" w:hAnsi="宋体" w:eastAsia="宋体" w:cs="宋体"/>
                <w:color w:val="auto"/>
                <w:sz w:val="21"/>
                <w:szCs w:val="21"/>
                <w:highlight w:val="none"/>
              </w:rPr>
            </w:pPr>
          </w:p>
          <w:p>
            <w:pPr>
              <w:spacing w:before="65" w:line="229" w:lineRule="auto"/>
              <w:ind w:left="111"/>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果</w:t>
            </w:r>
            <w:r>
              <w:rPr>
                <w:rFonts w:hint="eastAsia" w:ascii="宋体" w:hAnsi="宋体" w:eastAsia="宋体" w:cs="宋体"/>
                <w:color w:val="auto"/>
                <w:spacing w:val="2"/>
                <w:sz w:val="21"/>
                <w:szCs w:val="21"/>
                <w:highlight w:val="none"/>
              </w:rPr>
              <w:t>园</w:t>
            </w:r>
          </w:p>
        </w:tc>
        <w:tc>
          <w:tcPr>
            <w:tcW w:w="694" w:type="dxa"/>
            <w:tcBorders>
              <w:left w:val="single" w:color="000000" w:sz="4" w:space="0"/>
              <w:right w:val="single" w:color="000000" w:sz="4" w:space="0"/>
            </w:tcBorders>
            <w:vAlign w:val="top"/>
          </w:tcPr>
          <w:p>
            <w:pPr>
              <w:spacing w:line="365" w:lineRule="auto"/>
              <w:rPr>
                <w:rFonts w:hint="eastAsia" w:ascii="宋体" w:hAnsi="宋体" w:eastAsia="宋体" w:cs="宋体"/>
                <w:color w:val="auto"/>
                <w:sz w:val="21"/>
                <w:szCs w:val="21"/>
                <w:highlight w:val="none"/>
              </w:rPr>
            </w:pPr>
          </w:p>
          <w:p>
            <w:pPr>
              <w:spacing w:before="65" w:line="228" w:lineRule="auto"/>
              <w:ind w:left="111"/>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荒地</w:t>
            </w:r>
          </w:p>
        </w:tc>
        <w:tc>
          <w:tcPr>
            <w:tcW w:w="1340" w:type="dxa"/>
            <w:vMerge w:val="continue"/>
            <w:tcBorders>
              <w:top w:val="nil"/>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58" w:type="dxa"/>
            <w:tcBorders>
              <w:left w:val="single" w:color="000000" w:sz="4" w:space="0"/>
              <w:right w:val="single" w:color="000000" w:sz="4" w:space="0"/>
            </w:tcBorders>
            <w:vAlign w:val="top"/>
          </w:tcPr>
          <w:p>
            <w:pPr>
              <w:spacing w:line="365" w:lineRule="auto"/>
              <w:rPr>
                <w:rFonts w:hint="eastAsia" w:ascii="宋体" w:hAnsi="宋体" w:eastAsia="宋体" w:cs="宋体"/>
                <w:color w:val="auto"/>
                <w:sz w:val="21"/>
                <w:szCs w:val="21"/>
                <w:highlight w:val="none"/>
              </w:rPr>
            </w:pPr>
          </w:p>
          <w:p>
            <w:pPr>
              <w:spacing w:before="65" w:line="228" w:lineRule="auto"/>
              <w:ind w:left="117"/>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桩</w:t>
            </w:r>
            <w:r>
              <w:rPr>
                <w:rFonts w:hint="eastAsia" w:ascii="宋体" w:hAnsi="宋体" w:eastAsia="宋体" w:cs="宋体"/>
                <w:color w:val="auto"/>
                <w:spacing w:val="4"/>
                <w:sz w:val="21"/>
                <w:szCs w:val="21"/>
                <w:highlight w:val="none"/>
              </w:rPr>
              <w:t>号</w:t>
            </w:r>
          </w:p>
        </w:tc>
        <w:tc>
          <w:tcPr>
            <w:tcW w:w="840" w:type="dxa"/>
            <w:tcBorders>
              <w:left w:val="single" w:color="000000" w:sz="4" w:space="0"/>
              <w:right w:val="single" w:color="000000" w:sz="4" w:space="0"/>
            </w:tcBorders>
            <w:vAlign w:val="top"/>
          </w:tcPr>
          <w:p>
            <w:pPr>
              <w:spacing w:before="229" w:line="386" w:lineRule="auto"/>
              <w:ind w:left="129" w:right="94" w:hanging="8"/>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左</w:t>
            </w:r>
            <w:r>
              <w:rPr>
                <w:rFonts w:hint="eastAsia" w:ascii="宋体" w:hAnsi="宋体" w:eastAsia="宋体" w:cs="宋体"/>
                <w:color w:val="auto"/>
                <w:spacing w:val="3"/>
                <w:sz w:val="21"/>
                <w:szCs w:val="21"/>
                <w:highlight w:val="none"/>
              </w:rPr>
              <w:t>侧</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6"/>
                <w:sz w:val="21"/>
                <w:szCs w:val="21"/>
                <w:highlight w:val="none"/>
              </w:rPr>
              <w:t>(</w:t>
            </w:r>
            <w:r>
              <w:rPr>
                <w:rFonts w:hint="eastAsia" w:ascii="宋体" w:hAnsi="宋体" w:eastAsia="宋体" w:cs="宋体"/>
                <w:color w:val="auto"/>
                <w:spacing w:val="-4"/>
                <w:sz w:val="21"/>
                <w:szCs w:val="21"/>
                <w:highlight w:val="none"/>
              </w:rPr>
              <w:t xml:space="preserve"> m )</w:t>
            </w:r>
          </w:p>
        </w:tc>
        <w:tc>
          <w:tcPr>
            <w:tcW w:w="855" w:type="dxa"/>
            <w:tcBorders>
              <w:left w:val="single" w:color="000000" w:sz="4" w:space="0"/>
              <w:right w:val="single" w:color="000000" w:sz="10" w:space="0"/>
            </w:tcBorders>
            <w:vAlign w:val="top"/>
          </w:tcPr>
          <w:p>
            <w:pPr>
              <w:spacing w:before="229" w:line="386" w:lineRule="auto"/>
              <w:ind w:left="129" w:right="102" w:hanging="8"/>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右</w:t>
            </w:r>
            <w:r>
              <w:rPr>
                <w:rFonts w:hint="eastAsia" w:ascii="宋体" w:hAnsi="宋体" w:eastAsia="宋体" w:cs="宋体"/>
                <w:color w:val="auto"/>
                <w:spacing w:val="3"/>
                <w:sz w:val="21"/>
                <w:szCs w:val="21"/>
                <w:highlight w:val="none"/>
              </w:rPr>
              <w:t>侧</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4"/>
                <w:sz w:val="21"/>
                <w:szCs w:val="21"/>
                <w:highlight w:val="none"/>
              </w:rPr>
              <w:t>( m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2231" w:type="dxa"/>
            <w:tcBorders>
              <w:left w:val="single" w:color="000000" w:sz="10" w:space="0"/>
              <w:right w:val="single" w:color="000000" w:sz="4" w:space="0"/>
            </w:tcBorders>
            <w:vAlign w:val="top"/>
          </w:tcPr>
          <w:p>
            <w:pPr>
              <w:spacing w:before="32" w:line="343" w:lineRule="exact"/>
              <w:ind w:left="106"/>
              <w:rPr>
                <w:rFonts w:hint="eastAsia" w:ascii="宋体" w:hAnsi="宋体" w:eastAsia="宋体" w:cs="宋体"/>
                <w:color w:val="auto"/>
                <w:sz w:val="21"/>
                <w:szCs w:val="21"/>
                <w:highlight w:val="none"/>
              </w:rPr>
            </w:pPr>
            <w:r>
              <w:rPr>
                <w:rFonts w:hint="eastAsia" w:ascii="宋体" w:hAnsi="宋体" w:eastAsia="宋体" w:cs="宋体"/>
                <w:color w:val="auto"/>
                <w:spacing w:val="11"/>
                <w:position w:val="2"/>
                <w:sz w:val="21"/>
                <w:szCs w:val="21"/>
                <w:highlight w:val="none"/>
              </w:rPr>
              <w:t>一</w:t>
            </w:r>
            <w:r>
              <w:rPr>
                <w:rFonts w:hint="eastAsia" w:ascii="宋体" w:hAnsi="宋体" w:eastAsia="宋体" w:cs="宋体"/>
                <w:color w:val="auto"/>
                <w:spacing w:val="7"/>
                <w:position w:val="2"/>
                <w:sz w:val="21"/>
                <w:szCs w:val="21"/>
                <w:highlight w:val="none"/>
              </w:rPr>
              <w:t>、临时工程</w:t>
            </w: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3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55"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2231" w:type="dxa"/>
            <w:tcBorders>
              <w:left w:val="single" w:color="000000" w:sz="10" w:space="0"/>
              <w:right w:val="single" w:color="000000" w:sz="4" w:space="0"/>
            </w:tcBorders>
            <w:vAlign w:val="top"/>
          </w:tcPr>
          <w:p>
            <w:pPr>
              <w:spacing w:before="35" w:line="228" w:lineRule="auto"/>
              <w:ind w:left="119"/>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w:t>
            </w:r>
            <w:r>
              <w:rPr>
                <w:rFonts w:hint="eastAsia" w:ascii="宋体" w:hAnsi="宋体" w:eastAsia="宋体" w:cs="宋体"/>
                <w:color w:val="auto"/>
                <w:sz w:val="21"/>
                <w:szCs w:val="21"/>
                <w:highlight w:val="none"/>
              </w:rPr>
              <w:t>.便道</w:t>
            </w: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3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55"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2231" w:type="dxa"/>
            <w:tcBorders>
              <w:left w:val="single" w:color="000000" w:sz="10" w:space="0"/>
              <w:right w:val="single" w:color="000000" w:sz="4" w:space="0"/>
            </w:tcBorders>
            <w:vAlign w:val="top"/>
          </w:tcPr>
          <w:p>
            <w:pPr>
              <w:spacing w:before="33" w:line="228" w:lineRule="auto"/>
              <w:ind w:left="99"/>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2.便</w:t>
            </w:r>
            <w:r>
              <w:rPr>
                <w:rFonts w:hint="eastAsia" w:ascii="宋体" w:hAnsi="宋体" w:eastAsia="宋体" w:cs="宋体"/>
                <w:color w:val="auto"/>
                <w:spacing w:val="4"/>
                <w:sz w:val="21"/>
                <w:szCs w:val="21"/>
                <w:highlight w:val="none"/>
              </w:rPr>
              <w:t>桥</w:t>
            </w: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3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55"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2231" w:type="dxa"/>
            <w:tcBorders>
              <w:left w:val="single" w:color="000000" w:sz="10" w:space="0"/>
              <w:right w:val="single" w:color="000000" w:sz="4" w:space="0"/>
            </w:tcBorders>
            <w:vAlign w:val="top"/>
          </w:tcPr>
          <w:p>
            <w:pPr>
              <w:spacing w:before="57" w:line="192" w:lineRule="auto"/>
              <w:ind w:left="103"/>
              <w:rPr>
                <w:rFonts w:hint="eastAsia" w:ascii="宋体" w:hAnsi="宋体" w:eastAsia="宋体" w:cs="宋体"/>
                <w:color w:val="auto"/>
                <w:sz w:val="21"/>
                <w:szCs w:val="21"/>
                <w:highlight w:val="none"/>
              </w:rPr>
            </w:pPr>
            <w:r>
              <w:rPr>
                <w:rFonts w:hint="eastAsia" w:ascii="宋体" w:hAnsi="宋体" w:eastAsia="宋体" w:cs="宋体"/>
                <w:color w:val="auto"/>
                <w:spacing w:val="-14"/>
                <w:sz w:val="21"/>
                <w:szCs w:val="21"/>
                <w:highlight w:val="none"/>
              </w:rPr>
              <w:t>3</w:t>
            </w:r>
            <w:r>
              <w:rPr>
                <w:rFonts w:hint="eastAsia" w:ascii="宋体" w:hAnsi="宋体" w:eastAsia="宋体" w:cs="宋体"/>
                <w:color w:val="auto"/>
                <w:spacing w:val="-10"/>
                <w:sz w:val="21"/>
                <w:szCs w:val="21"/>
                <w:highlight w:val="none"/>
              </w:rPr>
              <w:t xml:space="preserve"> …… ..</w:t>
            </w: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3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55"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 w:hRule="atLeast"/>
        </w:trPr>
        <w:tc>
          <w:tcPr>
            <w:tcW w:w="2231" w:type="dxa"/>
            <w:tcBorders>
              <w:left w:val="single" w:color="000000" w:sz="10" w:space="0"/>
              <w:right w:val="single" w:color="000000" w:sz="4" w:space="0"/>
            </w:tcBorders>
            <w:vAlign w:val="top"/>
          </w:tcPr>
          <w:p>
            <w:pPr>
              <w:spacing w:before="36" w:line="408" w:lineRule="exact"/>
              <w:ind w:left="106"/>
              <w:rPr>
                <w:rFonts w:hint="eastAsia" w:ascii="宋体" w:hAnsi="宋体" w:eastAsia="宋体" w:cs="宋体"/>
                <w:color w:val="auto"/>
                <w:sz w:val="21"/>
                <w:szCs w:val="21"/>
                <w:highlight w:val="none"/>
              </w:rPr>
            </w:pPr>
            <w:r>
              <w:rPr>
                <w:rFonts w:hint="eastAsia" w:ascii="宋体" w:hAnsi="宋体" w:eastAsia="宋体" w:cs="宋体"/>
                <w:color w:val="auto"/>
                <w:spacing w:val="-1"/>
                <w:position w:val="15"/>
                <w:sz w:val="21"/>
                <w:szCs w:val="21"/>
                <w:highlight w:val="none"/>
              </w:rPr>
              <w:t>二、生产及生</w:t>
            </w:r>
            <w:r>
              <w:rPr>
                <w:rFonts w:hint="eastAsia" w:ascii="宋体" w:hAnsi="宋体" w:eastAsia="宋体" w:cs="宋体"/>
                <w:color w:val="auto"/>
                <w:position w:val="15"/>
                <w:sz w:val="21"/>
                <w:szCs w:val="21"/>
                <w:highlight w:val="none"/>
              </w:rPr>
              <w:t>活临时设</w:t>
            </w:r>
            <w:r>
              <w:rPr>
                <w:rFonts w:hint="eastAsia" w:ascii="宋体" w:hAnsi="宋体" w:eastAsia="宋体" w:cs="宋体"/>
                <w:color w:val="auto"/>
                <w:spacing w:val="1"/>
                <w:sz w:val="21"/>
                <w:szCs w:val="21"/>
                <w:highlight w:val="none"/>
              </w:rPr>
              <w:t>施</w:t>
            </w: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3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55"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2231" w:type="dxa"/>
            <w:tcBorders>
              <w:left w:val="single" w:color="000000" w:sz="10" w:space="0"/>
              <w:right w:val="single" w:color="000000" w:sz="4" w:space="0"/>
            </w:tcBorders>
            <w:vAlign w:val="top"/>
          </w:tcPr>
          <w:p>
            <w:pPr>
              <w:spacing w:before="35" w:line="228" w:lineRule="auto"/>
              <w:ind w:left="119"/>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3"/>
                <w:sz w:val="21"/>
                <w:szCs w:val="21"/>
                <w:highlight w:val="none"/>
              </w:rPr>
              <w:t>.临时住房</w:t>
            </w: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3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55"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2231" w:type="dxa"/>
            <w:tcBorders>
              <w:left w:val="single" w:color="000000" w:sz="10" w:space="0"/>
              <w:right w:val="single" w:color="000000" w:sz="4" w:space="0"/>
            </w:tcBorders>
            <w:vAlign w:val="top"/>
          </w:tcPr>
          <w:p>
            <w:pPr>
              <w:spacing w:before="34" w:line="228" w:lineRule="auto"/>
              <w:ind w:left="99"/>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2.办公等公用房</w:t>
            </w:r>
            <w:r>
              <w:rPr>
                <w:rFonts w:hint="eastAsia" w:ascii="宋体" w:hAnsi="宋体" w:eastAsia="宋体" w:cs="宋体"/>
                <w:color w:val="auto"/>
                <w:spacing w:val="6"/>
                <w:sz w:val="21"/>
                <w:szCs w:val="21"/>
                <w:highlight w:val="none"/>
              </w:rPr>
              <w:t>屋</w:t>
            </w: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3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55"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2231" w:type="dxa"/>
            <w:tcBorders>
              <w:left w:val="single" w:color="000000" w:sz="10" w:space="0"/>
              <w:right w:val="single" w:color="000000" w:sz="4" w:space="0"/>
            </w:tcBorders>
            <w:vAlign w:val="top"/>
          </w:tcPr>
          <w:p>
            <w:pPr>
              <w:spacing w:before="36" w:line="228" w:lineRule="auto"/>
              <w:ind w:left="103"/>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3</w:t>
            </w:r>
            <w:r>
              <w:rPr>
                <w:rFonts w:hint="eastAsia" w:ascii="宋体" w:hAnsi="宋体" w:eastAsia="宋体" w:cs="宋体"/>
                <w:color w:val="auto"/>
                <w:spacing w:val="3"/>
                <w:sz w:val="21"/>
                <w:szCs w:val="21"/>
                <w:highlight w:val="none"/>
              </w:rPr>
              <w:t>.料库</w:t>
            </w: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3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55"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2231" w:type="dxa"/>
            <w:tcBorders>
              <w:left w:val="single" w:color="000000" w:sz="10" w:space="0"/>
              <w:right w:val="single" w:color="000000" w:sz="4" w:space="0"/>
            </w:tcBorders>
            <w:vAlign w:val="top"/>
          </w:tcPr>
          <w:p>
            <w:pPr>
              <w:spacing w:before="35" w:line="228" w:lineRule="auto"/>
              <w:ind w:left="98"/>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4</w:t>
            </w:r>
            <w:r>
              <w:rPr>
                <w:rFonts w:hint="eastAsia" w:ascii="宋体" w:hAnsi="宋体" w:eastAsia="宋体" w:cs="宋体"/>
                <w:color w:val="auto"/>
                <w:spacing w:val="6"/>
                <w:sz w:val="21"/>
                <w:szCs w:val="21"/>
                <w:highlight w:val="none"/>
              </w:rPr>
              <w:t>.预制场</w:t>
            </w: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3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55"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2231" w:type="dxa"/>
            <w:tcBorders>
              <w:left w:val="single" w:color="000000" w:sz="10" w:space="0"/>
              <w:right w:val="single" w:color="000000" w:sz="4" w:space="0"/>
            </w:tcBorders>
            <w:vAlign w:val="top"/>
          </w:tcPr>
          <w:p>
            <w:pPr>
              <w:spacing w:before="182" w:line="63" w:lineRule="exact"/>
              <w:ind w:left="118"/>
              <w:rPr>
                <w:rFonts w:hint="eastAsia" w:ascii="宋体" w:hAnsi="宋体" w:eastAsia="宋体" w:cs="宋体"/>
                <w:color w:val="auto"/>
                <w:sz w:val="21"/>
                <w:szCs w:val="21"/>
                <w:highlight w:val="none"/>
              </w:rPr>
            </w:pPr>
            <w:r>
              <w:rPr>
                <w:rFonts w:hint="eastAsia" w:ascii="宋体" w:hAnsi="宋体" w:eastAsia="宋体" w:cs="宋体"/>
                <w:color w:val="auto"/>
                <w:spacing w:val="-12"/>
                <w:position w:val="1"/>
                <w:sz w:val="21"/>
                <w:szCs w:val="21"/>
                <w:highlight w:val="none"/>
              </w:rPr>
              <w:t>…</w:t>
            </w:r>
            <w:r>
              <w:rPr>
                <w:rFonts w:hint="eastAsia" w:ascii="宋体" w:hAnsi="宋体" w:eastAsia="宋体" w:cs="宋体"/>
                <w:color w:val="auto"/>
                <w:spacing w:val="-8"/>
                <w:position w:val="1"/>
                <w:sz w:val="21"/>
                <w:szCs w:val="21"/>
                <w:highlight w:val="none"/>
              </w:rPr>
              <w:t>… ..</w:t>
            </w: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3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55"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2231" w:type="dxa"/>
            <w:tcBorders>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3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55"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2231" w:type="dxa"/>
            <w:tcBorders>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3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55"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2231" w:type="dxa"/>
            <w:tcBorders>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3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55"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2231" w:type="dxa"/>
            <w:tcBorders>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3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55"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2231" w:type="dxa"/>
            <w:tcBorders>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3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55"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2231" w:type="dxa"/>
            <w:tcBorders>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3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55"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2231" w:type="dxa"/>
            <w:tcBorders>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3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55"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2231" w:type="dxa"/>
            <w:tcBorders>
              <w:left w:val="single" w:color="000000" w:sz="10" w:space="0"/>
              <w:right w:val="single" w:color="000000" w:sz="4" w:space="0"/>
            </w:tcBorders>
            <w:vAlign w:val="top"/>
          </w:tcPr>
          <w:p>
            <w:pPr>
              <w:spacing w:before="38" w:line="229" w:lineRule="auto"/>
              <w:ind w:left="104"/>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租用面积合</w:t>
            </w:r>
            <w:r>
              <w:rPr>
                <w:rFonts w:hint="eastAsia" w:ascii="宋体" w:hAnsi="宋体" w:eastAsia="宋体" w:cs="宋体"/>
                <w:color w:val="auto"/>
                <w:spacing w:val="7"/>
                <w:sz w:val="21"/>
                <w:szCs w:val="21"/>
                <w:highlight w:val="none"/>
              </w:rPr>
              <w:t>计</w:t>
            </w: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2"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94"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3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658"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40"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855"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bl>
    <w:p>
      <w:pPr>
        <w:rPr>
          <w:rFonts w:ascii="Arial"/>
          <w:color w:val="auto"/>
          <w:sz w:val="21"/>
          <w:highlight w:val="none"/>
        </w:rPr>
      </w:pPr>
    </w:p>
    <w:p>
      <w:pPr>
        <w:rPr>
          <w:color w:val="auto"/>
          <w:highlight w:val="none"/>
        </w:rPr>
        <w:sectPr>
          <w:pgSz w:w="11900" w:h="16840"/>
          <w:pgMar w:top="1160" w:right="1244" w:bottom="1448" w:left="1240" w:header="883" w:footer="1234" w:gutter="0"/>
          <w:pgNumType w:fmt="decimal"/>
          <w:cols w:space="720" w:num="1"/>
        </w:sectPr>
      </w:pPr>
    </w:p>
    <w:p>
      <w:pPr>
        <w:spacing w:before="292" w:line="220" w:lineRule="auto"/>
        <w:ind w:left="148"/>
        <w:jc w:val="left"/>
        <w:outlineLvl w:val="3"/>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pacing w:val="-3"/>
          <w:sz w:val="24"/>
          <w:szCs w:val="24"/>
          <w:highlight w:val="none"/>
        </w:rPr>
        <w:t>附表八  外供电力需求计划表</w:t>
      </w:r>
    </w:p>
    <w:p>
      <w:pPr>
        <w:rPr>
          <w:color w:val="auto"/>
          <w:highlight w:val="none"/>
        </w:rPr>
      </w:pPr>
    </w:p>
    <w:p>
      <w:pPr>
        <w:rPr>
          <w:color w:val="auto"/>
          <w:highlight w:val="none"/>
        </w:rPr>
      </w:pPr>
    </w:p>
    <w:p>
      <w:pPr>
        <w:spacing w:line="61" w:lineRule="exact"/>
        <w:rPr>
          <w:color w:val="auto"/>
          <w:highlight w:val="none"/>
        </w:rPr>
      </w:pPr>
    </w:p>
    <w:tbl>
      <w:tblPr>
        <w:tblStyle w:val="26"/>
        <w:tblW w:w="8972"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14"/>
        <w:gridCol w:w="1299"/>
        <w:gridCol w:w="1711"/>
        <w:gridCol w:w="1563"/>
        <w:gridCol w:w="1821"/>
        <w:gridCol w:w="126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2613" w:type="dxa"/>
            <w:gridSpan w:val="2"/>
            <w:tcBorders>
              <w:left w:val="single" w:color="000000" w:sz="10" w:space="0"/>
              <w:right w:val="single" w:color="000000" w:sz="4" w:space="0"/>
            </w:tcBorders>
            <w:vAlign w:val="top"/>
          </w:tcPr>
          <w:p>
            <w:pPr>
              <w:spacing w:before="141" w:line="230" w:lineRule="auto"/>
              <w:ind w:left="880"/>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用电位</w:t>
            </w:r>
            <w:r>
              <w:rPr>
                <w:rFonts w:hint="eastAsia" w:ascii="宋体" w:hAnsi="宋体" w:eastAsia="宋体" w:cs="宋体"/>
                <w:color w:val="auto"/>
                <w:spacing w:val="6"/>
                <w:sz w:val="21"/>
                <w:szCs w:val="21"/>
                <w:highlight w:val="none"/>
              </w:rPr>
              <w:t>置</w:t>
            </w:r>
          </w:p>
        </w:tc>
        <w:tc>
          <w:tcPr>
            <w:tcW w:w="1711" w:type="dxa"/>
            <w:vMerge w:val="restart"/>
            <w:tcBorders>
              <w:left w:val="single" w:color="000000" w:sz="4" w:space="0"/>
              <w:bottom w:val="nil"/>
              <w:right w:val="single" w:color="000000" w:sz="4" w:space="0"/>
            </w:tcBorders>
            <w:vAlign w:val="top"/>
          </w:tcPr>
          <w:p>
            <w:pPr>
              <w:spacing w:before="257" w:line="228" w:lineRule="auto"/>
              <w:ind w:left="224"/>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计</w:t>
            </w:r>
            <w:r>
              <w:rPr>
                <w:rFonts w:hint="eastAsia" w:ascii="宋体" w:hAnsi="宋体" w:eastAsia="宋体" w:cs="宋体"/>
                <w:color w:val="auto"/>
                <w:spacing w:val="8"/>
                <w:sz w:val="21"/>
                <w:szCs w:val="21"/>
                <w:highlight w:val="none"/>
              </w:rPr>
              <w:t>划用电数量</w:t>
            </w:r>
            <w:r>
              <w:rPr>
                <w:rFonts w:hint="eastAsia" w:ascii="宋体" w:hAnsi="宋体" w:eastAsia="宋体" w:cs="宋体"/>
                <w:color w:val="auto"/>
                <w:spacing w:val="15"/>
                <w:position w:val="1"/>
                <w:sz w:val="21"/>
                <w:szCs w:val="21"/>
                <w:highlight w:val="none"/>
              </w:rPr>
              <w:t>(</w:t>
            </w:r>
            <w:r>
              <w:rPr>
                <w:rFonts w:hint="eastAsia" w:ascii="宋体" w:hAnsi="宋体" w:eastAsia="宋体" w:cs="宋体"/>
                <w:color w:val="auto"/>
                <w:position w:val="1"/>
                <w:sz w:val="21"/>
                <w:szCs w:val="21"/>
                <w:highlight w:val="none"/>
              </w:rPr>
              <w:t>kw</w:t>
            </w:r>
            <w:r>
              <w:rPr>
                <w:rFonts w:hint="eastAsia" w:ascii="宋体" w:hAnsi="宋体" w:eastAsia="宋体" w:cs="宋体"/>
                <w:color w:val="auto"/>
                <w:spacing w:val="15"/>
                <w:position w:val="1"/>
                <w:sz w:val="21"/>
                <w:szCs w:val="21"/>
                <w:highlight w:val="none"/>
              </w:rPr>
              <w:t>·</w:t>
            </w:r>
            <w:r>
              <w:rPr>
                <w:rFonts w:hint="eastAsia" w:ascii="宋体" w:hAnsi="宋体" w:eastAsia="宋体" w:cs="宋体"/>
                <w:color w:val="auto"/>
                <w:position w:val="1"/>
                <w:sz w:val="21"/>
                <w:szCs w:val="21"/>
                <w:highlight w:val="none"/>
              </w:rPr>
              <w:t>h</w:t>
            </w:r>
            <w:r>
              <w:rPr>
                <w:rFonts w:hint="eastAsia" w:ascii="宋体" w:hAnsi="宋体" w:eastAsia="宋体" w:cs="宋体"/>
                <w:color w:val="auto"/>
                <w:spacing w:val="15"/>
                <w:position w:val="1"/>
                <w:sz w:val="21"/>
                <w:szCs w:val="21"/>
                <w:highlight w:val="none"/>
              </w:rPr>
              <w:t>)</w:t>
            </w:r>
          </w:p>
        </w:tc>
        <w:tc>
          <w:tcPr>
            <w:tcW w:w="1563" w:type="dxa"/>
            <w:vMerge w:val="restart"/>
            <w:tcBorders>
              <w:left w:val="single" w:color="000000" w:sz="4" w:space="0"/>
              <w:bottom w:val="nil"/>
              <w:right w:val="single" w:color="000000" w:sz="4" w:space="0"/>
            </w:tcBorders>
            <w:vAlign w:val="top"/>
          </w:tcPr>
          <w:p>
            <w:pPr>
              <w:spacing w:line="393" w:lineRule="auto"/>
              <w:rPr>
                <w:rFonts w:hint="eastAsia" w:ascii="宋体" w:hAnsi="宋体" w:eastAsia="宋体" w:cs="宋体"/>
                <w:color w:val="auto"/>
                <w:sz w:val="21"/>
                <w:szCs w:val="21"/>
                <w:highlight w:val="none"/>
              </w:rPr>
            </w:pPr>
          </w:p>
          <w:p>
            <w:pPr>
              <w:spacing w:before="65" w:line="230" w:lineRule="auto"/>
              <w:ind w:left="576"/>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用</w:t>
            </w:r>
            <w:r>
              <w:rPr>
                <w:rFonts w:hint="eastAsia" w:ascii="宋体" w:hAnsi="宋体" w:eastAsia="宋体" w:cs="宋体"/>
                <w:color w:val="auto"/>
                <w:spacing w:val="3"/>
                <w:sz w:val="21"/>
                <w:szCs w:val="21"/>
                <w:highlight w:val="none"/>
              </w:rPr>
              <w:t>途</w:t>
            </w:r>
          </w:p>
        </w:tc>
        <w:tc>
          <w:tcPr>
            <w:tcW w:w="1821" w:type="dxa"/>
            <w:vMerge w:val="restart"/>
            <w:tcBorders>
              <w:left w:val="single" w:color="000000" w:sz="4" w:space="0"/>
              <w:bottom w:val="nil"/>
              <w:right w:val="single" w:color="000000" w:sz="4" w:space="0"/>
            </w:tcBorders>
            <w:vAlign w:val="top"/>
          </w:tcPr>
          <w:p>
            <w:pPr>
              <w:spacing w:before="53" w:line="229" w:lineRule="auto"/>
              <w:ind w:left="509"/>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需用时</w:t>
            </w:r>
            <w:r>
              <w:rPr>
                <w:rFonts w:hint="eastAsia" w:ascii="宋体" w:hAnsi="宋体" w:eastAsia="宋体" w:cs="宋体"/>
                <w:color w:val="auto"/>
                <w:spacing w:val="4"/>
                <w:sz w:val="21"/>
                <w:szCs w:val="21"/>
                <w:highlight w:val="none"/>
              </w:rPr>
              <w:t>间</w:t>
            </w:r>
            <w:r>
              <w:rPr>
                <w:rFonts w:hint="eastAsia" w:ascii="宋体" w:hAnsi="宋体" w:eastAsia="宋体" w:cs="宋体"/>
                <w:color w:val="auto"/>
                <w:spacing w:val="11"/>
                <w:sz w:val="21"/>
                <w:szCs w:val="21"/>
                <w:highlight w:val="none"/>
              </w:rPr>
              <w:t>_</w:t>
            </w:r>
            <w:r>
              <w:rPr>
                <w:rFonts w:hint="eastAsia" w:ascii="宋体" w:hAnsi="宋体" w:eastAsia="宋体" w:cs="宋体"/>
                <w:color w:val="auto"/>
                <w:spacing w:val="6"/>
                <w:sz w:val="21"/>
                <w:szCs w:val="21"/>
                <w:highlight w:val="none"/>
              </w:rPr>
              <w:t>___年__月至</w:t>
            </w:r>
            <w:r>
              <w:rPr>
                <w:rFonts w:hint="eastAsia" w:ascii="宋体" w:hAnsi="宋体" w:eastAsia="宋体" w:cs="宋体"/>
                <w:color w:val="auto"/>
                <w:spacing w:val="7"/>
                <w:sz w:val="21"/>
                <w:szCs w:val="21"/>
                <w:highlight w:val="none"/>
              </w:rPr>
              <w:t>____年__</w:t>
            </w:r>
            <w:r>
              <w:rPr>
                <w:rFonts w:hint="eastAsia" w:ascii="宋体" w:hAnsi="宋体" w:eastAsia="宋体" w:cs="宋体"/>
                <w:color w:val="auto"/>
                <w:spacing w:val="5"/>
                <w:sz w:val="21"/>
                <w:szCs w:val="21"/>
                <w:highlight w:val="none"/>
              </w:rPr>
              <w:t>月</w:t>
            </w:r>
          </w:p>
        </w:tc>
        <w:tc>
          <w:tcPr>
            <w:tcW w:w="1264" w:type="dxa"/>
            <w:vMerge w:val="restart"/>
            <w:tcBorders>
              <w:left w:val="single" w:color="000000" w:sz="4" w:space="0"/>
              <w:bottom w:val="nil"/>
              <w:right w:val="single" w:color="000000" w:sz="10" w:space="0"/>
            </w:tcBorders>
            <w:vAlign w:val="top"/>
          </w:tcPr>
          <w:p>
            <w:pPr>
              <w:spacing w:line="393" w:lineRule="auto"/>
              <w:rPr>
                <w:rFonts w:hint="eastAsia" w:ascii="宋体" w:hAnsi="宋体" w:eastAsia="宋体" w:cs="宋体"/>
                <w:color w:val="auto"/>
                <w:sz w:val="21"/>
                <w:szCs w:val="21"/>
                <w:highlight w:val="none"/>
              </w:rPr>
            </w:pPr>
          </w:p>
          <w:p>
            <w:pPr>
              <w:spacing w:before="65" w:line="230" w:lineRule="auto"/>
              <w:ind w:left="430"/>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1314" w:type="dxa"/>
            <w:tcBorders>
              <w:left w:val="single" w:color="000000" w:sz="10" w:space="0"/>
              <w:right w:val="single" w:color="000000" w:sz="4" w:space="0"/>
            </w:tcBorders>
            <w:vAlign w:val="top"/>
          </w:tcPr>
          <w:p>
            <w:pPr>
              <w:spacing w:before="140" w:line="228" w:lineRule="auto"/>
              <w:ind w:left="436"/>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桩</w:t>
            </w:r>
            <w:r>
              <w:rPr>
                <w:rFonts w:hint="eastAsia" w:ascii="宋体" w:hAnsi="宋体" w:eastAsia="宋体" w:cs="宋体"/>
                <w:color w:val="auto"/>
                <w:spacing w:val="4"/>
                <w:sz w:val="21"/>
                <w:szCs w:val="21"/>
                <w:highlight w:val="none"/>
              </w:rPr>
              <w:t>号</w:t>
            </w:r>
          </w:p>
        </w:tc>
        <w:tc>
          <w:tcPr>
            <w:tcW w:w="1299" w:type="dxa"/>
            <w:tcBorders>
              <w:left w:val="single" w:color="000000" w:sz="4" w:space="0"/>
              <w:right w:val="single" w:color="000000" w:sz="4" w:space="0"/>
            </w:tcBorders>
            <w:vAlign w:val="top"/>
          </w:tcPr>
          <w:p>
            <w:pPr>
              <w:spacing w:before="140" w:line="230" w:lineRule="auto"/>
              <w:ind w:left="101"/>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左</w:t>
            </w:r>
            <w:r>
              <w:rPr>
                <w:rFonts w:hint="eastAsia" w:ascii="宋体" w:hAnsi="宋体" w:eastAsia="宋体" w:cs="宋体"/>
                <w:color w:val="auto"/>
                <w:spacing w:val="-5"/>
                <w:sz w:val="21"/>
                <w:szCs w:val="21"/>
                <w:highlight w:val="none"/>
              </w:rPr>
              <w:t>或右 (m )</w:t>
            </w:r>
          </w:p>
        </w:tc>
        <w:tc>
          <w:tcPr>
            <w:tcW w:w="1711" w:type="dxa"/>
            <w:vMerge w:val="continue"/>
            <w:tcBorders>
              <w:top w:val="nil"/>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563" w:type="dxa"/>
            <w:vMerge w:val="continue"/>
            <w:tcBorders>
              <w:top w:val="nil"/>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21" w:type="dxa"/>
            <w:vMerge w:val="continue"/>
            <w:tcBorders>
              <w:top w:val="nil"/>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264" w:type="dxa"/>
            <w:vMerge w:val="continue"/>
            <w:tcBorders>
              <w:top w:val="nil"/>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1314" w:type="dxa"/>
            <w:tcBorders>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1299"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711"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563"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21"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264"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1314" w:type="dxa"/>
            <w:tcBorders>
              <w:left w:val="single" w:color="000000" w:sz="10" w:space="0"/>
              <w:right w:val="single" w:color="000000" w:sz="4" w:space="0"/>
            </w:tcBorders>
            <w:vAlign w:val="top"/>
          </w:tcPr>
          <w:p>
            <w:pPr>
              <w:rPr>
                <w:rFonts w:hint="eastAsia" w:ascii="宋体" w:hAnsi="宋体" w:eastAsia="宋体" w:cs="宋体"/>
                <w:color w:val="auto"/>
                <w:sz w:val="22"/>
                <w:szCs w:val="22"/>
                <w:highlight w:val="none"/>
              </w:rPr>
            </w:pPr>
          </w:p>
        </w:tc>
        <w:tc>
          <w:tcPr>
            <w:tcW w:w="1299" w:type="dxa"/>
            <w:tcBorders>
              <w:left w:val="single" w:color="000000" w:sz="4" w:space="0"/>
              <w:right w:val="single" w:color="000000" w:sz="4" w:space="0"/>
            </w:tcBorders>
            <w:vAlign w:val="top"/>
          </w:tcPr>
          <w:p>
            <w:pPr>
              <w:rPr>
                <w:rFonts w:hint="eastAsia" w:ascii="宋体" w:hAnsi="宋体" w:eastAsia="宋体" w:cs="宋体"/>
                <w:color w:val="auto"/>
                <w:sz w:val="22"/>
                <w:szCs w:val="22"/>
                <w:highlight w:val="none"/>
              </w:rPr>
            </w:pPr>
          </w:p>
        </w:tc>
        <w:tc>
          <w:tcPr>
            <w:tcW w:w="1711" w:type="dxa"/>
            <w:tcBorders>
              <w:left w:val="single" w:color="000000" w:sz="4" w:space="0"/>
              <w:right w:val="single" w:color="000000" w:sz="4" w:space="0"/>
            </w:tcBorders>
            <w:vAlign w:val="top"/>
          </w:tcPr>
          <w:p>
            <w:pPr>
              <w:rPr>
                <w:rFonts w:hint="eastAsia" w:ascii="宋体" w:hAnsi="宋体" w:eastAsia="宋体" w:cs="宋体"/>
                <w:color w:val="auto"/>
                <w:sz w:val="22"/>
                <w:szCs w:val="22"/>
                <w:highlight w:val="none"/>
              </w:rPr>
            </w:pPr>
          </w:p>
        </w:tc>
        <w:tc>
          <w:tcPr>
            <w:tcW w:w="1563" w:type="dxa"/>
            <w:tcBorders>
              <w:left w:val="single" w:color="000000" w:sz="4" w:space="0"/>
              <w:right w:val="single" w:color="000000" w:sz="4" w:space="0"/>
            </w:tcBorders>
            <w:vAlign w:val="top"/>
          </w:tcPr>
          <w:p>
            <w:pPr>
              <w:rPr>
                <w:rFonts w:hint="eastAsia" w:ascii="宋体" w:hAnsi="宋体" w:eastAsia="宋体" w:cs="宋体"/>
                <w:color w:val="auto"/>
                <w:sz w:val="22"/>
                <w:szCs w:val="22"/>
                <w:highlight w:val="none"/>
              </w:rPr>
            </w:pPr>
          </w:p>
        </w:tc>
        <w:tc>
          <w:tcPr>
            <w:tcW w:w="1821" w:type="dxa"/>
            <w:tcBorders>
              <w:left w:val="single" w:color="000000" w:sz="4" w:space="0"/>
              <w:right w:val="single" w:color="000000" w:sz="4" w:space="0"/>
            </w:tcBorders>
            <w:vAlign w:val="top"/>
          </w:tcPr>
          <w:p>
            <w:pPr>
              <w:rPr>
                <w:rFonts w:hint="eastAsia" w:ascii="宋体" w:hAnsi="宋体" w:eastAsia="宋体" w:cs="宋体"/>
                <w:color w:val="auto"/>
                <w:sz w:val="22"/>
                <w:szCs w:val="22"/>
                <w:highlight w:val="none"/>
              </w:rPr>
            </w:pPr>
          </w:p>
        </w:tc>
        <w:tc>
          <w:tcPr>
            <w:tcW w:w="1264" w:type="dxa"/>
            <w:tcBorders>
              <w:left w:val="single" w:color="000000" w:sz="4" w:space="0"/>
              <w:right w:val="single" w:color="000000" w:sz="10" w:space="0"/>
            </w:tcBorders>
            <w:vAlign w:val="top"/>
          </w:tcPr>
          <w:p>
            <w:pPr>
              <w:rPr>
                <w:rFonts w:hint="eastAsia" w:ascii="宋体" w:hAnsi="宋体" w:eastAsia="宋体" w:cs="宋体"/>
                <w:color w:val="auto"/>
                <w:sz w:val="22"/>
                <w:szCs w:val="22"/>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314" w:type="dxa"/>
            <w:tcBorders>
              <w:left w:val="single" w:color="000000" w:sz="10" w:space="0"/>
              <w:right w:val="single" w:color="000000" w:sz="4" w:space="0"/>
            </w:tcBorders>
            <w:vAlign w:val="top"/>
          </w:tcPr>
          <w:p>
            <w:pPr>
              <w:rPr>
                <w:rFonts w:ascii="Arial"/>
                <w:color w:val="auto"/>
                <w:sz w:val="21"/>
                <w:highlight w:val="none"/>
              </w:rPr>
            </w:pPr>
          </w:p>
        </w:tc>
        <w:tc>
          <w:tcPr>
            <w:tcW w:w="1299" w:type="dxa"/>
            <w:tcBorders>
              <w:left w:val="single" w:color="000000" w:sz="4" w:space="0"/>
              <w:right w:val="single" w:color="000000" w:sz="4" w:space="0"/>
            </w:tcBorders>
            <w:vAlign w:val="top"/>
          </w:tcPr>
          <w:p>
            <w:pPr>
              <w:rPr>
                <w:rFonts w:ascii="Arial"/>
                <w:color w:val="auto"/>
                <w:sz w:val="21"/>
                <w:highlight w:val="none"/>
              </w:rPr>
            </w:pPr>
          </w:p>
        </w:tc>
        <w:tc>
          <w:tcPr>
            <w:tcW w:w="1711" w:type="dxa"/>
            <w:tcBorders>
              <w:left w:val="single" w:color="000000" w:sz="4" w:space="0"/>
              <w:right w:val="single" w:color="000000" w:sz="4" w:space="0"/>
            </w:tcBorders>
            <w:vAlign w:val="top"/>
          </w:tcPr>
          <w:p>
            <w:pPr>
              <w:rPr>
                <w:rFonts w:ascii="Arial"/>
                <w:color w:val="auto"/>
                <w:sz w:val="21"/>
                <w:highlight w:val="none"/>
              </w:rPr>
            </w:pPr>
          </w:p>
        </w:tc>
        <w:tc>
          <w:tcPr>
            <w:tcW w:w="1563" w:type="dxa"/>
            <w:tcBorders>
              <w:left w:val="single" w:color="000000" w:sz="4" w:space="0"/>
              <w:right w:val="single" w:color="000000" w:sz="4" w:space="0"/>
            </w:tcBorders>
            <w:vAlign w:val="top"/>
          </w:tcPr>
          <w:p>
            <w:pPr>
              <w:rPr>
                <w:rFonts w:ascii="Arial"/>
                <w:color w:val="auto"/>
                <w:sz w:val="21"/>
                <w:highlight w:val="none"/>
              </w:rPr>
            </w:pPr>
          </w:p>
        </w:tc>
        <w:tc>
          <w:tcPr>
            <w:tcW w:w="1821" w:type="dxa"/>
            <w:tcBorders>
              <w:left w:val="single" w:color="000000" w:sz="4" w:space="0"/>
              <w:right w:val="single" w:color="000000" w:sz="4" w:space="0"/>
            </w:tcBorders>
            <w:vAlign w:val="top"/>
          </w:tcPr>
          <w:p>
            <w:pPr>
              <w:rPr>
                <w:rFonts w:ascii="Arial"/>
                <w:color w:val="auto"/>
                <w:sz w:val="21"/>
                <w:highlight w:val="none"/>
              </w:rPr>
            </w:pPr>
          </w:p>
        </w:tc>
        <w:tc>
          <w:tcPr>
            <w:tcW w:w="1264"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314" w:type="dxa"/>
            <w:tcBorders>
              <w:left w:val="single" w:color="000000" w:sz="10" w:space="0"/>
              <w:right w:val="single" w:color="000000" w:sz="4" w:space="0"/>
            </w:tcBorders>
            <w:vAlign w:val="top"/>
          </w:tcPr>
          <w:p>
            <w:pPr>
              <w:rPr>
                <w:rFonts w:ascii="Arial"/>
                <w:color w:val="auto"/>
                <w:sz w:val="21"/>
                <w:highlight w:val="none"/>
              </w:rPr>
            </w:pPr>
          </w:p>
        </w:tc>
        <w:tc>
          <w:tcPr>
            <w:tcW w:w="1299" w:type="dxa"/>
            <w:tcBorders>
              <w:left w:val="single" w:color="000000" w:sz="4" w:space="0"/>
              <w:right w:val="single" w:color="000000" w:sz="4" w:space="0"/>
            </w:tcBorders>
            <w:vAlign w:val="top"/>
          </w:tcPr>
          <w:p>
            <w:pPr>
              <w:rPr>
                <w:rFonts w:ascii="Arial"/>
                <w:color w:val="auto"/>
                <w:sz w:val="21"/>
                <w:highlight w:val="none"/>
              </w:rPr>
            </w:pPr>
          </w:p>
        </w:tc>
        <w:tc>
          <w:tcPr>
            <w:tcW w:w="1711" w:type="dxa"/>
            <w:tcBorders>
              <w:left w:val="single" w:color="000000" w:sz="4" w:space="0"/>
              <w:right w:val="single" w:color="000000" w:sz="4" w:space="0"/>
            </w:tcBorders>
            <w:vAlign w:val="top"/>
          </w:tcPr>
          <w:p>
            <w:pPr>
              <w:rPr>
                <w:rFonts w:ascii="Arial"/>
                <w:color w:val="auto"/>
                <w:sz w:val="21"/>
                <w:highlight w:val="none"/>
              </w:rPr>
            </w:pPr>
          </w:p>
        </w:tc>
        <w:tc>
          <w:tcPr>
            <w:tcW w:w="1563" w:type="dxa"/>
            <w:tcBorders>
              <w:left w:val="single" w:color="000000" w:sz="4" w:space="0"/>
              <w:right w:val="single" w:color="000000" w:sz="4" w:space="0"/>
            </w:tcBorders>
            <w:vAlign w:val="top"/>
          </w:tcPr>
          <w:p>
            <w:pPr>
              <w:rPr>
                <w:rFonts w:ascii="Arial"/>
                <w:color w:val="auto"/>
                <w:sz w:val="21"/>
                <w:highlight w:val="none"/>
              </w:rPr>
            </w:pPr>
          </w:p>
        </w:tc>
        <w:tc>
          <w:tcPr>
            <w:tcW w:w="1821" w:type="dxa"/>
            <w:tcBorders>
              <w:left w:val="single" w:color="000000" w:sz="4" w:space="0"/>
              <w:right w:val="single" w:color="000000" w:sz="4" w:space="0"/>
            </w:tcBorders>
            <w:vAlign w:val="top"/>
          </w:tcPr>
          <w:p>
            <w:pPr>
              <w:rPr>
                <w:rFonts w:ascii="Arial"/>
                <w:color w:val="auto"/>
                <w:sz w:val="21"/>
                <w:highlight w:val="none"/>
              </w:rPr>
            </w:pPr>
          </w:p>
        </w:tc>
        <w:tc>
          <w:tcPr>
            <w:tcW w:w="1264"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314" w:type="dxa"/>
            <w:tcBorders>
              <w:left w:val="single" w:color="000000" w:sz="10" w:space="0"/>
              <w:right w:val="single" w:color="000000" w:sz="4" w:space="0"/>
            </w:tcBorders>
            <w:vAlign w:val="top"/>
          </w:tcPr>
          <w:p>
            <w:pPr>
              <w:rPr>
                <w:rFonts w:ascii="Arial"/>
                <w:color w:val="auto"/>
                <w:sz w:val="21"/>
                <w:highlight w:val="none"/>
              </w:rPr>
            </w:pPr>
          </w:p>
        </w:tc>
        <w:tc>
          <w:tcPr>
            <w:tcW w:w="1299" w:type="dxa"/>
            <w:tcBorders>
              <w:left w:val="single" w:color="000000" w:sz="4" w:space="0"/>
              <w:right w:val="single" w:color="000000" w:sz="4" w:space="0"/>
            </w:tcBorders>
            <w:vAlign w:val="top"/>
          </w:tcPr>
          <w:p>
            <w:pPr>
              <w:rPr>
                <w:rFonts w:ascii="Arial"/>
                <w:color w:val="auto"/>
                <w:sz w:val="21"/>
                <w:highlight w:val="none"/>
              </w:rPr>
            </w:pPr>
          </w:p>
        </w:tc>
        <w:tc>
          <w:tcPr>
            <w:tcW w:w="1711" w:type="dxa"/>
            <w:tcBorders>
              <w:left w:val="single" w:color="000000" w:sz="4" w:space="0"/>
              <w:right w:val="single" w:color="000000" w:sz="4" w:space="0"/>
            </w:tcBorders>
            <w:vAlign w:val="top"/>
          </w:tcPr>
          <w:p>
            <w:pPr>
              <w:rPr>
                <w:rFonts w:ascii="Arial"/>
                <w:color w:val="auto"/>
                <w:sz w:val="21"/>
                <w:highlight w:val="none"/>
              </w:rPr>
            </w:pPr>
          </w:p>
        </w:tc>
        <w:tc>
          <w:tcPr>
            <w:tcW w:w="1563" w:type="dxa"/>
            <w:tcBorders>
              <w:left w:val="single" w:color="000000" w:sz="4" w:space="0"/>
              <w:right w:val="single" w:color="000000" w:sz="4" w:space="0"/>
            </w:tcBorders>
            <w:vAlign w:val="top"/>
          </w:tcPr>
          <w:p>
            <w:pPr>
              <w:rPr>
                <w:rFonts w:ascii="Arial"/>
                <w:color w:val="auto"/>
                <w:sz w:val="21"/>
                <w:highlight w:val="none"/>
              </w:rPr>
            </w:pPr>
          </w:p>
        </w:tc>
        <w:tc>
          <w:tcPr>
            <w:tcW w:w="1821" w:type="dxa"/>
            <w:tcBorders>
              <w:left w:val="single" w:color="000000" w:sz="4" w:space="0"/>
              <w:right w:val="single" w:color="000000" w:sz="4" w:space="0"/>
            </w:tcBorders>
            <w:vAlign w:val="top"/>
          </w:tcPr>
          <w:p>
            <w:pPr>
              <w:rPr>
                <w:rFonts w:ascii="Arial"/>
                <w:color w:val="auto"/>
                <w:sz w:val="21"/>
                <w:highlight w:val="none"/>
              </w:rPr>
            </w:pPr>
          </w:p>
        </w:tc>
        <w:tc>
          <w:tcPr>
            <w:tcW w:w="1264"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1314" w:type="dxa"/>
            <w:tcBorders>
              <w:left w:val="single" w:color="000000" w:sz="10" w:space="0"/>
              <w:right w:val="single" w:color="000000" w:sz="4" w:space="0"/>
            </w:tcBorders>
            <w:vAlign w:val="top"/>
          </w:tcPr>
          <w:p>
            <w:pPr>
              <w:rPr>
                <w:rFonts w:ascii="Arial"/>
                <w:color w:val="auto"/>
                <w:sz w:val="21"/>
                <w:highlight w:val="none"/>
              </w:rPr>
            </w:pPr>
          </w:p>
        </w:tc>
        <w:tc>
          <w:tcPr>
            <w:tcW w:w="1299" w:type="dxa"/>
            <w:tcBorders>
              <w:left w:val="single" w:color="000000" w:sz="4" w:space="0"/>
              <w:right w:val="single" w:color="000000" w:sz="4" w:space="0"/>
            </w:tcBorders>
            <w:vAlign w:val="top"/>
          </w:tcPr>
          <w:p>
            <w:pPr>
              <w:rPr>
                <w:rFonts w:ascii="Arial"/>
                <w:color w:val="auto"/>
                <w:sz w:val="21"/>
                <w:highlight w:val="none"/>
              </w:rPr>
            </w:pPr>
          </w:p>
        </w:tc>
        <w:tc>
          <w:tcPr>
            <w:tcW w:w="1711" w:type="dxa"/>
            <w:tcBorders>
              <w:left w:val="single" w:color="000000" w:sz="4" w:space="0"/>
              <w:right w:val="single" w:color="000000" w:sz="4" w:space="0"/>
            </w:tcBorders>
            <w:vAlign w:val="top"/>
          </w:tcPr>
          <w:p>
            <w:pPr>
              <w:rPr>
                <w:rFonts w:ascii="Arial"/>
                <w:color w:val="auto"/>
                <w:sz w:val="21"/>
                <w:highlight w:val="none"/>
              </w:rPr>
            </w:pPr>
          </w:p>
        </w:tc>
        <w:tc>
          <w:tcPr>
            <w:tcW w:w="1563" w:type="dxa"/>
            <w:tcBorders>
              <w:left w:val="single" w:color="000000" w:sz="4" w:space="0"/>
              <w:right w:val="single" w:color="000000" w:sz="4" w:space="0"/>
            </w:tcBorders>
            <w:vAlign w:val="top"/>
          </w:tcPr>
          <w:p>
            <w:pPr>
              <w:rPr>
                <w:rFonts w:ascii="Arial"/>
                <w:color w:val="auto"/>
                <w:sz w:val="21"/>
                <w:highlight w:val="none"/>
              </w:rPr>
            </w:pPr>
          </w:p>
        </w:tc>
        <w:tc>
          <w:tcPr>
            <w:tcW w:w="1821" w:type="dxa"/>
            <w:tcBorders>
              <w:left w:val="single" w:color="000000" w:sz="4" w:space="0"/>
              <w:right w:val="single" w:color="000000" w:sz="4" w:space="0"/>
            </w:tcBorders>
            <w:vAlign w:val="top"/>
          </w:tcPr>
          <w:p>
            <w:pPr>
              <w:rPr>
                <w:rFonts w:ascii="Arial"/>
                <w:color w:val="auto"/>
                <w:sz w:val="21"/>
                <w:highlight w:val="none"/>
              </w:rPr>
            </w:pPr>
          </w:p>
        </w:tc>
        <w:tc>
          <w:tcPr>
            <w:tcW w:w="1264"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314" w:type="dxa"/>
            <w:tcBorders>
              <w:left w:val="single" w:color="000000" w:sz="10" w:space="0"/>
              <w:right w:val="single" w:color="000000" w:sz="4" w:space="0"/>
            </w:tcBorders>
            <w:vAlign w:val="top"/>
          </w:tcPr>
          <w:p>
            <w:pPr>
              <w:rPr>
                <w:rFonts w:ascii="Arial"/>
                <w:color w:val="auto"/>
                <w:sz w:val="21"/>
                <w:highlight w:val="none"/>
              </w:rPr>
            </w:pPr>
          </w:p>
        </w:tc>
        <w:tc>
          <w:tcPr>
            <w:tcW w:w="1299" w:type="dxa"/>
            <w:tcBorders>
              <w:left w:val="single" w:color="000000" w:sz="4" w:space="0"/>
              <w:right w:val="single" w:color="000000" w:sz="4" w:space="0"/>
            </w:tcBorders>
            <w:vAlign w:val="top"/>
          </w:tcPr>
          <w:p>
            <w:pPr>
              <w:rPr>
                <w:rFonts w:ascii="Arial"/>
                <w:color w:val="auto"/>
                <w:sz w:val="21"/>
                <w:highlight w:val="none"/>
              </w:rPr>
            </w:pPr>
          </w:p>
        </w:tc>
        <w:tc>
          <w:tcPr>
            <w:tcW w:w="1711" w:type="dxa"/>
            <w:tcBorders>
              <w:left w:val="single" w:color="000000" w:sz="4" w:space="0"/>
              <w:right w:val="single" w:color="000000" w:sz="4" w:space="0"/>
            </w:tcBorders>
            <w:vAlign w:val="top"/>
          </w:tcPr>
          <w:p>
            <w:pPr>
              <w:rPr>
                <w:rFonts w:ascii="Arial"/>
                <w:color w:val="auto"/>
                <w:sz w:val="21"/>
                <w:highlight w:val="none"/>
              </w:rPr>
            </w:pPr>
          </w:p>
        </w:tc>
        <w:tc>
          <w:tcPr>
            <w:tcW w:w="1563" w:type="dxa"/>
            <w:tcBorders>
              <w:left w:val="single" w:color="000000" w:sz="4" w:space="0"/>
              <w:right w:val="single" w:color="000000" w:sz="4" w:space="0"/>
            </w:tcBorders>
            <w:vAlign w:val="top"/>
          </w:tcPr>
          <w:p>
            <w:pPr>
              <w:rPr>
                <w:rFonts w:ascii="Arial"/>
                <w:color w:val="auto"/>
                <w:sz w:val="21"/>
                <w:highlight w:val="none"/>
              </w:rPr>
            </w:pPr>
          </w:p>
        </w:tc>
        <w:tc>
          <w:tcPr>
            <w:tcW w:w="1821" w:type="dxa"/>
            <w:tcBorders>
              <w:left w:val="single" w:color="000000" w:sz="4" w:space="0"/>
              <w:right w:val="single" w:color="000000" w:sz="4" w:space="0"/>
            </w:tcBorders>
            <w:vAlign w:val="top"/>
          </w:tcPr>
          <w:p>
            <w:pPr>
              <w:rPr>
                <w:rFonts w:ascii="Arial"/>
                <w:color w:val="auto"/>
                <w:sz w:val="21"/>
                <w:highlight w:val="none"/>
              </w:rPr>
            </w:pPr>
          </w:p>
        </w:tc>
        <w:tc>
          <w:tcPr>
            <w:tcW w:w="1264"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1314" w:type="dxa"/>
            <w:tcBorders>
              <w:left w:val="single" w:color="000000" w:sz="10" w:space="0"/>
              <w:right w:val="single" w:color="000000" w:sz="4" w:space="0"/>
            </w:tcBorders>
            <w:vAlign w:val="top"/>
          </w:tcPr>
          <w:p>
            <w:pPr>
              <w:rPr>
                <w:rFonts w:ascii="Arial"/>
                <w:color w:val="auto"/>
                <w:sz w:val="21"/>
                <w:highlight w:val="none"/>
              </w:rPr>
            </w:pPr>
          </w:p>
        </w:tc>
        <w:tc>
          <w:tcPr>
            <w:tcW w:w="1299" w:type="dxa"/>
            <w:tcBorders>
              <w:left w:val="single" w:color="000000" w:sz="4" w:space="0"/>
              <w:right w:val="single" w:color="000000" w:sz="4" w:space="0"/>
            </w:tcBorders>
            <w:vAlign w:val="top"/>
          </w:tcPr>
          <w:p>
            <w:pPr>
              <w:rPr>
                <w:rFonts w:ascii="Arial"/>
                <w:color w:val="auto"/>
                <w:sz w:val="21"/>
                <w:highlight w:val="none"/>
              </w:rPr>
            </w:pPr>
          </w:p>
        </w:tc>
        <w:tc>
          <w:tcPr>
            <w:tcW w:w="1711" w:type="dxa"/>
            <w:tcBorders>
              <w:left w:val="single" w:color="000000" w:sz="4" w:space="0"/>
              <w:right w:val="single" w:color="000000" w:sz="4" w:space="0"/>
            </w:tcBorders>
            <w:vAlign w:val="top"/>
          </w:tcPr>
          <w:p>
            <w:pPr>
              <w:rPr>
                <w:rFonts w:ascii="Arial"/>
                <w:color w:val="auto"/>
                <w:sz w:val="21"/>
                <w:highlight w:val="none"/>
              </w:rPr>
            </w:pPr>
          </w:p>
        </w:tc>
        <w:tc>
          <w:tcPr>
            <w:tcW w:w="1563" w:type="dxa"/>
            <w:tcBorders>
              <w:left w:val="single" w:color="000000" w:sz="4" w:space="0"/>
              <w:right w:val="single" w:color="000000" w:sz="4" w:space="0"/>
            </w:tcBorders>
            <w:vAlign w:val="top"/>
          </w:tcPr>
          <w:p>
            <w:pPr>
              <w:rPr>
                <w:rFonts w:ascii="Arial"/>
                <w:color w:val="auto"/>
                <w:sz w:val="21"/>
                <w:highlight w:val="none"/>
              </w:rPr>
            </w:pPr>
          </w:p>
        </w:tc>
        <w:tc>
          <w:tcPr>
            <w:tcW w:w="1821" w:type="dxa"/>
            <w:tcBorders>
              <w:left w:val="single" w:color="000000" w:sz="4" w:space="0"/>
              <w:right w:val="single" w:color="000000" w:sz="4" w:space="0"/>
            </w:tcBorders>
            <w:vAlign w:val="top"/>
          </w:tcPr>
          <w:p>
            <w:pPr>
              <w:rPr>
                <w:rFonts w:ascii="Arial"/>
                <w:color w:val="auto"/>
                <w:sz w:val="21"/>
                <w:highlight w:val="none"/>
              </w:rPr>
            </w:pPr>
          </w:p>
        </w:tc>
        <w:tc>
          <w:tcPr>
            <w:tcW w:w="1264"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314" w:type="dxa"/>
            <w:tcBorders>
              <w:left w:val="single" w:color="000000" w:sz="10" w:space="0"/>
              <w:right w:val="single" w:color="000000" w:sz="4" w:space="0"/>
            </w:tcBorders>
            <w:vAlign w:val="top"/>
          </w:tcPr>
          <w:p>
            <w:pPr>
              <w:rPr>
                <w:rFonts w:ascii="Arial"/>
                <w:color w:val="auto"/>
                <w:sz w:val="21"/>
                <w:highlight w:val="none"/>
              </w:rPr>
            </w:pPr>
          </w:p>
        </w:tc>
        <w:tc>
          <w:tcPr>
            <w:tcW w:w="1299" w:type="dxa"/>
            <w:tcBorders>
              <w:left w:val="single" w:color="000000" w:sz="4" w:space="0"/>
              <w:right w:val="single" w:color="000000" w:sz="4" w:space="0"/>
            </w:tcBorders>
            <w:vAlign w:val="top"/>
          </w:tcPr>
          <w:p>
            <w:pPr>
              <w:rPr>
                <w:rFonts w:ascii="Arial"/>
                <w:color w:val="auto"/>
                <w:sz w:val="21"/>
                <w:highlight w:val="none"/>
              </w:rPr>
            </w:pPr>
          </w:p>
        </w:tc>
        <w:tc>
          <w:tcPr>
            <w:tcW w:w="1711" w:type="dxa"/>
            <w:tcBorders>
              <w:left w:val="single" w:color="000000" w:sz="4" w:space="0"/>
              <w:right w:val="single" w:color="000000" w:sz="4" w:space="0"/>
            </w:tcBorders>
            <w:vAlign w:val="top"/>
          </w:tcPr>
          <w:p>
            <w:pPr>
              <w:rPr>
                <w:rFonts w:ascii="Arial"/>
                <w:color w:val="auto"/>
                <w:sz w:val="21"/>
                <w:highlight w:val="none"/>
              </w:rPr>
            </w:pPr>
          </w:p>
        </w:tc>
        <w:tc>
          <w:tcPr>
            <w:tcW w:w="1563" w:type="dxa"/>
            <w:tcBorders>
              <w:left w:val="single" w:color="000000" w:sz="4" w:space="0"/>
              <w:right w:val="single" w:color="000000" w:sz="4" w:space="0"/>
            </w:tcBorders>
            <w:vAlign w:val="top"/>
          </w:tcPr>
          <w:p>
            <w:pPr>
              <w:rPr>
                <w:rFonts w:ascii="Arial"/>
                <w:color w:val="auto"/>
                <w:sz w:val="21"/>
                <w:highlight w:val="none"/>
              </w:rPr>
            </w:pPr>
          </w:p>
        </w:tc>
        <w:tc>
          <w:tcPr>
            <w:tcW w:w="1821" w:type="dxa"/>
            <w:tcBorders>
              <w:left w:val="single" w:color="000000" w:sz="4" w:space="0"/>
              <w:right w:val="single" w:color="000000" w:sz="4" w:space="0"/>
            </w:tcBorders>
            <w:vAlign w:val="top"/>
          </w:tcPr>
          <w:p>
            <w:pPr>
              <w:rPr>
                <w:rFonts w:ascii="Arial"/>
                <w:color w:val="auto"/>
                <w:sz w:val="21"/>
                <w:highlight w:val="none"/>
              </w:rPr>
            </w:pPr>
          </w:p>
        </w:tc>
        <w:tc>
          <w:tcPr>
            <w:tcW w:w="1264"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314" w:type="dxa"/>
            <w:tcBorders>
              <w:left w:val="single" w:color="000000" w:sz="10" w:space="0"/>
              <w:right w:val="single" w:color="000000" w:sz="4" w:space="0"/>
            </w:tcBorders>
            <w:vAlign w:val="top"/>
          </w:tcPr>
          <w:p>
            <w:pPr>
              <w:rPr>
                <w:rFonts w:ascii="Arial"/>
                <w:color w:val="auto"/>
                <w:sz w:val="21"/>
                <w:highlight w:val="none"/>
              </w:rPr>
            </w:pPr>
          </w:p>
        </w:tc>
        <w:tc>
          <w:tcPr>
            <w:tcW w:w="1299" w:type="dxa"/>
            <w:tcBorders>
              <w:left w:val="single" w:color="000000" w:sz="4" w:space="0"/>
              <w:right w:val="single" w:color="000000" w:sz="4" w:space="0"/>
            </w:tcBorders>
            <w:vAlign w:val="top"/>
          </w:tcPr>
          <w:p>
            <w:pPr>
              <w:rPr>
                <w:rFonts w:ascii="Arial"/>
                <w:color w:val="auto"/>
                <w:sz w:val="21"/>
                <w:highlight w:val="none"/>
              </w:rPr>
            </w:pPr>
          </w:p>
        </w:tc>
        <w:tc>
          <w:tcPr>
            <w:tcW w:w="1711" w:type="dxa"/>
            <w:tcBorders>
              <w:left w:val="single" w:color="000000" w:sz="4" w:space="0"/>
              <w:right w:val="single" w:color="000000" w:sz="4" w:space="0"/>
            </w:tcBorders>
            <w:vAlign w:val="top"/>
          </w:tcPr>
          <w:p>
            <w:pPr>
              <w:rPr>
                <w:rFonts w:ascii="Arial"/>
                <w:color w:val="auto"/>
                <w:sz w:val="21"/>
                <w:highlight w:val="none"/>
              </w:rPr>
            </w:pPr>
          </w:p>
        </w:tc>
        <w:tc>
          <w:tcPr>
            <w:tcW w:w="1563" w:type="dxa"/>
            <w:tcBorders>
              <w:left w:val="single" w:color="000000" w:sz="4" w:space="0"/>
              <w:right w:val="single" w:color="000000" w:sz="4" w:space="0"/>
            </w:tcBorders>
            <w:vAlign w:val="top"/>
          </w:tcPr>
          <w:p>
            <w:pPr>
              <w:rPr>
                <w:rFonts w:ascii="Arial"/>
                <w:color w:val="auto"/>
                <w:sz w:val="21"/>
                <w:highlight w:val="none"/>
              </w:rPr>
            </w:pPr>
          </w:p>
        </w:tc>
        <w:tc>
          <w:tcPr>
            <w:tcW w:w="1821" w:type="dxa"/>
            <w:tcBorders>
              <w:left w:val="single" w:color="000000" w:sz="4" w:space="0"/>
              <w:right w:val="single" w:color="000000" w:sz="4" w:space="0"/>
            </w:tcBorders>
            <w:vAlign w:val="top"/>
          </w:tcPr>
          <w:p>
            <w:pPr>
              <w:rPr>
                <w:rFonts w:ascii="Arial"/>
                <w:color w:val="auto"/>
                <w:sz w:val="21"/>
                <w:highlight w:val="none"/>
              </w:rPr>
            </w:pPr>
          </w:p>
        </w:tc>
        <w:tc>
          <w:tcPr>
            <w:tcW w:w="1264"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314" w:type="dxa"/>
            <w:tcBorders>
              <w:left w:val="single" w:color="000000" w:sz="10" w:space="0"/>
              <w:right w:val="single" w:color="000000" w:sz="4" w:space="0"/>
            </w:tcBorders>
            <w:vAlign w:val="top"/>
          </w:tcPr>
          <w:p>
            <w:pPr>
              <w:rPr>
                <w:rFonts w:ascii="Arial"/>
                <w:color w:val="auto"/>
                <w:sz w:val="21"/>
                <w:highlight w:val="none"/>
              </w:rPr>
            </w:pPr>
          </w:p>
        </w:tc>
        <w:tc>
          <w:tcPr>
            <w:tcW w:w="1299" w:type="dxa"/>
            <w:tcBorders>
              <w:left w:val="single" w:color="000000" w:sz="4" w:space="0"/>
              <w:right w:val="single" w:color="000000" w:sz="4" w:space="0"/>
            </w:tcBorders>
            <w:vAlign w:val="top"/>
          </w:tcPr>
          <w:p>
            <w:pPr>
              <w:rPr>
                <w:rFonts w:ascii="Arial"/>
                <w:color w:val="auto"/>
                <w:sz w:val="21"/>
                <w:highlight w:val="none"/>
              </w:rPr>
            </w:pPr>
          </w:p>
        </w:tc>
        <w:tc>
          <w:tcPr>
            <w:tcW w:w="1711" w:type="dxa"/>
            <w:tcBorders>
              <w:left w:val="single" w:color="000000" w:sz="4" w:space="0"/>
              <w:right w:val="single" w:color="000000" w:sz="4" w:space="0"/>
            </w:tcBorders>
            <w:vAlign w:val="top"/>
          </w:tcPr>
          <w:p>
            <w:pPr>
              <w:rPr>
                <w:rFonts w:ascii="Arial"/>
                <w:color w:val="auto"/>
                <w:sz w:val="21"/>
                <w:highlight w:val="none"/>
              </w:rPr>
            </w:pPr>
          </w:p>
        </w:tc>
        <w:tc>
          <w:tcPr>
            <w:tcW w:w="1563" w:type="dxa"/>
            <w:tcBorders>
              <w:left w:val="single" w:color="000000" w:sz="4" w:space="0"/>
              <w:right w:val="single" w:color="000000" w:sz="4" w:space="0"/>
            </w:tcBorders>
            <w:vAlign w:val="top"/>
          </w:tcPr>
          <w:p>
            <w:pPr>
              <w:rPr>
                <w:rFonts w:ascii="Arial"/>
                <w:color w:val="auto"/>
                <w:sz w:val="21"/>
                <w:highlight w:val="none"/>
              </w:rPr>
            </w:pPr>
          </w:p>
        </w:tc>
        <w:tc>
          <w:tcPr>
            <w:tcW w:w="1821" w:type="dxa"/>
            <w:tcBorders>
              <w:left w:val="single" w:color="000000" w:sz="4" w:space="0"/>
              <w:right w:val="single" w:color="000000" w:sz="4" w:space="0"/>
            </w:tcBorders>
            <w:vAlign w:val="top"/>
          </w:tcPr>
          <w:p>
            <w:pPr>
              <w:rPr>
                <w:rFonts w:ascii="Arial"/>
                <w:color w:val="auto"/>
                <w:sz w:val="21"/>
                <w:highlight w:val="none"/>
              </w:rPr>
            </w:pPr>
          </w:p>
        </w:tc>
        <w:tc>
          <w:tcPr>
            <w:tcW w:w="1264"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314" w:type="dxa"/>
            <w:tcBorders>
              <w:left w:val="single" w:color="000000" w:sz="10" w:space="0"/>
              <w:right w:val="single" w:color="000000" w:sz="4" w:space="0"/>
            </w:tcBorders>
            <w:vAlign w:val="top"/>
          </w:tcPr>
          <w:p>
            <w:pPr>
              <w:rPr>
                <w:rFonts w:ascii="Arial"/>
                <w:color w:val="auto"/>
                <w:sz w:val="21"/>
                <w:highlight w:val="none"/>
              </w:rPr>
            </w:pPr>
          </w:p>
        </w:tc>
        <w:tc>
          <w:tcPr>
            <w:tcW w:w="1299" w:type="dxa"/>
            <w:tcBorders>
              <w:left w:val="single" w:color="000000" w:sz="4" w:space="0"/>
              <w:right w:val="single" w:color="000000" w:sz="4" w:space="0"/>
            </w:tcBorders>
            <w:vAlign w:val="top"/>
          </w:tcPr>
          <w:p>
            <w:pPr>
              <w:rPr>
                <w:rFonts w:ascii="Arial"/>
                <w:color w:val="auto"/>
                <w:sz w:val="21"/>
                <w:highlight w:val="none"/>
              </w:rPr>
            </w:pPr>
          </w:p>
        </w:tc>
        <w:tc>
          <w:tcPr>
            <w:tcW w:w="1711" w:type="dxa"/>
            <w:tcBorders>
              <w:left w:val="single" w:color="000000" w:sz="4" w:space="0"/>
              <w:right w:val="single" w:color="000000" w:sz="4" w:space="0"/>
            </w:tcBorders>
            <w:vAlign w:val="top"/>
          </w:tcPr>
          <w:p>
            <w:pPr>
              <w:rPr>
                <w:rFonts w:ascii="Arial"/>
                <w:color w:val="auto"/>
                <w:sz w:val="21"/>
                <w:highlight w:val="none"/>
              </w:rPr>
            </w:pPr>
          </w:p>
        </w:tc>
        <w:tc>
          <w:tcPr>
            <w:tcW w:w="1563" w:type="dxa"/>
            <w:tcBorders>
              <w:left w:val="single" w:color="000000" w:sz="4" w:space="0"/>
              <w:right w:val="single" w:color="000000" w:sz="4" w:space="0"/>
            </w:tcBorders>
            <w:vAlign w:val="top"/>
          </w:tcPr>
          <w:p>
            <w:pPr>
              <w:rPr>
                <w:rFonts w:ascii="Arial"/>
                <w:color w:val="auto"/>
                <w:sz w:val="21"/>
                <w:highlight w:val="none"/>
              </w:rPr>
            </w:pPr>
          </w:p>
        </w:tc>
        <w:tc>
          <w:tcPr>
            <w:tcW w:w="1821" w:type="dxa"/>
            <w:tcBorders>
              <w:left w:val="single" w:color="000000" w:sz="4" w:space="0"/>
              <w:right w:val="single" w:color="000000" w:sz="4" w:space="0"/>
            </w:tcBorders>
            <w:vAlign w:val="top"/>
          </w:tcPr>
          <w:p>
            <w:pPr>
              <w:rPr>
                <w:rFonts w:ascii="Arial"/>
                <w:color w:val="auto"/>
                <w:sz w:val="21"/>
                <w:highlight w:val="none"/>
              </w:rPr>
            </w:pPr>
          </w:p>
        </w:tc>
        <w:tc>
          <w:tcPr>
            <w:tcW w:w="1264"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314" w:type="dxa"/>
            <w:tcBorders>
              <w:left w:val="single" w:color="000000" w:sz="10" w:space="0"/>
              <w:right w:val="single" w:color="000000" w:sz="4" w:space="0"/>
            </w:tcBorders>
            <w:vAlign w:val="top"/>
          </w:tcPr>
          <w:p>
            <w:pPr>
              <w:rPr>
                <w:rFonts w:ascii="Arial"/>
                <w:color w:val="auto"/>
                <w:sz w:val="21"/>
                <w:highlight w:val="none"/>
              </w:rPr>
            </w:pPr>
          </w:p>
        </w:tc>
        <w:tc>
          <w:tcPr>
            <w:tcW w:w="1299" w:type="dxa"/>
            <w:tcBorders>
              <w:left w:val="single" w:color="000000" w:sz="4" w:space="0"/>
              <w:right w:val="single" w:color="000000" w:sz="4" w:space="0"/>
            </w:tcBorders>
            <w:vAlign w:val="top"/>
          </w:tcPr>
          <w:p>
            <w:pPr>
              <w:rPr>
                <w:rFonts w:ascii="Arial"/>
                <w:color w:val="auto"/>
                <w:sz w:val="21"/>
                <w:highlight w:val="none"/>
              </w:rPr>
            </w:pPr>
          </w:p>
        </w:tc>
        <w:tc>
          <w:tcPr>
            <w:tcW w:w="1711" w:type="dxa"/>
            <w:tcBorders>
              <w:left w:val="single" w:color="000000" w:sz="4" w:space="0"/>
              <w:right w:val="single" w:color="000000" w:sz="4" w:space="0"/>
            </w:tcBorders>
            <w:vAlign w:val="top"/>
          </w:tcPr>
          <w:p>
            <w:pPr>
              <w:rPr>
                <w:rFonts w:ascii="Arial"/>
                <w:color w:val="auto"/>
                <w:sz w:val="21"/>
                <w:highlight w:val="none"/>
              </w:rPr>
            </w:pPr>
          </w:p>
        </w:tc>
        <w:tc>
          <w:tcPr>
            <w:tcW w:w="1563" w:type="dxa"/>
            <w:tcBorders>
              <w:left w:val="single" w:color="000000" w:sz="4" w:space="0"/>
              <w:right w:val="single" w:color="000000" w:sz="4" w:space="0"/>
            </w:tcBorders>
            <w:vAlign w:val="top"/>
          </w:tcPr>
          <w:p>
            <w:pPr>
              <w:rPr>
                <w:rFonts w:ascii="Arial"/>
                <w:color w:val="auto"/>
                <w:sz w:val="21"/>
                <w:highlight w:val="none"/>
              </w:rPr>
            </w:pPr>
          </w:p>
        </w:tc>
        <w:tc>
          <w:tcPr>
            <w:tcW w:w="1821" w:type="dxa"/>
            <w:tcBorders>
              <w:left w:val="single" w:color="000000" w:sz="4" w:space="0"/>
              <w:right w:val="single" w:color="000000" w:sz="4" w:space="0"/>
            </w:tcBorders>
            <w:vAlign w:val="top"/>
          </w:tcPr>
          <w:p>
            <w:pPr>
              <w:rPr>
                <w:rFonts w:ascii="Arial"/>
                <w:color w:val="auto"/>
                <w:sz w:val="21"/>
                <w:highlight w:val="none"/>
              </w:rPr>
            </w:pPr>
          </w:p>
        </w:tc>
        <w:tc>
          <w:tcPr>
            <w:tcW w:w="1264"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1314" w:type="dxa"/>
            <w:tcBorders>
              <w:left w:val="single" w:color="000000" w:sz="10" w:space="0"/>
              <w:right w:val="single" w:color="000000" w:sz="4" w:space="0"/>
            </w:tcBorders>
            <w:vAlign w:val="top"/>
          </w:tcPr>
          <w:p>
            <w:pPr>
              <w:rPr>
                <w:rFonts w:ascii="Arial"/>
                <w:color w:val="auto"/>
                <w:sz w:val="21"/>
                <w:highlight w:val="none"/>
              </w:rPr>
            </w:pPr>
          </w:p>
        </w:tc>
        <w:tc>
          <w:tcPr>
            <w:tcW w:w="1299" w:type="dxa"/>
            <w:tcBorders>
              <w:left w:val="single" w:color="000000" w:sz="4" w:space="0"/>
              <w:right w:val="single" w:color="000000" w:sz="4" w:space="0"/>
            </w:tcBorders>
            <w:vAlign w:val="top"/>
          </w:tcPr>
          <w:p>
            <w:pPr>
              <w:rPr>
                <w:rFonts w:ascii="Arial"/>
                <w:color w:val="auto"/>
                <w:sz w:val="21"/>
                <w:highlight w:val="none"/>
              </w:rPr>
            </w:pPr>
          </w:p>
        </w:tc>
        <w:tc>
          <w:tcPr>
            <w:tcW w:w="1711" w:type="dxa"/>
            <w:tcBorders>
              <w:left w:val="single" w:color="000000" w:sz="4" w:space="0"/>
              <w:right w:val="single" w:color="000000" w:sz="4" w:space="0"/>
            </w:tcBorders>
            <w:vAlign w:val="top"/>
          </w:tcPr>
          <w:p>
            <w:pPr>
              <w:rPr>
                <w:rFonts w:ascii="Arial"/>
                <w:color w:val="auto"/>
                <w:sz w:val="21"/>
                <w:highlight w:val="none"/>
              </w:rPr>
            </w:pPr>
          </w:p>
        </w:tc>
        <w:tc>
          <w:tcPr>
            <w:tcW w:w="1563" w:type="dxa"/>
            <w:tcBorders>
              <w:left w:val="single" w:color="000000" w:sz="4" w:space="0"/>
              <w:right w:val="single" w:color="000000" w:sz="4" w:space="0"/>
            </w:tcBorders>
            <w:vAlign w:val="top"/>
          </w:tcPr>
          <w:p>
            <w:pPr>
              <w:rPr>
                <w:rFonts w:ascii="Arial"/>
                <w:color w:val="auto"/>
                <w:sz w:val="21"/>
                <w:highlight w:val="none"/>
              </w:rPr>
            </w:pPr>
          </w:p>
        </w:tc>
        <w:tc>
          <w:tcPr>
            <w:tcW w:w="1821" w:type="dxa"/>
            <w:tcBorders>
              <w:left w:val="single" w:color="000000" w:sz="4" w:space="0"/>
              <w:right w:val="single" w:color="000000" w:sz="4" w:space="0"/>
            </w:tcBorders>
            <w:vAlign w:val="top"/>
          </w:tcPr>
          <w:p>
            <w:pPr>
              <w:rPr>
                <w:rFonts w:ascii="Arial"/>
                <w:color w:val="auto"/>
                <w:sz w:val="21"/>
                <w:highlight w:val="none"/>
              </w:rPr>
            </w:pPr>
          </w:p>
        </w:tc>
        <w:tc>
          <w:tcPr>
            <w:tcW w:w="1264"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314" w:type="dxa"/>
            <w:tcBorders>
              <w:left w:val="single" w:color="000000" w:sz="10" w:space="0"/>
              <w:right w:val="single" w:color="000000" w:sz="4" w:space="0"/>
            </w:tcBorders>
            <w:vAlign w:val="top"/>
          </w:tcPr>
          <w:p>
            <w:pPr>
              <w:rPr>
                <w:rFonts w:ascii="Arial"/>
                <w:color w:val="auto"/>
                <w:sz w:val="21"/>
                <w:highlight w:val="none"/>
              </w:rPr>
            </w:pPr>
          </w:p>
        </w:tc>
        <w:tc>
          <w:tcPr>
            <w:tcW w:w="1299" w:type="dxa"/>
            <w:tcBorders>
              <w:left w:val="single" w:color="000000" w:sz="4" w:space="0"/>
              <w:right w:val="single" w:color="000000" w:sz="4" w:space="0"/>
            </w:tcBorders>
            <w:vAlign w:val="top"/>
          </w:tcPr>
          <w:p>
            <w:pPr>
              <w:rPr>
                <w:rFonts w:ascii="Arial"/>
                <w:color w:val="auto"/>
                <w:sz w:val="21"/>
                <w:highlight w:val="none"/>
              </w:rPr>
            </w:pPr>
          </w:p>
        </w:tc>
        <w:tc>
          <w:tcPr>
            <w:tcW w:w="1711" w:type="dxa"/>
            <w:tcBorders>
              <w:left w:val="single" w:color="000000" w:sz="4" w:space="0"/>
              <w:right w:val="single" w:color="000000" w:sz="4" w:space="0"/>
            </w:tcBorders>
            <w:vAlign w:val="top"/>
          </w:tcPr>
          <w:p>
            <w:pPr>
              <w:rPr>
                <w:rFonts w:ascii="Arial"/>
                <w:color w:val="auto"/>
                <w:sz w:val="21"/>
                <w:highlight w:val="none"/>
              </w:rPr>
            </w:pPr>
          </w:p>
        </w:tc>
        <w:tc>
          <w:tcPr>
            <w:tcW w:w="1563" w:type="dxa"/>
            <w:tcBorders>
              <w:left w:val="single" w:color="000000" w:sz="4" w:space="0"/>
              <w:right w:val="single" w:color="000000" w:sz="4" w:space="0"/>
            </w:tcBorders>
            <w:vAlign w:val="top"/>
          </w:tcPr>
          <w:p>
            <w:pPr>
              <w:rPr>
                <w:rFonts w:ascii="Arial"/>
                <w:color w:val="auto"/>
                <w:sz w:val="21"/>
                <w:highlight w:val="none"/>
              </w:rPr>
            </w:pPr>
          </w:p>
        </w:tc>
        <w:tc>
          <w:tcPr>
            <w:tcW w:w="1821" w:type="dxa"/>
            <w:tcBorders>
              <w:left w:val="single" w:color="000000" w:sz="4" w:space="0"/>
              <w:right w:val="single" w:color="000000" w:sz="4" w:space="0"/>
            </w:tcBorders>
            <w:vAlign w:val="top"/>
          </w:tcPr>
          <w:p>
            <w:pPr>
              <w:rPr>
                <w:rFonts w:ascii="Arial"/>
                <w:color w:val="auto"/>
                <w:sz w:val="21"/>
                <w:highlight w:val="none"/>
              </w:rPr>
            </w:pPr>
          </w:p>
        </w:tc>
        <w:tc>
          <w:tcPr>
            <w:tcW w:w="1264" w:type="dxa"/>
            <w:tcBorders>
              <w:left w:val="single" w:color="000000" w:sz="4" w:space="0"/>
              <w:right w:val="single" w:color="000000" w:sz="10" w:space="0"/>
            </w:tcBorders>
            <w:vAlign w:val="top"/>
          </w:tcPr>
          <w:p>
            <w:pP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314" w:type="dxa"/>
            <w:tcBorders>
              <w:left w:val="single" w:color="000000" w:sz="10" w:space="0"/>
              <w:right w:val="single" w:color="000000" w:sz="4" w:space="0"/>
            </w:tcBorders>
            <w:vAlign w:val="top"/>
          </w:tcPr>
          <w:p>
            <w:pPr>
              <w:rPr>
                <w:rFonts w:ascii="Arial"/>
                <w:color w:val="auto"/>
                <w:sz w:val="21"/>
                <w:highlight w:val="none"/>
              </w:rPr>
            </w:pPr>
          </w:p>
        </w:tc>
        <w:tc>
          <w:tcPr>
            <w:tcW w:w="1299" w:type="dxa"/>
            <w:tcBorders>
              <w:left w:val="single" w:color="000000" w:sz="4" w:space="0"/>
              <w:right w:val="single" w:color="000000" w:sz="4" w:space="0"/>
            </w:tcBorders>
            <w:vAlign w:val="top"/>
          </w:tcPr>
          <w:p>
            <w:pPr>
              <w:rPr>
                <w:rFonts w:ascii="Arial"/>
                <w:color w:val="auto"/>
                <w:sz w:val="21"/>
                <w:highlight w:val="none"/>
              </w:rPr>
            </w:pPr>
          </w:p>
        </w:tc>
        <w:tc>
          <w:tcPr>
            <w:tcW w:w="1711" w:type="dxa"/>
            <w:tcBorders>
              <w:left w:val="single" w:color="000000" w:sz="4" w:space="0"/>
              <w:right w:val="single" w:color="000000" w:sz="4" w:space="0"/>
            </w:tcBorders>
            <w:vAlign w:val="top"/>
          </w:tcPr>
          <w:p>
            <w:pPr>
              <w:rPr>
                <w:rFonts w:ascii="Arial"/>
                <w:color w:val="auto"/>
                <w:sz w:val="21"/>
                <w:highlight w:val="none"/>
              </w:rPr>
            </w:pPr>
          </w:p>
        </w:tc>
        <w:tc>
          <w:tcPr>
            <w:tcW w:w="1563" w:type="dxa"/>
            <w:tcBorders>
              <w:left w:val="single" w:color="000000" w:sz="4" w:space="0"/>
              <w:right w:val="single" w:color="000000" w:sz="4" w:space="0"/>
            </w:tcBorders>
            <w:vAlign w:val="top"/>
          </w:tcPr>
          <w:p>
            <w:pPr>
              <w:rPr>
                <w:rFonts w:ascii="Arial"/>
                <w:color w:val="auto"/>
                <w:sz w:val="21"/>
                <w:highlight w:val="none"/>
              </w:rPr>
            </w:pPr>
          </w:p>
        </w:tc>
        <w:tc>
          <w:tcPr>
            <w:tcW w:w="1821" w:type="dxa"/>
            <w:tcBorders>
              <w:left w:val="single" w:color="000000" w:sz="4" w:space="0"/>
              <w:right w:val="single" w:color="000000" w:sz="4" w:space="0"/>
            </w:tcBorders>
            <w:vAlign w:val="top"/>
          </w:tcPr>
          <w:p>
            <w:pPr>
              <w:rPr>
                <w:rFonts w:ascii="Arial"/>
                <w:color w:val="auto"/>
                <w:sz w:val="21"/>
                <w:highlight w:val="none"/>
              </w:rPr>
            </w:pPr>
          </w:p>
        </w:tc>
        <w:tc>
          <w:tcPr>
            <w:tcW w:w="1264" w:type="dxa"/>
            <w:tcBorders>
              <w:left w:val="single" w:color="000000" w:sz="4" w:space="0"/>
              <w:right w:val="single" w:color="000000" w:sz="10" w:space="0"/>
            </w:tcBorders>
            <w:vAlign w:val="top"/>
          </w:tcPr>
          <w:p>
            <w:pPr>
              <w:rPr>
                <w:rFonts w:ascii="Arial"/>
                <w:color w:val="auto"/>
                <w:sz w:val="21"/>
                <w:highlight w:val="none"/>
              </w:rPr>
            </w:pPr>
          </w:p>
        </w:tc>
      </w:tr>
    </w:tbl>
    <w:p>
      <w:pPr>
        <w:rPr>
          <w:rFonts w:ascii="Arial"/>
          <w:color w:val="auto"/>
          <w:sz w:val="21"/>
          <w:highlight w:val="none"/>
        </w:rPr>
      </w:pPr>
    </w:p>
    <w:p>
      <w:pPr>
        <w:rPr>
          <w:color w:val="auto"/>
          <w:highlight w:val="none"/>
        </w:rPr>
        <w:sectPr>
          <w:footerReference r:id="rId52" w:type="default"/>
          <w:pgSz w:w="11900" w:h="16840"/>
          <w:pgMar w:top="1160" w:right="1354" w:bottom="1448" w:left="1240" w:header="883" w:footer="1234" w:gutter="0"/>
          <w:pgNumType w:fmt="decimal"/>
          <w:cols w:space="720" w:num="1"/>
        </w:sectPr>
      </w:pPr>
    </w:p>
    <w:p>
      <w:pPr>
        <w:spacing w:before="280" w:line="221" w:lineRule="auto"/>
        <w:ind w:left="3296"/>
        <w:outlineLvl w:val="2"/>
        <w:rPr>
          <w:rFonts w:ascii="黑体" w:hAnsi="黑体" w:eastAsia="黑体" w:cs="黑体"/>
          <w:color w:val="auto"/>
          <w:sz w:val="36"/>
          <w:szCs w:val="36"/>
          <w:highlight w:val="none"/>
        </w:rPr>
      </w:pPr>
      <w:bookmarkStart w:id="750" w:name="_Toc12533"/>
      <w:r>
        <w:rPr>
          <w:rFonts w:ascii="黑体" w:hAnsi="黑体" w:eastAsia="黑体" w:cs="黑体"/>
          <w:color w:val="auto"/>
          <w:spacing w:val="-5"/>
          <w:sz w:val="36"/>
          <w:szCs w:val="36"/>
          <w:highlight w:val="none"/>
        </w:rPr>
        <w:t>六</w:t>
      </w:r>
      <w:r>
        <w:rPr>
          <w:rFonts w:ascii="黑体" w:hAnsi="黑体" w:eastAsia="黑体" w:cs="黑体"/>
          <w:color w:val="auto"/>
          <w:spacing w:val="-3"/>
          <w:sz w:val="36"/>
          <w:szCs w:val="36"/>
          <w:highlight w:val="none"/>
        </w:rPr>
        <w:t>、项目管理机构</w:t>
      </w:r>
      <w:bookmarkEnd w:id="750"/>
    </w:p>
    <w:p>
      <w:pPr>
        <w:rPr>
          <w:color w:val="auto"/>
          <w:highlight w:val="none"/>
        </w:rPr>
      </w:pPr>
    </w:p>
    <w:p>
      <w:pPr>
        <w:spacing w:line="117" w:lineRule="exact"/>
        <w:rPr>
          <w:color w:val="auto"/>
          <w:highlight w:val="none"/>
        </w:rPr>
      </w:pPr>
    </w:p>
    <w:tbl>
      <w:tblPr>
        <w:tblStyle w:val="26"/>
        <w:tblW w:w="9289"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9289"/>
      </w:tblGrid>
      <w:tr>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7937" w:hRule="atLeast"/>
        </w:trPr>
        <w:tc>
          <w:tcPr>
            <w:tcW w:w="9289" w:type="dxa"/>
            <w:tcBorders>
              <w:top w:val="single" w:color="000000" w:sz="2" w:space="0"/>
              <w:bottom w:val="single" w:color="000000" w:sz="2" w:space="0"/>
            </w:tcBorders>
            <w:vAlign w:val="top"/>
          </w:tcPr>
          <w:p>
            <w:pPr>
              <w:spacing w:line="348" w:lineRule="auto"/>
              <w:rPr>
                <w:rFonts w:ascii="Arial"/>
                <w:color w:val="auto"/>
                <w:sz w:val="22"/>
                <w:szCs w:val="22"/>
                <w:highlight w:val="none"/>
              </w:rPr>
            </w:pPr>
          </w:p>
          <w:p>
            <w:pPr>
              <w:spacing w:before="65" w:line="228" w:lineRule="auto"/>
              <w:ind w:left="103"/>
              <w:rPr>
                <w:rFonts w:ascii="宋体" w:hAnsi="宋体" w:eastAsia="宋体" w:cs="宋体"/>
                <w:color w:val="auto"/>
                <w:sz w:val="20"/>
                <w:szCs w:val="20"/>
                <w:highlight w:val="none"/>
              </w:rPr>
            </w:pPr>
            <w:r>
              <w:rPr>
                <w:rFonts w:ascii="宋体" w:hAnsi="宋体" w:eastAsia="宋体" w:cs="宋体"/>
                <w:color w:val="auto"/>
                <w:spacing w:val="16"/>
                <w:sz w:val="21"/>
                <w:szCs w:val="21"/>
                <w:highlight w:val="none"/>
              </w:rPr>
              <w:t>拟</w:t>
            </w:r>
            <w:r>
              <w:rPr>
                <w:rFonts w:ascii="宋体" w:hAnsi="宋体" w:eastAsia="宋体" w:cs="宋体"/>
                <w:color w:val="auto"/>
                <w:spacing w:val="10"/>
                <w:sz w:val="21"/>
                <w:szCs w:val="21"/>
                <w:highlight w:val="none"/>
              </w:rPr>
              <w:t>为</w:t>
            </w:r>
            <w:r>
              <w:rPr>
                <w:rFonts w:ascii="宋体" w:hAnsi="宋体" w:eastAsia="宋体" w:cs="宋体"/>
                <w:color w:val="auto"/>
                <w:spacing w:val="8"/>
                <w:sz w:val="21"/>
                <w:szCs w:val="21"/>
                <w:highlight w:val="none"/>
              </w:rPr>
              <w:t>承包本标段工程设立的组织机构以框图方式表示。</w:t>
            </w:r>
          </w:p>
        </w:tc>
      </w:tr>
      <w:tr>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2303" w:hRule="atLeast"/>
        </w:trPr>
        <w:tc>
          <w:tcPr>
            <w:tcW w:w="9289" w:type="dxa"/>
            <w:tcBorders>
              <w:top w:val="single" w:color="000000" w:sz="2" w:space="0"/>
              <w:bottom w:val="single" w:color="000000" w:sz="2" w:space="0"/>
            </w:tcBorders>
            <w:vAlign w:val="top"/>
          </w:tcPr>
          <w:p>
            <w:pPr>
              <w:spacing w:line="331" w:lineRule="auto"/>
              <w:rPr>
                <w:rFonts w:ascii="Arial"/>
                <w:color w:val="auto"/>
                <w:sz w:val="21"/>
                <w:highlight w:val="none"/>
              </w:rPr>
            </w:pPr>
          </w:p>
          <w:p>
            <w:pPr>
              <w:spacing w:before="65" w:line="228" w:lineRule="auto"/>
              <w:ind w:left="105"/>
              <w:rPr>
                <w:rFonts w:ascii="宋体" w:hAnsi="宋体" w:eastAsia="宋体" w:cs="宋体"/>
                <w:color w:val="auto"/>
                <w:sz w:val="20"/>
                <w:szCs w:val="20"/>
                <w:highlight w:val="none"/>
              </w:rPr>
            </w:pPr>
            <w:r>
              <w:rPr>
                <w:rFonts w:ascii="宋体" w:hAnsi="宋体" w:eastAsia="宋体" w:cs="宋体"/>
                <w:color w:val="auto"/>
                <w:spacing w:val="3"/>
                <w:sz w:val="22"/>
                <w:szCs w:val="22"/>
                <w:highlight w:val="none"/>
              </w:rPr>
              <w:t>说明</w:t>
            </w:r>
          </w:p>
        </w:tc>
      </w:tr>
    </w:tbl>
    <w:p>
      <w:pPr>
        <w:rPr>
          <w:color w:val="auto"/>
          <w:highlight w:val="none"/>
        </w:rPr>
        <w:sectPr>
          <w:footerReference r:id="rId53" w:type="default"/>
          <w:pgSz w:w="11900" w:h="16840"/>
          <w:pgMar w:top="1160" w:right="1344" w:bottom="1448" w:left="1240" w:header="883" w:footer="1234" w:gutter="0"/>
          <w:pgNumType w:fmt="decimal"/>
          <w:cols w:space="720" w:num="1"/>
        </w:sectPr>
      </w:pPr>
    </w:p>
    <w:p>
      <w:pPr>
        <w:spacing w:before="280" w:line="221" w:lineRule="auto"/>
        <w:jc w:val="center"/>
        <w:outlineLvl w:val="2"/>
        <w:rPr>
          <w:rFonts w:hint="eastAsia" w:ascii="宋体" w:hAnsi="宋体" w:eastAsia="宋体" w:cs="宋体"/>
          <w:color w:val="auto"/>
          <w:spacing w:val="-3"/>
          <w:sz w:val="36"/>
          <w:szCs w:val="36"/>
          <w:highlight w:val="none"/>
          <w:lang w:eastAsia="zh-CN"/>
        </w:rPr>
      </w:pPr>
      <w:bookmarkStart w:id="751" w:name="_Toc23387"/>
      <w:r>
        <w:rPr>
          <w:rFonts w:hint="eastAsia" w:ascii="宋体" w:hAnsi="宋体" w:eastAsia="宋体" w:cs="宋体"/>
          <w:color w:val="auto"/>
          <w:spacing w:val="-3"/>
          <w:sz w:val="36"/>
          <w:szCs w:val="36"/>
          <w:highlight w:val="none"/>
          <w:lang w:val="en-US" w:eastAsia="zh-CN"/>
        </w:rPr>
        <w:t>七、</w:t>
      </w:r>
      <w:r>
        <w:rPr>
          <w:rFonts w:hint="eastAsia" w:ascii="宋体" w:hAnsi="宋体" w:eastAsia="宋体" w:cs="宋体"/>
          <w:color w:val="auto"/>
          <w:spacing w:val="-3"/>
          <w:sz w:val="36"/>
          <w:szCs w:val="36"/>
          <w:highlight w:val="none"/>
        </w:rPr>
        <w:t>资格审查资料</w:t>
      </w:r>
      <w:bookmarkEnd w:id="751"/>
    </w:p>
    <w:p>
      <w:pPr>
        <w:spacing w:before="117" w:line="222" w:lineRule="auto"/>
        <w:jc w:val="center"/>
        <w:outlineLvl w:val="2"/>
        <w:rPr>
          <w:rFonts w:hint="eastAsia" w:ascii="宋体" w:hAnsi="宋体" w:eastAsia="宋体" w:cs="宋体"/>
          <w:b/>
          <w:bCs/>
          <w:color w:val="auto"/>
          <w:spacing w:val="-3"/>
          <w:sz w:val="28"/>
          <w:szCs w:val="28"/>
          <w:highlight w:val="none"/>
        </w:rPr>
      </w:pPr>
      <w:bookmarkStart w:id="752" w:name="_Toc21217"/>
      <w:r>
        <w:rPr>
          <w:rFonts w:hint="eastAsia" w:ascii="宋体" w:hAnsi="宋体" w:eastAsia="宋体" w:cs="宋体"/>
          <w:b/>
          <w:bCs/>
          <w:color w:val="auto"/>
          <w:spacing w:val="-3"/>
          <w:sz w:val="28"/>
          <w:szCs w:val="28"/>
          <w:highlight w:val="none"/>
        </w:rPr>
        <w:t>(一) 投标人基本情况表</w:t>
      </w:r>
      <w:bookmarkEnd w:id="752"/>
    </w:p>
    <w:p>
      <w:pPr>
        <w:rPr>
          <w:color w:val="auto"/>
          <w:highlight w:val="none"/>
        </w:rPr>
      </w:pPr>
    </w:p>
    <w:p>
      <w:pPr>
        <w:spacing w:line="50" w:lineRule="exact"/>
        <w:rPr>
          <w:color w:val="auto"/>
          <w:highlight w:val="none"/>
        </w:rPr>
      </w:pPr>
    </w:p>
    <w:tbl>
      <w:tblPr>
        <w:tblStyle w:val="26"/>
        <w:tblW w:w="9212"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38"/>
        <w:gridCol w:w="1077"/>
        <w:gridCol w:w="1257"/>
        <w:gridCol w:w="718"/>
        <w:gridCol w:w="538"/>
        <w:gridCol w:w="1257"/>
        <w:gridCol w:w="179"/>
        <w:gridCol w:w="718"/>
        <w:gridCol w:w="163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838" w:type="dxa"/>
            <w:tcBorders>
              <w:left w:val="single" w:color="000000" w:sz="10" w:space="0"/>
              <w:right w:val="single" w:color="000000" w:sz="4" w:space="0"/>
            </w:tcBorders>
            <w:vAlign w:val="top"/>
          </w:tcPr>
          <w:p>
            <w:pPr>
              <w:spacing w:before="120" w:line="229" w:lineRule="auto"/>
              <w:ind w:left="386"/>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投</w:t>
            </w:r>
            <w:r>
              <w:rPr>
                <w:rFonts w:hint="eastAsia" w:ascii="宋体" w:hAnsi="宋体" w:eastAsia="宋体" w:cs="宋体"/>
                <w:color w:val="auto"/>
                <w:spacing w:val="7"/>
                <w:sz w:val="21"/>
                <w:szCs w:val="21"/>
                <w:highlight w:val="none"/>
              </w:rPr>
              <w:t>标人名称</w:t>
            </w:r>
          </w:p>
        </w:tc>
        <w:tc>
          <w:tcPr>
            <w:tcW w:w="7374" w:type="dxa"/>
            <w:gridSpan w:val="8"/>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838" w:type="dxa"/>
            <w:tcBorders>
              <w:left w:val="single" w:color="000000" w:sz="10" w:space="0"/>
              <w:right w:val="single" w:color="000000" w:sz="4" w:space="0"/>
            </w:tcBorders>
            <w:vAlign w:val="top"/>
          </w:tcPr>
          <w:p>
            <w:pPr>
              <w:spacing w:before="96" w:line="230" w:lineRule="auto"/>
              <w:ind w:left="489"/>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注</w:t>
            </w:r>
            <w:r>
              <w:rPr>
                <w:rFonts w:hint="eastAsia" w:ascii="宋体" w:hAnsi="宋体" w:eastAsia="宋体" w:cs="宋体"/>
                <w:color w:val="auto"/>
                <w:spacing w:val="7"/>
                <w:sz w:val="21"/>
                <w:szCs w:val="21"/>
                <w:highlight w:val="none"/>
              </w:rPr>
              <w:t>册地址</w:t>
            </w:r>
          </w:p>
        </w:tc>
        <w:tc>
          <w:tcPr>
            <w:tcW w:w="3590" w:type="dxa"/>
            <w:gridSpan w:val="4"/>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257" w:type="dxa"/>
            <w:tcBorders>
              <w:left w:val="single" w:color="000000" w:sz="4" w:space="0"/>
              <w:right w:val="single" w:color="000000" w:sz="4" w:space="0"/>
            </w:tcBorders>
            <w:vAlign w:val="top"/>
          </w:tcPr>
          <w:p>
            <w:pPr>
              <w:spacing w:before="97" w:line="228" w:lineRule="auto"/>
              <w:ind w:left="230"/>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邮</w:t>
            </w:r>
            <w:r>
              <w:rPr>
                <w:rFonts w:hint="eastAsia" w:ascii="宋体" w:hAnsi="宋体" w:eastAsia="宋体" w:cs="宋体"/>
                <w:color w:val="auto"/>
                <w:spacing w:val="3"/>
                <w:sz w:val="21"/>
                <w:szCs w:val="21"/>
                <w:highlight w:val="none"/>
              </w:rPr>
              <w:t>政编码</w:t>
            </w:r>
          </w:p>
        </w:tc>
        <w:tc>
          <w:tcPr>
            <w:tcW w:w="2527" w:type="dxa"/>
            <w:gridSpan w:val="3"/>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838" w:type="dxa"/>
            <w:vMerge w:val="restart"/>
            <w:tcBorders>
              <w:left w:val="single" w:color="000000" w:sz="10" w:space="0"/>
              <w:bottom w:val="nil"/>
              <w:right w:val="single" w:color="000000" w:sz="4" w:space="0"/>
            </w:tcBorders>
            <w:vAlign w:val="top"/>
          </w:tcPr>
          <w:p>
            <w:pPr>
              <w:spacing w:line="308" w:lineRule="auto"/>
              <w:rPr>
                <w:rFonts w:hint="eastAsia" w:ascii="宋体" w:hAnsi="宋体" w:eastAsia="宋体" w:cs="宋体"/>
                <w:color w:val="auto"/>
                <w:sz w:val="21"/>
                <w:szCs w:val="21"/>
                <w:highlight w:val="none"/>
              </w:rPr>
            </w:pPr>
          </w:p>
          <w:p>
            <w:pPr>
              <w:spacing w:before="65" w:line="228" w:lineRule="auto"/>
              <w:ind w:left="490"/>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联系方式</w:t>
            </w:r>
          </w:p>
        </w:tc>
        <w:tc>
          <w:tcPr>
            <w:tcW w:w="1077" w:type="dxa"/>
            <w:tcBorders>
              <w:left w:val="single" w:color="000000" w:sz="4" w:space="0"/>
              <w:right w:val="single" w:color="000000" w:sz="4" w:space="0"/>
            </w:tcBorders>
            <w:vAlign w:val="top"/>
          </w:tcPr>
          <w:p>
            <w:pPr>
              <w:spacing w:before="96" w:line="231" w:lineRule="auto"/>
              <w:ind w:left="219"/>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联</w:t>
            </w:r>
            <w:r>
              <w:rPr>
                <w:rFonts w:hint="eastAsia" w:ascii="宋体" w:hAnsi="宋体" w:eastAsia="宋体" w:cs="宋体"/>
                <w:color w:val="auto"/>
                <w:spacing w:val="6"/>
                <w:sz w:val="21"/>
                <w:szCs w:val="21"/>
                <w:highlight w:val="none"/>
              </w:rPr>
              <w:t>系人</w:t>
            </w:r>
          </w:p>
        </w:tc>
        <w:tc>
          <w:tcPr>
            <w:tcW w:w="2513" w:type="dxa"/>
            <w:gridSpan w:val="3"/>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257" w:type="dxa"/>
            <w:tcBorders>
              <w:left w:val="single" w:color="000000" w:sz="4" w:space="0"/>
              <w:right w:val="single" w:color="000000" w:sz="4" w:space="0"/>
            </w:tcBorders>
            <w:vAlign w:val="top"/>
          </w:tcPr>
          <w:p>
            <w:pPr>
              <w:spacing w:before="96" w:line="231" w:lineRule="auto"/>
              <w:ind w:left="342"/>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电  话</w:t>
            </w:r>
          </w:p>
        </w:tc>
        <w:tc>
          <w:tcPr>
            <w:tcW w:w="2527" w:type="dxa"/>
            <w:gridSpan w:val="3"/>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838" w:type="dxa"/>
            <w:vMerge w:val="continue"/>
            <w:tcBorders>
              <w:top w:val="nil"/>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1077" w:type="dxa"/>
            <w:tcBorders>
              <w:left w:val="single" w:color="000000" w:sz="4" w:space="0"/>
              <w:right w:val="single" w:color="000000" w:sz="4" w:space="0"/>
            </w:tcBorders>
            <w:vAlign w:val="top"/>
          </w:tcPr>
          <w:p>
            <w:pPr>
              <w:spacing w:before="97" w:line="225" w:lineRule="auto"/>
              <w:ind w:left="322"/>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传</w:t>
            </w:r>
            <w:r>
              <w:rPr>
                <w:rFonts w:hint="eastAsia" w:ascii="宋体" w:hAnsi="宋体" w:eastAsia="宋体" w:cs="宋体"/>
                <w:color w:val="auto"/>
                <w:spacing w:val="5"/>
                <w:sz w:val="21"/>
                <w:szCs w:val="21"/>
                <w:highlight w:val="none"/>
              </w:rPr>
              <w:t>真</w:t>
            </w:r>
          </w:p>
        </w:tc>
        <w:tc>
          <w:tcPr>
            <w:tcW w:w="2513" w:type="dxa"/>
            <w:gridSpan w:val="3"/>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257" w:type="dxa"/>
            <w:tcBorders>
              <w:left w:val="single" w:color="000000" w:sz="4" w:space="0"/>
              <w:right w:val="single" w:color="000000" w:sz="4" w:space="0"/>
            </w:tcBorders>
            <w:vAlign w:val="top"/>
          </w:tcPr>
          <w:p>
            <w:pPr>
              <w:spacing w:before="98" w:line="228" w:lineRule="auto"/>
              <w:ind w:left="239"/>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电</w:t>
            </w:r>
            <w:r>
              <w:rPr>
                <w:rFonts w:hint="eastAsia" w:ascii="宋体" w:hAnsi="宋体" w:eastAsia="宋体" w:cs="宋体"/>
                <w:color w:val="auto"/>
                <w:spacing w:val="1"/>
                <w:sz w:val="21"/>
                <w:szCs w:val="21"/>
                <w:highlight w:val="none"/>
              </w:rPr>
              <w:t>子邮件</w:t>
            </w:r>
          </w:p>
        </w:tc>
        <w:tc>
          <w:tcPr>
            <w:tcW w:w="2527" w:type="dxa"/>
            <w:gridSpan w:val="3"/>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1838" w:type="dxa"/>
            <w:tcBorders>
              <w:left w:val="single" w:color="000000" w:sz="10" w:space="0"/>
              <w:right w:val="single" w:color="000000" w:sz="4" w:space="0"/>
            </w:tcBorders>
            <w:vAlign w:val="top"/>
          </w:tcPr>
          <w:p>
            <w:pPr>
              <w:spacing w:before="100" w:line="227" w:lineRule="auto"/>
              <w:ind w:left="384"/>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法定代表</w:t>
            </w:r>
            <w:r>
              <w:rPr>
                <w:rFonts w:hint="eastAsia" w:ascii="宋体" w:hAnsi="宋体" w:eastAsia="宋体" w:cs="宋体"/>
                <w:color w:val="auto"/>
                <w:spacing w:val="7"/>
                <w:sz w:val="21"/>
                <w:szCs w:val="21"/>
                <w:highlight w:val="none"/>
              </w:rPr>
              <w:t>人</w:t>
            </w:r>
          </w:p>
        </w:tc>
        <w:tc>
          <w:tcPr>
            <w:tcW w:w="1077" w:type="dxa"/>
            <w:tcBorders>
              <w:left w:val="single" w:color="000000" w:sz="4" w:space="0"/>
              <w:right w:val="single" w:color="000000" w:sz="4" w:space="0"/>
            </w:tcBorders>
            <w:vAlign w:val="top"/>
          </w:tcPr>
          <w:p>
            <w:pPr>
              <w:spacing w:before="100" w:line="228" w:lineRule="auto"/>
              <w:ind w:left="324"/>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姓</w:t>
            </w:r>
            <w:r>
              <w:rPr>
                <w:rFonts w:hint="eastAsia" w:ascii="宋体" w:hAnsi="宋体" w:eastAsia="宋体" w:cs="宋体"/>
                <w:color w:val="auto"/>
                <w:spacing w:val="4"/>
                <w:sz w:val="21"/>
                <w:szCs w:val="21"/>
                <w:highlight w:val="none"/>
              </w:rPr>
              <w:t>名</w:t>
            </w:r>
          </w:p>
        </w:tc>
        <w:tc>
          <w:tcPr>
            <w:tcW w:w="1257"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256" w:type="dxa"/>
            <w:gridSpan w:val="2"/>
            <w:tcBorders>
              <w:left w:val="single" w:color="000000" w:sz="4" w:space="0"/>
              <w:right w:val="single" w:color="000000" w:sz="4" w:space="0"/>
            </w:tcBorders>
            <w:vAlign w:val="top"/>
          </w:tcPr>
          <w:p>
            <w:pPr>
              <w:spacing w:before="100" w:line="228" w:lineRule="auto"/>
              <w:ind w:left="211"/>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技术职称</w:t>
            </w:r>
          </w:p>
        </w:tc>
        <w:tc>
          <w:tcPr>
            <w:tcW w:w="1436" w:type="dxa"/>
            <w:gridSpan w:val="2"/>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718" w:type="dxa"/>
            <w:tcBorders>
              <w:left w:val="single" w:color="000000" w:sz="4" w:space="0"/>
              <w:right w:val="single" w:color="000000" w:sz="4" w:space="0"/>
            </w:tcBorders>
            <w:vAlign w:val="top"/>
          </w:tcPr>
          <w:p>
            <w:pPr>
              <w:spacing w:before="99" w:line="231" w:lineRule="auto"/>
              <w:ind w:left="183"/>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电</w:t>
            </w:r>
            <w:r>
              <w:rPr>
                <w:rFonts w:hint="eastAsia" w:ascii="宋体" w:hAnsi="宋体" w:eastAsia="宋体" w:cs="宋体"/>
                <w:color w:val="auto"/>
                <w:spacing w:val="-7"/>
                <w:sz w:val="21"/>
                <w:szCs w:val="21"/>
                <w:highlight w:val="none"/>
              </w:rPr>
              <w:t>话</w:t>
            </w:r>
          </w:p>
        </w:tc>
        <w:tc>
          <w:tcPr>
            <w:tcW w:w="1630"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838" w:type="dxa"/>
            <w:tcBorders>
              <w:left w:val="single" w:color="000000" w:sz="10" w:space="0"/>
              <w:right w:val="single" w:color="000000" w:sz="4" w:space="0"/>
            </w:tcBorders>
            <w:vAlign w:val="top"/>
          </w:tcPr>
          <w:p>
            <w:pPr>
              <w:spacing w:before="98" w:line="226" w:lineRule="auto"/>
              <w:ind w:left="384"/>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技术负责</w:t>
            </w:r>
            <w:r>
              <w:rPr>
                <w:rFonts w:hint="eastAsia" w:ascii="宋体" w:hAnsi="宋体" w:eastAsia="宋体" w:cs="宋体"/>
                <w:color w:val="auto"/>
                <w:spacing w:val="7"/>
                <w:sz w:val="21"/>
                <w:szCs w:val="21"/>
                <w:highlight w:val="none"/>
              </w:rPr>
              <w:t>人</w:t>
            </w:r>
          </w:p>
        </w:tc>
        <w:tc>
          <w:tcPr>
            <w:tcW w:w="1077" w:type="dxa"/>
            <w:tcBorders>
              <w:left w:val="single" w:color="000000" w:sz="4" w:space="0"/>
              <w:right w:val="single" w:color="000000" w:sz="4" w:space="0"/>
            </w:tcBorders>
            <w:vAlign w:val="top"/>
          </w:tcPr>
          <w:p>
            <w:pPr>
              <w:spacing w:before="99" w:line="228" w:lineRule="auto"/>
              <w:ind w:left="324"/>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姓</w:t>
            </w:r>
            <w:r>
              <w:rPr>
                <w:rFonts w:hint="eastAsia" w:ascii="宋体" w:hAnsi="宋体" w:eastAsia="宋体" w:cs="宋体"/>
                <w:color w:val="auto"/>
                <w:spacing w:val="4"/>
                <w:sz w:val="21"/>
                <w:szCs w:val="21"/>
                <w:highlight w:val="none"/>
              </w:rPr>
              <w:t>名</w:t>
            </w:r>
          </w:p>
        </w:tc>
        <w:tc>
          <w:tcPr>
            <w:tcW w:w="1257"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256" w:type="dxa"/>
            <w:gridSpan w:val="2"/>
            <w:tcBorders>
              <w:left w:val="single" w:color="000000" w:sz="4" w:space="0"/>
              <w:right w:val="single" w:color="000000" w:sz="4" w:space="0"/>
            </w:tcBorders>
            <w:vAlign w:val="top"/>
          </w:tcPr>
          <w:p>
            <w:pPr>
              <w:spacing w:before="99" w:line="228" w:lineRule="auto"/>
              <w:ind w:left="211"/>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技术职称</w:t>
            </w:r>
          </w:p>
        </w:tc>
        <w:tc>
          <w:tcPr>
            <w:tcW w:w="1436" w:type="dxa"/>
            <w:gridSpan w:val="2"/>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718" w:type="dxa"/>
            <w:tcBorders>
              <w:left w:val="single" w:color="000000" w:sz="4" w:space="0"/>
              <w:right w:val="single" w:color="000000" w:sz="4" w:space="0"/>
            </w:tcBorders>
            <w:vAlign w:val="top"/>
          </w:tcPr>
          <w:p>
            <w:pPr>
              <w:spacing w:before="98" w:line="231" w:lineRule="auto"/>
              <w:ind w:left="183"/>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电</w:t>
            </w:r>
            <w:r>
              <w:rPr>
                <w:rFonts w:hint="eastAsia" w:ascii="宋体" w:hAnsi="宋体" w:eastAsia="宋体" w:cs="宋体"/>
                <w:color w:val="auto"/>
                <w:spacing w:val="-7"/>
                <w:sz w:val="21"/>
                <w:szCs w:val="21"/>
                <w:highlight w:val="none"/>
              </w:rPr>
              <w:t>话</w:t>
            </w:r>
          </w:p>
        </w:tc>
        <w:tc>
          <w:tcPr>
            <w:tcW w:w="1630"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838" w:type="dxa"/>
            <w:tcBorders>
              <w:left w:val="single" w:color="000000" w:sz="10" w:space="0"/>
              <w:right w:val="single" w:color="000000" w:sz="4" w:space="0"/>
            </w:tcBorders>
            <w:vAlign w:val="top"/>
          </w:tcPr>
          <w:p>
            <w:pPr>
              <w:spacing w:before="99" w:line="228" w:lineRule="auto"/>
              <w:ind w:left="390"/>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营业执照</w:t>
            </w:r>
            <w:r>
              <w:rPr>
                <w:rFonts w:hint="eastAsia" w:ascii="宋体" w:hAnsi="宋体" w:eastAsia="宋体" w:cs="宋体"/>
                <w:color w:val="auto"/>
                <w:spacing w:val="6"/>
                <w:sz w:val="21"/>
                <w:szCs w:val="21"/>
                <w:highlight w:val="none"/>
              </w:rPr>
              <w:t>号</w:t>
            </w:r>
          </w:p>
        </w:tc>
        <w:tc>
          <w:tcPr>
            <w:tcW w:w="2334" w:type="dxa"/>
            <w:gridSpan w:val="2"/>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5040" w:type="dxa"/>
            <w:gridSpan w:val="6"/>
            <w:tcBorders>
              <w:left w:val="single" w:color="000000" w:sz="4" w:space="0"/>
              <w:right w:val="single" w:color="000000" w:sz="10" w:space="0"/>
            </w:tcBorders>
            <w:vAlign w:val="top"/>
          </w:tcPr>
          <w:p>
            <w:pPr>
              <w:spacing w:before="99" w:line="228" w:lineRule="auto"/>
              <w:ind w:left="1898"/>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员</w:t>
            </w:r>
            <w:r>
              <w:rPr>
                <w:rFonts w:hint="eastAsia" w:ascii="宋体" w:hAnsi="宋体" w:eastAsia="宋体" w:cs="宋体"/>
                <w:color w:val="auto"/>
                <w:spacing w:val="5"/>
                <w:sz w:val="21"/>
                <w:szCs w:val="21"/>
                <w:highlight w:val="none"/>
              </w:rPr>
              <w:t>工总人数：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838" w:type="dxa"/>
            <w:tcBorders>
              <w:left w:val="single" w:color="000000" w:sz="10" w:space="0"/>
              <w:right w:val="single" w:color="000000" w:sz="4" w:space="0"/>
            </w:tcBorders>
            <w:vAlign w:val="top"/>
          </w:tcPr>
          <w:p>
            <w:pPr>
              <w:spacing w:before="99" w:line="227" w:lineRule="auto"/>
              <w:ind w:left="284"/>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rPr>
              <w:t>企</w:t>
            </w:r>
            <w:r>
              <w:rPr>
                <w:rFonts w:hint="eastAsia" w:ascii="宋体" w:hAnsi="宋体" w:eastAsia="宋体" w:cs="宋体"/>
                <w:color w:val="auto"/>
                <w:spacing w:val="7"/>
                <w:sz w:val="21"/>
                <w:szCs w:val="21"/>
                <w:highlight w:val="none"/>
              </w:rPr>
              <w:t>业资质等级</w:t>
            </w:r>
          </w:p>
        </w:tc>
        <w:tc>
          <w:tcPr>
            <w:tcW w:w="2334" w:type="dxa"/>
            <w:gridSpan w:val="2"/>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718" w:type="dxa"/>
            <w:vMerge w:val="restart"/>
            <w:tcBorders>
              <w:left w:val="single" w:color="000000" w:sz="4" w:space="0"/>
              <w:bottom w:val="nil"/>
              <w:right w:val="single" w:color="000000" w:sz="4" w:space="0"/>
            </w:tcBorders>
            <w:vAlign w:val="top"/>
          </w:tcPr>
          <w:p>
            <w:pPr>
              <w:spacing w:line="284" w:lineRule="auto"/>
              <w:rPr>
                <w:rFonts w:hint="eastAsia" w:ascii="宋体" w:hAnsi="宋体" w:eastAsia="宋体" w:cs="宋体"/>
                <w:color w:val="auto"/>
                <w:sz w:val="21"/>
                <w:szCs w:val="21"/>
                <w:highlight w:val="none"/>
              </w:rPr>
            </w:pPr>
          </w:p>
          <w:p>
            <w:pPr>
              <w:spacing w:line="285" w:lineRule="auto"/>
              <w:rPr>
                <w:rFonts w:hint="eastAsia" w:ascii="宋体" w:hAnsi="宋体" w:eastAsia="宋体" w:cs="宋体"/>
                <w:color w:val="auto"/>
                <w:sz w:val="21"/>
                <w:szCs w:val="21"/>
                <w:highlight w:val="none"/>
              </w:rPr>
            </w:pPr>
          </w:p>
          <w:p>
            <w:pPr>
              <w:spacing w:line="285" w:lineRule="auto"/>
              <w:rPr>
                <w:rFonts w:hint="eastAsia" w:ascii="宋体" w:hAnsi="宋体" w:eastAsia="宋体" w:cs="宋体"/>
                <w:color w:val="auto"/>
                <w:sz w:val="21"/>
                <w:szCs w:val="21"/>
                <w:highlight w:val="none"/>
              </w:rPr>
            </w:pPr>
          </w:p>
          <w:p>
            <w:pPr>
              <w:spacing w:line="285" w:lineRule="auto"/>
              <w:rPr>
                <w:rFonts w:hint="eastAsia" w:ascii="宋体" w:hAnsi="宋体" w:eastAsia="宋体" w:cs="宋体"/>
                <w:color w:val="auto"/>
                <w:sz w:val="21"/>
                <w:szCs w:val="21"/>
                <w:highlight w:val="none"/>
              </w:rPr>
            </w:pPr>
          </w:p>
          <w:p>
            <w:pPr>
              <w:spacing w:before="65" w:line="226" w:lineRule="auto"/>
              <w:ind w:left="151"/>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其中</w:t>
            </w:r>
          </w:p>
        </w:tc>
        <w:tc>
          <w:tcPr>
            <w:tcW w:w="1974" w:type="dxa"/>
            <w:gridSpan w:val="3"/>
            <w:tcBorders>
              <w:left w:val="single" w:color="000000" w:sz="4" w:space="0"/>
              <w:right w:val="single" w:color="000000" w:sz="4" w:space="0"/>
            </w:tcBorders>
            <w:vAlign w:val="top"/>
          </w:tcPr>
          <w:p>
            <w:pPr>
              <w:spacing w:before="100" w:line="228" w:lineRule="auto"/>
              <w:ind w:left="575"/>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项</w:t>
            </w:r>
            <w:r>
              <w:rPr>
                <w:rFonts w:hint="eastAsia" w:ascii="宋体" w:hAnsi="宋体" w:eastAsia="宋体" w:cs="宋体"/>
                <w:color w:val="auto"/>
                <w:spacing w:val="6"/>
                <w:sz w:val="21"/>
                <w:szCs w:val="21"/>
                <w:highlight w:val="none"/>
              </w:rPr>
              <w:t>目经理</w:t>
            </w:r>
          </w:p>
        </w:tc>
        <w:tc>
          <w:tcPr>
            <w:tcW w:w="2348" w:type="dxa"/>
            <w:gridSpan w:val="2"/>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1838" w:type="dxa"/>
            <w:tcBorders>
              <w:left w:val="single" w:color="000000" w:sz="10" w:space="0"/>
              <w:right w:val="single" w:color="000000" w:sz="4" w:space="0"/>
            </w:tcBorders>
            <w:vAlign w:val="top"/>
          </w:tcPr>
          <w:p>
            <w:pPr>
              <w:spacing w:before="102" w:line="227" w:lineRule="auto"/>
              <w:ind w:left="489"/>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注</w:t>
            </w:r>
            <w:r>
              <w:rPr>
                <w:rFonts w:hint="eastAsia" w:ascii="宋体" w:hAnsi="宋体" w:eastAsia="宋体" w:cs="宋体"/>
                <w:color w:val="auto"/>
                <w:spacing w:val="7"/>
                <w:sz w:val="21"/>
                <w:szCs w:val="21"/>
                <w:highlight w:val="none"/>
              </w:rPr>
              <w:t>册资本</w:t>
            </w:r>
          </w:p>
        </w:tc>
        <w:tc>
          <w:tcPr>
            <w:tcW w:w="2334" w:type="dxa"/>
            <w:gridSpan w:val="2"/>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718" w:type="dxa"/>
            <w:vMerge w:val="continue"/>
            <w:tcBorders>
              <w:top w:val="nil"/>
              <w:left w:val="single" w:color="000000" w:sz="4" w:space="0"/>
              <w:bottom w:val="nil"/>
              <w:right w:val="single" w:color="000000" w:sz="4" w:space="0"/>
            </w:tcBorders>
            <w:vAlign w:val="top"/>
          </w:tcPr>
          <w:p>
            <w:pPr>
              <w:rPr>
                <w:rFonts w:hint="eastAsia" w:ascii="宋体" w:hAnsi="宋体" w:eastAsia="宋体" w:cs="宋体"/>
                <w:color w:val="auto"/>
                <w:sz w:val="21"/>
                <w:szCs w:val="21"/>
                <w:highlight w:val="none"/>
              </w:rPr>
            </w:pPr>
          </w:p>
        </w:tc>
        <w:tc>
          <w:tcPr>
            <w:tcW w:w="1974" w:type="dxa"/>
            <w:gridSpan w:val="3"/>
            <w:tcBorders>
              <w:left w:val="single" w:color="000000" w:sz="4" w:space="0"/>
              <w:right w:val="single" w:color="000000" w:sz="4" w:space="0"/>
            </w:tcBorders>
            <w:vAlign w:val="top"/>
          </w:tcPr>
          <w:p>
            <w:pPr>
              <w:spacing w:before="102" w:line="228" w:lineRule="auto"/>
              <w:ind w:left="367"/>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高</w:t>
            </w:r>
            <w:r>
              <w:rPr>
                <w:rFonts w:hint="eastAsia" w:ascii="宋体" w:hAnsi="宋体" w:eastAsia="宋体" w:cs="宋体"/>
                <w:color w:val="auto"/>
                <w:spacing w:val="7"/>
                <w:sz w:val="21"/>
                <w:szCs w:val="21"/>
                <w:highlight w:val="none"/>
              </w:rPr>
              <w:t>级职称人员</w:t>
            </w:r>
          </w:p>
        </w:tc>
        <w:tc>
          <w:tcPr>
            <w:tcW w:w="2348" w:type="dxa"/>
            <w:gridSpan w:val="2"/>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838" w:type="dxa"/>
            <w:tcBorders>
              <w:left w:val="single" w:color="000000" w:sz="10" w:space="0"/>
              <w:right w:val="single" w:color="000000" w:sz="4" w:space="0"/>
            </w:tcBorders>
            <w:vAlign w:val="top"/>
          </w:tcPr>
          <w:p>
            <w:pPr>
              <w:spacing w:before="99" w:line="229" w:lineRule="auto"/>
              <w:ind w:left="491"/>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成立日</w:t>
            </w:r>
            <w:r>
              <w:rPr>
                <w:rFonts w:hint="eastAsia" w:ascii="宋体" w:hAnsi="宋体" w:eastAsia="宋体" w:cs="宋体"/>
                <w:color w:val="auto"/>
                <w:spacing w:val="6"/>
                <w:sz w:val="21"/>
                <w:szCs w:val="21"/>
                <w:highlight w:val="none"/>
              </w:rPr>
              <w:t>期</w:t>
            </w:r>
          </w:p>
        </w:tc>
        <w:tc>
          <w:tcPr>
            <w:tcW w:w="2334" w:type="dxa"/>
            <w:gridSpan w:val="2"/>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718" w:type="dxa"/>
            <w:vMerge w:val="continue"/>
            <w:tcBorders>
              <w:top w:val="nil"/>
              <w:left w:val="single" w:color="000000" w:sz="4" w:space="0"/>
              <w:bottom w:val="nil"/>
              <w:right w:val="single" w:color="000000" w:sz="4" w:space="0"/>
            </w:tcBorders>
            <w:vAlign w:val="top"/>
          </w:tcPr>
          <w:p>
            <w:pPr>
              <w:rPr>
                <w:rFonts w:hint="eastAsia" w:ascii="宋体" w:hAnsi="宋体" w:eastAsia="宋体" w:cs="宋体"/>
                <w:color w:val="auto"/>
                <w:sz w:val="21"/>
                <w:szCs w:val="21"/>
                <w:highlight w:val="none"/>
              </w:rPr>
            </w:pPr>
          </w:p>
        </w:tc>
        <w:tc>
          <w:tcPr>
            <w:tcW w:w="1974" w:type="dxa"/>
            <w:gridSpan w:val="3"/>
            <w:tcBorders>
              <w:left w:val="single" w:color="000000" w:sz="4" w:space="0"/>
              <w:right w:val="single" w:color="000000" w:sz="4" w:space="0"/>
            </w:tcBorders>
            <w:vAlign w:val="top"/>
          </w:tcPr>
          <w:p>
            <w:pPr>
              <w:spacing w:before="99" w:line="229" w:lineRule="auto"/>
              <w:ind w:left="381"/>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中级职称人</w:t>
            </w:r>
            <w:r>
              <w:rPr>
                <w:rFonts w:hint="eastAsia" w:ascii="宋体" w:hAnsi="宋体" w:eastAsia="宋体" w:cs="宋体"/>
                <w:color w:val="auto"/>
                <w:spacing w:val="4"/>
                <w:sz w:val="21"/>
                <w:szCs w:val="21"/>
                <w:highlight w:val="none"/>
              </w:rPr>
              <w:t>员</w:t>
            </w:r>
          </w:p>
        </w:tc>
        <w:tc>
          <w:tcPr>
            <w:tcW w:w="2348" w:type="dxa"/>
            <w:gridSpan w:val="2"/>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838" w:type="dxa"/>
            <w:tcBorders>
              <w:left w:val="single" w:color="000000" w:sz="10" w:space="0"/>
              <w:right w:val="single" w:color="000000" w:sz="4" w:space="0"/>
            </w:tcBorders>
            <w:vAlign w:val="top"/>
          </w:tcPr>
          <w:p>
            <w:pPr>
              <w:spacing w:before="99" w:line="228" w:lineRule="auto"/>
              <w:ind w:left="69"/>
              <w:rPr>
                <w:rFonts w:hint="eastAsia" w:ascii="宋体" w:hAnsi="宋体" w:eastAsia="宋体" w:cs="宋体"/>
                <w:color w:val="auto"/>
                <w:sz w:val="21"/>
                <w:szCs w:val="21"/>
                <w:highlight w:val="none"/>
              </w:rPr>
            </w:pPr>
            <w:r>
              <w:rPr>
                <w:rFonts w:hint="eastAsia" w:ascii="宋体" w:hAnsi="宋体" w:eastAsia="宋体" w:cs="宋体"/>
                <w:color w:val="auto"/>
                <w:spacing w:val="13"/>
                <w:sz w:val="21"/>
                <w:szCs w:val="21"/>
                <w:highlight w:val="none"/>
              </w:rPr>
              <w:t>基</w:t>
            </w:r>
            <w:r>
              <w:rPr>
                <w:rFonts w:hint="eastAsia" w:ascii="宋体" w:hAnsi="宋体" w:eastAsia="宋体" w:cs="宋体"/>
                <w:color w:val="auto"/>
                <w:spacing w:val="8"/>
                <w:sz w:val="21"/>
                <w:szCs w:val="21"/>
                <w:highlight w:val="none"/>
              </w:rPr>
              <w:t>本账户开户银行</w:t>
            </w:r>
          </w:p>
        </w:tc>
        <w:tc>
          <w:tcPr>
            <w:tcW w:w="2334" w:type="dxa"/>
            <w:gridSpan w:val="2"/>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718" w:type="dxa"/>
            <w:vMerge w:val="continue"/>
            <w:tcBorders>
              <w:top w:val="nil"/>
              <w:left w:val="single" w:color="000000" w:sz="4" w:space="0"/>
              <w:bottom w:val="nil"/>
              <w:right w:val="single" w:color="000000" w:sz="4" w:space="0"/>
            </w:tcBorders>
            <w:vAlign w:val="top"/>
          </w:tcPr>
          <w:p>
            <w:pPr>
              <w:rPr>
                <w:rFonts w:hint="eastAsia" w:ascii="宋体" w:hAnsi="宋体" w:eastAsia="宋体" w:cs="宋体"/>
                <w:color w:val="auto"/>
                <w:sz w:val="21"/>
                <w:szCs w:val="21"/>
                <w:highlight w:val="none"/>
              </w:rPr>
            </w:pPr>
          </w:p>
        </w:tc>
        <w:tc>
          <w:tcPr>
            <w:tcW w:w="1974" w:type="dxa"/>
            <w:gridSpan w:val="3"/>
            <w:tcBorders>
              <w:left w:val="single" w:color="000000" w:sz="4" w:space="0"/>
              <w:right w:val="single" w:color="000000" w:sz="4" w:space="0"/>
            </w:tcBorders>
            <w:vAlign w:val="top"/>
          </w:tcPr>
          <w:p>
            <w:pPr>
              <w:spacing w:before="100" w:line="230" w:lineRule="auto"/>
              <w:ind w:left="360"/>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初</w:t>
            </w:r>
            <w:r>
              <w:rPr>
                <w:rFonts w:hint="eastAsia" w:ascii="宋体" w:hAnsi="宋体" w:eastAsia="宋体" w:cs="宋体"/>
                <w:color w:val="auto"/>
                <w:spacing w:val="8"/>
                <w:sz w:val="21"/>
                <w:szCs w:val="21"/>
                <w:highlight w:val="none"/>
              </w:rPr>
              <w:t>级职称人员</w:t>
            </w:r>
          </w:p>
        </w:tc>
        <w:tc>
          <w:tcPr>
            <w:tcW w:w="2348" w:type="dxa"/>
            <w:gridSpan w:val="2"/>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838" w:type="dxa"/>
            <w:tcBorders>
              <w:left w:val="single" w:color="000000" w:sz="10" w:space="0"/>
              <w:right w:val="single" w:color="000000" w:sz="4" w:space="0"/>
            </w:tcBorders>
            <w:vAlign w:val="top"/>
          </w:tcPr>
          <w:p>
            <w:pPr>
              <w:spacing w:before="100" w:line="228" w:lineRule="auto"/>
              <w:ind w:left="69"/>
              <w:rPr>
                <w:rFonts w:hint="eastAsia" w:ascii="宋体" w:hAnsi="宋体" w:eastAsia="宋体" w:cs="宋体"/>
                <w:color w:val="auto"/>
                <w:sz w:val="21"/>
                <w:szCs w:val="21"/>
                <w:highlight w:val="none"/>
              </w:rPr>
            </w:pPr>
            <w:r>
              <w:rPr>
                <w:rFonts w:hint="eastAsia" w:ascii="宋体" w:hAnsi="宋体" w:eastAsia="宋体" w:cs="宋体"/>
                <w:color w:val="auto"/>
                <w:spacing w:val="13"/>
                <w:sz w:val="21"/>
                <w:szCs w:val="21"/>
                <w:highlight w:val="none"/>
              </w:rPr>
              <w:t>基</w:t>
            </w:r>
            <w:r>
              <w:rPr>
                <w:rFonts w:hint="eastAsia" w:ascii="宋体" w:hAnsi="宋体" w:eastAsia="宋体" w:cs="宋体"/>
                <w:color w:val="auto"/>
                <w:spacing w:val="8"/>
                <w:sz w:val="21"/>
                <w:szCs w:val="21"/>
                <w:highlight w:val="none"/>
              </w:rPr>
              <w:t>本账户银行账号</w:t>
            </w:r>
          </w:p>
        </w:tc>
        <w:tc>
          <w:tcPr>
            <w:tcW w:w="2334" w:type="dxa"/>
            <w:gridSpan w:val="2"/>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718" w:type="dxa"/>
            <w:vMerge w:val="continue"/>
            <w:tcBorders>
              <w:top w:val="nil"/>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974" w:type="dxa"/>
            <w:gridSpan w:val="3"/>
            <w:tcBorders>
              <w:left w:val="single" w:color="000000" w:sz="4" w:space="0"/>
              <w:right w:val="single" w:color="000000" w:sz="4" w:space="0"/>
            </w:tcBorders>
            <w:vAlign w:val="top"/>
          </w:tcPr>
          <w:p>
            <w:pPr>
              <w:spacing w:before="100" w:line="230" w:lineRule="auto"/>
              <w:ind w:left="782"/>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技工</w:t>
            </w:r>
          </w:p>
        </w:tc>
        <w:tc>
          <w:tcPr>
            <w:tcW w:w="2348" w:type="dxa"/>
            <w:gridSpan w:val="2"/>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6" w:hRule="atLeast"/>
        </w:trPr>
        <w:tc>
          <w:tcPr>
            <w:tcW w:w="1838" w:type="dxa"/>
            <w:tcBorders>
              <w:left w:val="single" w:color="000000" w:sz="10" w:space="0"/>
              <w:right w:val="single" w:color="000000" w:sz="4" w:space="0"/>
            </w:tcBorders>
            <w:vAlign w:val="top"/>
          </w:tcPr>
          <w:p>
            <w:pPr>
              <w:spacing w:before="290" w:line="229" w:lineRule="auto"/>
              <w:ind w:left="491"/>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经营范</w:t>
            </w:r>
            <w:r>
              <w:rPr>
                <w:rFonts w:hint="eastAsia" w:ascii="宋体" w:hAnsi="宋体" w:eastAsia="宋体" w:cs="宋体"/>
                <w:color w:val="auto"/>
                <w:spacing w:val="6"/>
                <w:sz w:val="21"/>
                <w:szCs w:val="21"/>
                <w:highlight w:val="none"/>
              </w:rPr>
              <w:t>围</w:t>
            </w:r>
          </w:p>
        </w:tc>
        <w:tc>
          <w:tcPr>
            <w:tcW w:w="7374" w:type="dxa"/>
            <w:gridSpan w:val="8"/>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1" w:hRule="atLeast"/>
        </w:trPr>
        <w:tc>
          <w:tcPr>
            <w:tcW w:w="1838" w:type="dxa"/>
            <w:tcBorders>
              <w:left w:val="single" w:color="000000" w:sz="10" w:space="0"/>
              <w:right w:val="single" w:color="000000" w:sz="4" w:space="0"/>
            </w:tcBorders>
            <w:vAlign w:val="top"/>
          </w:tcPr>
          <w:p>
            <w:pPr>
              <w:spacing w:line="290" w:lineRule="auto"/>
              <w:rPr>
                <w:rFonts w:hint="eastAsia" w:ascii="宋体" w:hAnsi="宋体" w:eastAsia="宋体" w:cs="宋体"/>
                <w:color w:val="auto"/>
                <w:sz w:val="21"/>
                <w:szCs w:val="21"/>
                <w:highlight w:val="none"/>
              </w:rPr>
            </w:pPr>
          </w:p>
          <w:p>
            <w:pPr>
              <w:spacing w:line="290" w:lineRule="auto"/>
              <w:rPr>
                <w:rFonts w:hint="eastAsia" w:ascii="宋体" w:hAnsi="宋体" w:eastAsia="宋体" w:cs="宋体"/>
                <w:color w:val="auto"/>
                <w:sz w:val="21"/>
                <w:szCs w:val="21"/>
                <w:highlight w:val="none"/>
              </w:rPr>
            </w:pPr>
          </w:p>
          <w:p>
            <w:pPr>
              <w:spacing w:before="65" w:line="385" w:lineRule="auto"/>
              <w:ind w:left="805" w:right="81" w:hanging="733"/>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投</w:t>
            </w:r>
            <w:r>
              <w:rPr>
                <w:rFonts w:hint="eastAsia" w:ascii="宋体" w:hAnsi="宋体" w:eastAsia="宋体" w:cs="宋体"/>
                <w:color w:val="auto"/>
                <w:spacing w:val="8"/>
                <w:sz w:val="21"/>
                <w:szCs w:val="21"/>
                <w:highlight w:val="none"/>
              </w:rPr>
              <w:t>标人关联企业情</w:t>
            </w:r>
            <w:r>
              <w:rPr>
                <w:rFonts w:hint="eastAsia" w:ascii="宋体" w:hAnsi="宋体" w:eastAsia="宋体" w:cs="宋体"/>
                <w:color w:val="auto"/>
                <w:sz w:val="21"/>
                <w:szCs w:val="21"/>
                <w:highlight w:val="none"/>
              </w:rPr>
              <w:t xml:space="preserve"> 况</w:t>
            </w:r>
          </w:p>
        </w:tc>
        <w:tc>
          <w:tcPr>
            <w:tcW w:w="7374" w:type="dxa"/>
            <w:gridSpan w:val="8"/>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360" w:lineRule="exact"/>
              <w:ind w:left="2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投</w:t>
            </w:r>
            <w:r>
              <w:rPr>
                <w:rFonts w:hint="eastAsia" w:ascii="宋体" w:hAnsi="宋体" w:eastAsia="宋体" w:cs="宋体"/>
                <w:color w:val="auto"/>
                <w:spacing w:val="10"/>
                <w:sz w:val="21"/>
                <w:szCs w:val="21"/>
                <w:highlight w:val="none"/>
              </w:rPr>
              <w:t>标</w:t>
            </w:r>
            <w:r>
              <w:rPr>
                <w:rFonts w:hint="eastAsia" w:ascii="宋体" w:hAnsi="宋体" w:eastAsia="宋体" w:cs="宋体"/>
                <w:color w:val="auto"/>
                <w:spacing w:val="8"/>
                <w:sz w:val="21"/>
                <w:szCs w:val="21"/>
                <w:highlight w:val="none"/>
              </w:rPr>
              <w:t>人应提供关联企业情况，包括：</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23" w:firstLine="7"/>
              <w:textAlignment w:val="baseline"/>
              <w:rPr>
                <w:rFonts w:hint="eastAsia" w:ascii="宋体" w:hAnsi="宋体" w:eastAsia="宋体" w:cs="宋体"/>
                <w:color w:val="auto"/>
                <w:spacing w:val="6"/>
                <w:sz w:val="21"/>
                <w:szCs w:val="21"/>
                <w:highlight w:val="none"/>
              </w:rPr>
            </w:pPr>
            <w:r>
              <w:rPr>
                <w:rFonts w:hint="eastAsia" w:ascii="宋体" w:hAnsi="宋体" w:eastAsia="宋体" w:cs="宋体"/>
                <w:color w:val="auto"/>
                <w:spacing w:val="16"/>
                <w:sz w:val="21"/>
                <w:szCs w:val="21"/>
                <w:highlight w:val="none"/>
              </w:rPr>
              <w:t>(</w:t>
            </w:r>
            <w:r>
              <w:rPr>
                <w:rFonts w:hint="eastAsia" w:ascii="宋体" w:hAnsi="宋体" w:eastAsia="宋体" w:cs="宋体"/>
                <w:color w:val="auto"/>
                <w:spacing w:val="12"/>
                <w:sz w:val="21"/>
                <w:szCs w:val="21"/>
                <w:highlight w:val="none"/>
              </w:rPr>
              <w:t>1</w:t>
            </w:r>
            <w:r>
              <w:rPr>
                <w:rFonts w:hint="eastAsia" w:ascii="宋体" w:hAnsi="宋体" w:eastAsia="宋体" w:cs="宋体"/>
                <w:color w:val="auto"/>
                <w:spacing w:val="8"/>
                <w:sz w:val="21"/>
                <w:szCs w:val="21"/>
                <w:highlight w:val="none"/>
              </w:rPr>
              <w:t>) 投标人的所有股东名称及相应股权(出资额) 比例；如投标人为上市公司，</w:t>
            </w:r>
            <w:r>
              <w:rPr>
                <w:rFonts w:hint="eastAsia" w:ascii="宋体" w:hAnsi="宋体" w:eastAsia="宋体" w:cs="宋体"/>
                <w:color w:val="auto"/>
                <w:spacing w:val="12"/>
                <w:sz w:val="21"/>
                <w:szCs w:val="21"/>
                <w:highlight w:val="none"/>
              </w:rPr>
              <w:t>投标</w:t>
            </w:r>
            <w:r>
              <w:rPr>
                <w:rFonts w:hint="eastAsia" w:ascii="宋体" w:hAnsi="宋体" w:eastAsia="宋体" w:cs="宋体"/>
                <w:color w:val="auto"/>
                <w:spacing w:val="6"/>
                <w:sz w:val="21"/>
                <w:szCs w:val="21"/>
                <w:highlight w:val="none"/>
              </w:rPr>
              <w:t>人应提供股权占公司股份总数10%以上的所有股东名称及相应股权比例；</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23" w:firstLine="7"/>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14"/>
                <w:sz w:val="21"/>
                <w:szCs w:val="21"/>
                <w:highlight w:val="none"/>
              </w:rPr>
              <w:t>(2)</w:t>
            </w:r>
            <w:r>
              <w:rPr>
                <w:rFonts w:hint="eastAsia" w:ascii="宋体" w:hAnsi="宋体" w:eastAsia="宋体" w:cs="宋体"/>
                <w:color w:val="auto"/>
                <w:spacing w:val="12"/>
                <w:sz w:val="21"/>
                <w:szCs w:val="21"/>
                <w:highlight w:val="none"/>
              </w:rPr>
              <w:t xml:space="preserve"> </w:t>
            </w:r>
            <w:r>
              <w:rPr>
                <w:rFonts w:hint="eastAsia" w:ascii="宋体" w:hAnsi="宋体" w:eastAsia="宋体" w:cs="宋体"/>
                <w:color w:val="auto"/>
                <w:spacing w:val="7"/>
                <w:sz w:val="21"/>
                <w:szCs w:val="21"/>
                <w:highlight w:val="none"/>
              </w:rPr>
              <w:t>投标人投资 (控股) 或管理的下属企业名称、持有股权(出资额)比例；</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23" w:firstLine="7"/>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0"/>
                <w:sz w:val="21"/>
                <w:szCs w:val="21"/>
                <w:highlight w:val="none"/>
              </w:rPr>
              <w:t>(</w:t>
            </w:r>
            <w:r>
              <w:rPr>
                <w:rFonts w:hint="eastAsia" w:ascii="宋体" w:hAnsi="宋体" w:eastAsia="宋体" w:cs="宋体"/>
                <w:color w:val="auto"/>
                <w:spacing w:val="16"/>
                <w:sz w:val="21"/>
                <w:szCs w:val="21"/>
                <w:highlight w:val="none"/>
              </w:rPr>
              <w:t>3</w:t>
            </w:r>
            <w:r>
              <w:rPr>
                <w:rFonts w:hint="eastAsia" w:ascii="宋体" w:hAnsi="宋体" w:eastAsia="宋体" w:cs="宋体"/>
                <w:color w:val="auto"/>
                <w:spacing w:val="10"/>
                <w:sz w:val="21"/>
                <w:szCs w:val="21"/>
                <w:highlight w:val="none"/>
              </w:rPr>
              <w:t>) 与投标人单位负责人(即法定代表人) 为同一人的其他单位名称。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1838" w:type="dxa"/>
            <w:tcBorders>
              <w:left w:val="single" w:color="000000" w:sz="10" w:space="0"/>
              <w:right w:val="single" w:color="000000" w:sz="4" w:space="0"/>
            </w:tcBorders>
            <w:vAlign w:val="top"/>
          </w:tcPr>
          <w:p>
            <w:pPr>
              <w:spacing w:before="238" w:line="230" w:lineRule="auto"/>
              <w:ind w:left="703"/>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备注</w:t>
            </w:r>
          </w:p>
        </w:tc>
        <w:tc>
          <w:tcPr>
            <w:tcW w:w="7374" w:type="dxa"/>
            <w:gridSpan w:val="8"/>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bl>
    <w:p>
      <w:pPr>
        <w:spacing w:before="29" w:line="228" w:lineRule="auto"/>
        <w:ind w:left="468"/>
        <w:rPr>
          <w:rFonts w:hint="eastAsia" w:ascii="宋体" w:hAnsi="宋体" w:eastAsia="宋体" w:cs="宋体"/>
          <w:color w:val="auto"/>
          <w:spacing w:val="7"/>
          <w:sz w:val="21"/>
          <w:szCs w:val="21"/>
          <w:highlight w:val="none"/>
        </w:rPr>
      </w:pPr>
      <w:r>
        <w:rPr>
          <w:rFonts w:hint="eastAsia" w:ascii="宋体" w:hAnsi="宋体" w:eastAsia="宋体" w:cs="宋体"/>
          <w:color w:val="auto"/>
          <w:spacing w:val="11"/>
          <w:sz w:val="21"/>
          <w:szCs w:val="21"/>
          <w:highlight w:val="none"/>
        </w:rPr>
        <w:t>注</w:t>
      </w:r>
      <w:r>
        <w:rPr>
          <w:rFonts w:hint="eastAsia" w:ascii="宋体" w:hAnsi="宋体" w:eastAsia="宋体" w:cs="宋体"/>
          <w:color w:val="auto"/>
          <w:spacing w:val="7"/>
          <w:sz w:val="21"/>
          <w:szCs w:val="21"/>
          <w:highlight w:val="none"/>
        </w:rPr>
        <w:t>：1.投标人应根据招标文件第二章“投标人须知”第 3.5.1 项的要求在本表后附相关证明材料。</w:t>
      </w:r>
    </w:p>
    <w:p>
      <w:pPr>
        <w:spacing w:before="29" w:line="228" w:lineRule="auto"/>
        <w:ind w:left="468"/>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2.以联合体形式参与投标的，联合体各成员应分别填写</w:t>
      </w:r>
      <w:r>
        <w:rPr>
          <w:rFonts w:hint="eastAsia" w:ascii="宋体" w:hAnsi="宋体" w:eastAsia="宋体" w:cs="宋体"/>
          <w:color w:val="auto"/>
          <w:spacing w:val="5"/>
          <w:sz w:val="21"/>
          <w:szCs w:val="21"/>
          <w:highlight w:val="none"/>
        </w:rPr>
        <w:t>。</w:t>
      </w:r>
    </w:p>
    <w:p>
      <w:pPr>
        <w:rPr>
          <w:color w:val="auto"/>
          <w:highlight w:val="none"/>
        </w:rPr>
        <w:sectPr>
          <w:footerReference r:id="rId54" w:type="default"/>
          <w:pgSz w:w="11900" w:h="16840"/>
          <w:pgMar w:top="1160" w:right="1342" w:bottom="1448" w:left="1319" w:header="883" w:footer="1234" w:gutter="0"/>
          <w:pgNumType w:fmt="decimal"/>
          <w:cols w:space="720" w:num="1"/>
        </w:sectPr>
      </w:pPr>
    </w:p>
    <w:p>
      <w:pPr>
        <w:spacing w:before="117" w:line="222" w:lineRule="auto"/>
        <w:jc w:val="center"/>
        <w:outlineLvl w:val="2"/>
        <w:rPr>
          <w:rFonts w:hint="eastAsia" w:ascii="宋体" w:hAnsi="宋体" w:eastAsia="宋体" w:cs="宋体"/>
          <w:b/>
          <w:bCs/>
          <w:color w:val="auto"/>
          <w:spacing w:val="-3"/>
          <w:sz w:val="28"/>
          <w:szCs w:val="28"/>
          <w:highlight w:val="none"/>
        </w:rPr>
      </w:pPr>
      <w:bookmarkStart w:id="753" w:name="_Toc26219"/>
      <w:r>
        <w:rPr>
          <w:rFonts w:hint="eastAsia" w:ascii="宋体" w:hAnsi="宋体" w:eastAsia="宋体" w:cs="宋体"/>
          <w:b/>
          <w:bCs/>
          <w:color w:val="auto"/>
          <w:spacing w:val="-3"/>
          <w:sz w:val="28"/>
          <w:szCs w:val="28"/>
          <w:highlight w:val="none"/>
        </w:rPr>
        <w:t>(二) 投标人企业组织机构框图</w:t>
      </w:r>
      <w:bookmarkEnd w:id="753"/>
    </w:p>
    <w:p>
      <w:pPr>
        <w:rPr>
          <w:color w:val="auto"/>
          <w:highlight w:val="none"/>
        </w:rPr>
      </w:pPr>
    </w:p>
    <w:p>
      <w:pPr>
        <w:rPr>
          <w:color w:val="auto"/>
          <w:highlight w:val="none"/>
        </w:rPr>
      </w:pPr>
    </w:p>
    <w:p>
      <w:pPr>
        <w:spacing w:line="103" w:lineRule="exact"/>
        <w:rPr>
          <w:color w:val="auto"/>
          <w:highlight w:val="none"/>
        </w:rPr>
      </w:pPr>
    </w:p>
    <w:tbl>
      <w:tblPr>
        <w:tblStyle w:val="26"/>
        <w:tblW w:w="9183"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9183"/>
      </w:tblGrid>
      <w:tr>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9826" w:hRule="atLeast"/>
        </w:trPr>
        <w:tc>
          <w:tcPr>
            <w:tcW w:w="9183" w:type="dxa"/>
            <w:tcBorders>
              <w:top w:val="single" w:color="000000" w:sz="2" w:space="0"/>
              <w:bottom w:val="single" w:color="000000" w:sz="2" w:space="0"/>
            </w:tcBorders>
            <w:vAlign w:val="top"/>
          </w:tcPr>
          <w:p>
            <w:pPr>
              <w:spacing w:line="348" w:lineRule="auto"/>
              <w:rPr>
                <w:rFonts w:ascii="Arial"/>
                <w:color w:val="auto"/>
                <w:sz w:val="21"/>
                <w:highlight w:val="none"/>
              </w:rPr>
            </w:pPr>
          </w:p>
          <w:p>
            <w:pPr>
              <w:spacing w:before="65" w:line="228" w:lineRule="auto"/>
              <w:ind w:left="232"/>
              <w:rPr>
                <w:rFonts w:ascii="宋体" w:hAnsi="宋体" w:eastAsia="宋体" w:cs="宋体"/>
                <w:color w:val="auto"/>
                <w:sz w:val="20"/>
                <w:szCs w:val="20"/>
                <w:highlight w:val="none"/>
              </w:rPr>
            </w:pPr>
            <w:r>
              <w:rPr>
                <w:rFonts w:ascii="宋体" w:hAnsi="宋体" w:eastAsia="宋体" w:cs="宋体"/>
                <w:color w:val="auto"/>
                <w:spacing w:val="7"/>
                <w:sz w:val="21"/>
                <w:szCs w:val="21"/>
                <w:highlight w:val="none"/>
              </w:rPr>
              <w:t>以</w:t>
            </w:r>
            <w:r>
              <w:rPr>
                <w:rFonts w:ascii="宋体" w:hAnsi="宋体" w:eastAsia="宋体" w:cs="宋体"/>
                <w:color w:val="auto"/>
                <w:spacing w:val="5"/>
                <w:sz w:val="21"/>
                <w:szCs w:val="21"/>
                <w:highlight w:val="none"/>
              </w:rPr>
              <w:t>框图方式表示</w:t>
            </w:r>
          </w:p>
        </w:tc>
      </w:tr>
      <w:tr>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2041" w:hRule="atLeast"/>
        </w:trPr>
        <w:tc>
          <w:tcPr>
            <w:tcW w:w="9183" w:type="dxa"/>
            <w:tcBorders>
              <w:top w:val="single" w:color="000000" w:sz="2" w:space="0"/>
              <w:bottom w:val="single" w:color="000000" w:sz="2" w:space="0"/>
            </w:tcBorders>
            <w:vAlign w:val="top"/>
          </w:tcPr>
          <w:p>
            <w:pPr>
              <w:spacing w:line="331" w:lineRule="auto"/>
              <w:rPr>
                <w:rFonts w:ascii="Arial"/>
                <w:color w:val="auto"/>
                <w:sz w:val="21"/>
                <w:highlight w:val="none"/>
              </w:rPr>
            </w:pPr>
          </w:p>
          <w:p>
            <w:pPr>
              <w:spacing w:before="65" w:line="228" w:lineRule="auto"/>
              <w:ind w:left="316"/>
              <w:rPr>
                <w:rFonts w:ascii="宋体" w:hAnsi="宋体" w:eastAsia="宋体" w:cs="宋体"/>
                <w:color w:val="auto"/>
                <w:sz w:val="20"/>
                <w:szCs w:val="20"/>
                <w:highlight w:val="none"/>
              </w:rPr>
            </w:pPr>
            <w:r>
              <w:rPr>
                <w:rFonts w:ascii="宋体" w:hAnsi="宋体" w:eastAsia="宋体" w:cs="宋体"/>
                <w:color w:val="auto"/>
                <w:spacing w:val="3"/>
                <w:sz w:val="21"/>
                <w:szCs w:val="21"/>
                <w:highlight w:val="none"/>
              </w:rPr>
              <w:t>说明</w:t>
            </w:r>
          </w:p>
        </w:tc>
      </w:tr>
    </w:tbl>
    <w:p>
      <w:pPr>
        <w:rPr>
          <w:rFonts w:ascii="Arial"/>
          <w:color w:val="auto"/>
          <w:sz w:val="21"/>
          <w:highlight w:val="none"/>
        </w:rPr>
      </w:pPr>
    </w:p>
    <w:p>
      <w:pPr>
        <w:rPr>
          <w:color w:val="auto"/>
          <w:highlight w:val="none"/>
        </w:rPr>
        <w:sectPr>
          <w:footerReference r:id="rId55" w:type="default"/>
          <w:pgSz w:w="11900" w:h="16840"/>
          <w:pgMar w:top="1160" w:right="1342" w:bottom="1448" w:left="1348" w:header="883" w:footer="1234" w:gutter="0"/>
          <w:pgNumType w:fmt="decimal"/>
          <w:cols w:space="720" w:num="1"/>
        </w:sectPr>
      </w:pPr>
    </w:p>
    <w:p>
      <w:pPr>
        <w:spacing w:before="117" w:line="222" w:lineRule="auto"/>
        <w:jc w:val="center"/>
        <w:outlineLvl w:val="2"/>
        <w:rPr>
          <w:rFonts w:hint="eastAsia" w:ascii="宋体" w:hAnsi="宋体" w:eastAsia="宋体" w:cs="宋体"/>
          <w:color w:val="auto"/>
          <w:spacing w:val="8"/>
          <w:sz w:val="22"/>
          <w:szCs w:val="22"/>
          <w:highlight w:val="none"/>
        </w:rPr>
        <w:sectPr>
          <w:footerReference r:id="rId56" w:type="default"/>
          <w:pgSz w:w="11900" w:h="16840"/>
          <w:pgMar w:top="1160" w:right="1342" w:bottom="1448" w:left="1348" w:header="883" w:footer="1234" w:gutter="0"/>
          <w:pgNumType w:fmt="decimal"/>
          <w:cols w:space="720" w:num="1"/>
        </w:sectPr>
      </w:pPr>
      <w:bookmarkStart w:id="754" w:name="_Toc27690"/>
      <w:r>
        <w:rPr>
          <w:rFonts w:hint="eastAsia" w:ascii="宋体" w:hAnsi="宋体" w:eastAsia="宋体" w:cs="宋体"/>
          <w:b/>
          <w:bCs/>
          <w:color w:val="auto"/>
          <w:spacing w:val="-3"/>
          <w:sz w:val="28"/>
          <w:szCs w:val="28"/>
          <w:highlight w:val="none"/>
        </w:rPr>
        <w:t>(三) 近年财务状况表</w:t>
      </w:r>
      <w:bookmarkEnd w:id="754"/>
    </w:p>
    <w:p>
      <w:pPr>
        <w:spacing w:before="279" w:line="235" w:lineRule="auto"/>
        <w:rPr>
          <w:rFonts w:ascii="黑体" w:hAnsi="黑体" w:eastAsia="黑体" w:cs="黑体"/>
          <w:color w:val="auto"/>
          <w:sz w:val="28"/>
          <w:szCs w:val="28"/>
          <w:highlight w:val="none"/>
        </w:rPr>
      </w:pPr>
    </w:p>
    <w:p>
      <w:pPr>
        <w:spacing w:before="279" w:line="235" w:lineRule="auto"/>
        <w:ind w:left="3679"/>
        <w:outlineLvl w:val="1"/>
        <w:rPr>
          <w:rFonts w:ascii="宋体" w:hAnsi="宋体" w:eastAsia="宋体" w:cs="宋体"/>
          <w:color w:val="auto"/>
          <w:sz w:val="13"/>
          <w:szCs w:val="13"/>
          <w:highlight w:val="none"/>
        </w:rPr>
      </w:pPr>
      <w:bookmarkStart w:id="755" w:name="_Toc19911"/>
      <w:bookmarkStart w:id="756" w:name="_Toc23897"/>
      <w:r>
        <w:rPr>
          <w:rFonts w:ascii="黑体" w:hAnsi="黑体" w:eastAsia="黑体" w:cs="黑体"/>
          <w:color w:val="auto"/>
          <w:sz w:val="28"/>
          <w:szCs w:val="28"/>
          <w:highlight w:val="none"/>
        </w:rPr>
        <w:t>银行信贷证明</w:t>
      </w:r>
      <w:bookmarkEnd w:id="755"/>
      <w:bookmarkEnd w:id="756"/>
    </w:p>
    <w:p>
      <w:pPr>
        <w:spacing w:line="305" w:lineRule="auto"/>
        <w:rPr>
          <w:rFonts w:ascii="Arial"/>
          <w:color w:val="auto"/>
          <w:sz w:val="21"/>
          <w:highlight w:val="none"/>
        </w:rPr>
      </w:pP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highlight w:val="none"/>
        </w:rPr>
      </w:pPr>
    </w:p>
    <w:p>
      <w:pPr>
        <w:keepNext w:val="0"/>
        <w:keepLines w:val="0"/>
        <w:pageBreakBefore w:val="0"/>
        <w:kinsoku w:val="0"/>
        <w:wordWrap/>
        <w:overflowPunct/>
        <w:topLinePunct w:val="0"/>
        <w:autoSpaceDE w:val="0"/>
        <w:autoSpaceDN w:val="0"/>
        <w:bidi w:val="0"/>
        <w:adjustRightInd w:val="0"/>
        <w:snapToGrid w:val="0"/>
        <w:spacing w:before="65" w:line="400" w:lineRule="exact"/>
        <w:ind w:left="10"/>
        <w:textAlignment w:val="baseline"/>
        <w:rPr>
          <w:rFonts w:hint="eastAsia" w:ascii="宋体" w:hAnsi="宋体" w:eastAsia="宋体" w:cs="宋体"/>
          <w:color w:val="auto"/>
          <w:spacing w:val="0"/>
          <w:sz w:val="21"/>
          <w:szCs w:val="21"/>
          <w:highlight w:val="none"/>
          <w:u w:val="single" w:color="auto"/>
        </w:rPr>
      </w:pPr>
      <w:r>
        <w:rPr>
          <w:rFonts w:hint="eastAsia" w:ascii="宋体" w:hAnsi="宋体" w:eastAsia="宋体" w:cs="宋体"/>
          <w:color w:val="auto"/>
          <w:spacing w:val="0"/>
          <w:sz w:val="21"/>
          <w:szCs w:val="21"/>
          <w:highlight w:val="none"/>
        </w:rPr>
        <w:t>银行名称：</w:t>
      </w:r>
      <w:r>
        <w:rPr>
          <w:rFonts w:hint="eastAsia" w:ascii="宋体" w:hAnsi="宋体" w:eastAsia="宋体" w:cs="宋体"/>
          <w:color w:val="auto"/>
          <w:spacing w:val="0"/>
          <w:sz w:val="21"/>
          <w:szCs w:val="21"/>
          <w:highlight w:val="none"/>
          <w:u w:val="single" w:color="auto"/>
        </w:rPr>
        <w:t xml:space="preserve">                              </w:t>
      </w:r>
    </w:p>
    <w:p>
      <w:pPr>
        <w:keepNext w:val="0"/>
        <w:keepLines w:val="0"/>
        <w:pageBreakBefore w:val="0"/>
        <w:kinsoku w:val="0"/>
        <w:wordWrap/>
        <w:overflowPunct/>
        <w:topLinePunct w:val="0"/>
        <w:autoSpaceDE w:val="0"/>
        <w:autoSpaceDN w:val="0"/>
        <w:bidi w:val="0"/>
        <w:adjustRightInd w:val="0"/>
        <w:snapToGrid w:val="0"/>
        <w:spacing w:before="65" w:line="400" w:lineRule="exact"/>
        <w:ind w:left="10"/>
        <w:textAlignment w:val="baseline"/>
        <w:rPr>
          <w:rFonts w:hint="eastAsia" w:ascii="宋体" w:hAnsi="宋体" w:eastAsia="宋体" w:cs="宋体"/>
          <w:color w:val="auto"/>
          <w:spacing w:val="0"/>
          <w:sz w:val="21"/>
          <w:szCs w:val="21"/>
          <w:highlight w:val="none"/>
          <w:u w:val="single" w:color="auto"/>
        </w:rPr>
      </w:pPr>
      <w:r>
        <w:rPr>
          <w:rFonts w:hint="eastAsia" w:ascii="宋体" w:hAnsi="宋体" w:eastAsia="宋体" w:cs="宋体"/>
          <w:color w:val="auto"/>
          <w:spacing w:val="0"/>
          <w:sz w:val="21"/>
          <w:szCs w:val="21"/>
          <w:highlight w:val="none"/>
        </w:rPr>
        <w:t>地    址 ：</w:t>
      </w:r>
      <w:r>
        <w:rPr>
          <w:rFonts w:hint="eastAsia" w:ascii="宋体" w:hAnsi="宋体" w:eastAsia="宋体" w:cs="宋体"/>
          <w:color w:val="auto"/>
          <w:spacing w:val="0"/>
          <w:sz w:val="21"/>
          <w:szCs w:val="21"/>
          <w:highlight w:val="none"/>
          <w:u w:val="single" w:color="auto"/>
        </w:rPr>
        <w:t xml:space="preserve">                              </w:t>
      </w:r>
    </w:p>
    <w:p>
      <w:pPr>
        <w:keepNext w:val="0"/>
        <w:keepLines w:val="0"/>
        <w:pageBreakBefore w:val="0"/>
        <w:kinsoku w:val="0"/>
        <w:wordWrap/>
        <w:overflowPunct/>
        <w:topLinePunct w:val="0"/>
        <w:autoSpaceDE w:val="0"/>
        <w:autoSpaceDN w:val="0"/>
        <w:bidi w:val="0"/>
        <w:adjustRightInd w:val="0"/>
        <w:snapToGrid w:val="0"/>
        <w:spacing w:before="65" w:line="400" w:lineRule="exact"/>
        <w:ind w:left="10" w:firstLine="6930" w:firstLineChars="3300"/>
        <w:textAlignment w:val="baseline"/>
        <w:rPr>
          <w:rFonts w:hint="eastAsia" w:ascii="宋体" w:hAnsi="宋体" w:eastAsia="宋体" w:cs="宋体"/>
          <w:color w:val="auto"/>
          <w:spacing w:val="0"/>
          <w:sz w:val="21"/>
          <w:szCs w:val="21"/>
          <w:highlight w:val="none"/>
          <w:u w:val="single" w:color="auto"/>
        </w:rPr>
      </w:pPr>
      <w:r>
        <w:rPr>
          <w:rFonts w:hint="eastAsia" w:ascii="宋体" w:hAnsi="宋体" w:eastAsia="宋体" w:cs="宋体"/>
          <w:color w:val="auto"/>
          <w:spacing w:val="0"/>
          <w:sz w:val="21"/>
          <w:szCs w:val="21"/>
          <w:highlight w:val="none"/>
        </w:rPr>
        <w:t>日期：</w:t>
      </w:r>
      <w:r>
        <w:rPr>
          <w:rFonts w:hint="eastAsia" w:ascii="宋体" w:hAnsi="宋体" w:eastAsia="宋体" w:cs="宋体"/>
          <w:color w:val="auto"/>
          <w:spacing w:val="0"/>
          <w:sz w:val="21"/>
          <w:szCs w:val="21"/>
          <w:highlight w:val="none"/>
          <w:u w:val="single" w:color="auto"/>
        </w:rPr>
        <w:t xml:space="preserve">                 </w:t>
      </w:r>
    </w:p>
    <w:p>
      <w:pPr>
        <w:keepNext w:val="0"/>
        <w:keepLines w:val="0"/>
        <w:pageBreakBefore w:val="0"/>
        <w:kinsoku w:val="0"/>
        <w:wordWrap/>
        <w:overflowPunct/>
        <w:topLinePunct w:val="0"/>
        <w:autoSpaceDE w:val="0"/>
        <w:autoSpaceDN w:val="0"/>
        <w:bidi w:val="0"/>
        <w:adjustRightInd w:val="0"/>
        <w:snapToGrid w:val="0"/>
        <w:spacing w:before="65" w:line="400" w:lineRule="exact"/>
        <w:ind w:left="1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致：</w:t>
      </w:r>
      <w:r>
        <w:rPr>
          <w:rFonts w:hint="eastAsia" w:ascii="宋体" w:hAnsi="宋体" w:eastAsia="宋体" w:cs="宋体"/>
          <w:color w:val="auto"/>
          <w:spacing w:val="0"/>
          <w:sz w:val="21"/>
          <w:szCs w:val="21"/>
          <w:highlight w:val="none"/>
          <w:u w:val="single" w:color="auto"/>
        </w:rPr>
        <w:t xml:space="preserve">   (招标人全称)   </w:t>
      </w: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keepNext w:val="0"/>
        <w:keepLines w:val="0"/>
        <w:pageBreakBefore w:val="0"/>
        <w:kinsoku w:val="0"/>
        <w:wordWrap/>
        <w:overflowPunct/>
        <w:topLinePunct w:val="0"/>
        <w:autoSpaceDE w:val="0"/>
        <w:autoSpaceDN w:val="0"/>
        <w:bidi w:val="0"/>
        <w:adjustRightInd w:val="0"/>
        <w:snapToGrid w:val="0"/>
        <w:spacing w:before="65" w:line="400" w:lineRule="exact"/>
        <w:ind w:firstLine="432"/>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兹开具最高限额为人民币</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万元的银行信贷，供</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 xml:space="preserve"> (投标人注册地点)</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(投标人名称)于</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年</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月</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日之前，在</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(项 目名称)需要时使用。我行保证由 ____________  (投标人名称) 提供的财务报表中所开列的作为流动资产的各项中无一项包含在上 述提到的银行信贷中。</w:t>
      </w:r>
    </w:p>
    <w:p>
      <w:pPr>
        <w:keepNext w:val="0"/>
        <w:keepLines w:val="0"/>
        <w:pageBreakBefore w:val="0"/>
        <w:kinsoku w:val="0"/>
        <w:wordWrap/>
        <w:overflowPunct/>
        <w:topLinePunct w:val="0"/>
        <w:autoSpaceDE w:val="0"/>
        <w:autoSpaceDN w:val="0"/>
        <w:bidi w:val="0"/>
        <w:adjustRightInd w:val="0"/>
        <w:snapToGrid w:val="0"/>
        <w:spacing w:before="65" w:line="400" w:lineRule="exact"/>
        <w:ind w:firstLine="432"/>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此项目若未中标， 该信贷证明自动失效，无需退回我行。</w:t>
      </w: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3073"/>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 xml:space="preserve">银       </w:t>
      </w:r>
      <w:r>
        <w:rPr>
          <w:rFonts w:hint="eastAsia" w:ascii="宋体" w:hAnsi="宋体" w:eastAsia="宋体" w:cs="宋体"/>
          <w:color w:val="auto"/>
          <w:spacing w:val="0"/>
          <w:sz w:val="21"/>
          <w:szCs w:val="21"/>
          <w:highlight w:val="none"/>
          <w:lang w:val="en-US" w:eastAsia="zh-CN"/>
        </w:rPr>
        <w:t xml:space="preserve">       </w:t>
      </w:r>
      <w:r>
        <w:rPr>
          <w:rFonts w:hint="eastAsia" w:ascii="宋体" w:hAnsi="宋体" w:eastAsia="宋体" w:cs="宋体"/>
          <w:color w:val="auto"/>
          <w:spacing w:val="0"/>
          <w:sz w:val="21"/>
          <w:szCs w:val="21"/>
          <w:highlight w:val="none"/>
        </w:rPr>
        <w:t xml:space="preserve">   行 (盖章) ：</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u w:val="single" w:color="auto"/>
          <w:lang w:val="en-US" w:eastAsia="zh-CN"/>
        </w:rPr>
        <w:t xml:space="preserve">  </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银 行 主 要 负 责</w:t>
      </w:r>
      <w:r>
        <w:rPr>
          <w:rFonts w:hint="eastAsia" w:ascii="宋体" w:hAnsi="宋体" w:eastAsia="宋体" w:cs="宋体"/>
          <w:color w:val="auto"/>
          <w:spacing w:val="0"/>
          <w:sz w:val="21"/>
          <w:szCs w:val="21"/>
          <w:highlight w:val="none"/>
          <w:lang w:val="en-US" w:eastAsia="zh-CN"/>
        </w:rPr>
        <w:t xml:space="preserve">  </w:t>
      </w:r>
      <w:r>
        <w:rPr>
          <w:rFonts w:hint="eastAsia" w:ascii="宋体" w:hAnsi="宋体" w:eastAsia="宋体" w:cs="宋体"/>
          <w:color w:val="auto"/>
          <w:spacing w:val="0"/>
          <w:sz w:val="21"/>
          <w:szCs w:val="21"/>
          <w:highlight w:val="none"/>
        </w:rPr>
        <w:t>人 (签字) ：</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u w:val="single" w:color="auto"/>
          <w:lang w:val="en-US" w:eastAsia="zh-CN"/>
        </w:rPr>
        <w:t xml:space="preserve">  </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银行主要负责人的姓名、职务：</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u w:val="single" w:color="auto"/>
          <w:lang w:val="en-US" w:eastAsia="zh-CN"/>
        </w:rPr>
        <w:t xml:space="preserve">            </w:t>
      </w:r>
      <w:r>
        <w:rPr>
          <w:rFonts w:hint="eastAsia" w:ascii="宋体" w:hAnsi="宋体" w:eastAsia="宋体" w:cs="宋体"/>
          <w:color w:val="auto"/>
          <w:spacing w:val="0"/>
          <w:sz w:val="21"/>
          <w:szCs w:val="21"/>
          <w:highlight w:val="none"/>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before="161" w:line="400" w:lineRule="exact"/>
        <w:ind w:firstLine="3150" w:firstLineChars="1500"/>
        <w:textAlignment w:val="baseline"/>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银      行      电      话：______________________</w:t>
      </w:r>
    </w:p>
    <w:p>
      <w:pPr>
        <w:keepNext w:val="0"/>
        <w:keepLines w:val="0"/>
        <w:pageBreakBefore w:val="0"/>
        <w:widowControl/>
        <w:kinsoku w:val="0"/>
        <w:wordWrap/>
        <w:overflowPunct/>
        <w:topLinePunct w:val="0"/>
        <w:autoSpaceDE w:val="0"/>
        <w:autoSpaceDN w:val="0"/>
        <w:bidi w:val="0"/>
        <w:adjustRightInd w:val="0"/>
        <w:snapToGrid w:val="0"/>
        <w:spacing w:before="161" w:line="400" w:lineRule="exact"/>
        <w:ind w:firstLine="3150" w:firstLineChars="1500"/>
        <w:textAlignment w:val="baseline"/>
        <w:rPr>
          <w:rFonts w:hint="default" w:ascii="宋体" w:hAnsi="宋体" w:eastAsia="宋体" w:cs="宋体"/>
          <w:color w:val="auto"/>
          <w:spacing w:val="0"/>
          <w:sz w:val="21"/>
          <w:szCs w:val="21"/>
          <w:highlight w:val="none"/>
          <w:lang w:val="en-US" w:eastAsia="zh-CN"/>
        </w:rPr>
        <w:sectPr>
          <w:headerReference r:id="rId57" w:type="default"/>
          <w:footerReference r:id="rId58" w:type="default"/>
          <w:type w:val="continuous"/>
          <w:pgSz w:w="11900" w:h="16840"/>
          <w:pgMar w:top="1160" w:right="1349" w:bottom="1448" w:left="1359" w:header="883" w:footer="1234" w:gutter="0"/>
          <w:pgNumType w:fmt="decimal"/>
          <w:cols w:equalWidth="0" w:num="1">
            <w:col w:w="9192"/>
          </w:cols>
        </w:sectPr>
      </w:pPr>
      <w:r>
        <w:rPr>
          <w:rFonts w:hint="eastAsia" w:ascii="宋体" w:hAnsi="宋体" w:eastAsia="宋体" w:cs="宋体"/>
          <w:color w:val="auto"/>
          <w:spacing w:val="0"/>
          <w:sz w:val="21"/>
          <w:szCs w:val="21"/>
          <w:highlight w:val="none"/>
          <w:lang w:val="en-US" w:eastAsia="zh-CN"/>
        </w:rPr>
        <w:t>银      行      传      真：______________________</w:t>
      </w: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sectPr>
          <w:type w:val="continuous"/>
          <w:pgSz w:w="11900" w:h="16840"/>
          <w:pgMar w:top="1160" w:right="1349" w:bottom="1448" w:left="1359" w:header="883" w:footer="1234" w:gutter="0"/>
          <w:pgNumType w:fmt="decimal"/>
          <w:cols w:equalWidth="0" w:num="4">
            <w:col w:w="3813" w:space="100"/>
            <w:col w:w="735" w:space="100"/>
            <w:col w:w="742" w:space="100"/>
            <w:col w:w="3602"/>
          </w:cols>
        </w:sectPr>
      </w:pP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keepNext w:val="0"/>
        <w:keepLines w:val="0"/>
        <w:pageBreakBefore w:val="0"/>
        <w:kinsoku w:val="0"/>
        <w:wordWrap/>
        <w:overflowPunct/>
        <w:topLinePunct w:val="0"/>
        <w:autoSpaceDE w:val="0"/>
        <w:autoSpaceDN w:val="0"/>
        <w:bidi w:val="0"/>
        <w:adjustRightInd w:val="0"/>
        <w:snapToGrid w:val="0"/>
        <w:spacing w:before="66" w:line="400" w:lineRule="exact"/>
        <w:ind w:left="429"/>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注：</w:t>
      </w:r>
    </w:p>
    <w:p>
      <w:pPr>
        <w:keepNext w:val="0"/>
        <w:keepLines w:val="0"/>
        <w:pageBreakBefore w:val="0"/>
        <w:kinsoku w:val="0"/>
        <w:wordWrap/>
        <w:overflowPunct/>
        <w:topLinePunct w:val="0"/>
        <w:autoSpaceDE w:val="0"/>
        <w:autoSpaceDN w:val="0"/>
        <w:bidi w:val="0"/>
        <w:adjustRightInd w:val="0"/>
        <w:snapToGrid w:val="0"/>
        <w:spacing w:before="157" w:line="400" w:lineRule="exact"/>
        <w:ind w:left="29" w:right="4" w:firstLine="416"/>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1.允许投标人实际开具的银行信贷证明的格式与本表格式有所不同，但不得更改本信贷证明格式中的实质性内容。</w:t>
      </w:r>
    </w:p>
    <w:p>
      <w:pPr>
        <w:keepNext w:val="0"/>
        <w:keepLines w:val="0"/>
        <w:pageBreakBefore w:val="0"/>
        <w:kinsoku w:val="0"/>
        <w:wordWrap/>
        <w:overflowPunct/>
        <w:topLinePunct w:val="0"/>
        <w:autoSpaceDE w:val="0"/>
        <w:autoSpaceDN w:val="0"/>
        <w:bidi w:val="0"/>
        <w:adjustRightInd w:val="0"/>
        <w:snapToGrid w:val="0"/>
        <w:spacing w:before="1" w:line="400" w:lineRule="exact"/>
        <w:ind w:left="14" w:right="379" w:firstLine="454"/>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2.银行主要负责人应亲笔签名，不得使用印章、签名章或其他电子制版签名，否则，视为无效。</w:t>
      </w:r>
    </w:p>
    <w:p>
      <w:pPr>
        <w:pStyle w:val="2"/>
        <w:keepNext w:val="0"/>
        <w:keepLines w:val="0"/>
        <w:pageBreakBefore w:val="0"/>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cs="宋体"/>
          <w:color w:val="auto"/>
          <w:spacing w:val="0"/>
          <w:sz w:val="21"/>
          <w:szCs w:val="21"/>
          <w:highlight w:val="none"/>
          <w:lang w:val="en-US" w:eastAsia="zh-CN"/>
        </w:rPr>
        <w:t>3.</w:t>
      </w:r>
      <w:r>
        <w:rPr>
          <w:rFonts w:hint="eastAsia" w:ascii="宋体" w:hAnsi="宋体" w:eastAsia="宋体" w:cs="宋体"/>
          <w:color w:val="auto"/>
          <w:spacing w:val="0"/>
          <w:sz w:val="21"/>
          <w:szCs w:val="21"/>
          <w:highlight w:val="none"/>
          <w:lang w:val="en-US" w:eastAsia="zh-CN"/>
        </w:rPr>
        <w:t>投标人可根据自身情况决定提供银行信贷证明或财务能力承诺书。</w:t>
      </w: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color w:val="auto"/>
          <w:sz w:val="21"/>
          <w:szCs w:val="21"/>
          <w:highlight w:val="none"/>
        </w:rPr>
        <w:sectPr>
          <w:headerReference r:id="rId59" w:type="default"/>
          <w:footerReference r:id="rId60" w:type="default"/>
          <w:type w:val="continuous"/>
          <w:pgSz w:w="11900" w:h="16840"/>
          <w:pgMar w:top="1160" w:right="1349" w:bottom="1448" w:left="1359" w:header="883" w:footer="1234" w:gutter="0"/>
          <w:pgNumType w:fmt="decimal"/>
          <w:cols w:equalWidth="0" w:num="1">
            <w:col w:w="9192"/>
          </w:cols>
        </w:sectPr>
      </w:pPr>
    </w:p>
    <w:p>
      <w:pPr>
        <w:spacing w:before="290" w:line="235" w:lineRule="auto"/>
        <w:jc w:val="center"/>
        <w:rPr>
          <w:rFonts w:ascii="宋体" w:hAnsi="宋体" w:eastAsia="宋体" w:cs="宋体"/>
          <w:color w:val="auto"/>
          <w:sz w:val="13"/>
          <w:szCs w:val="13"/>
          <w:highlight w:val="none"/>
        </w:rPr>
      </w:pPr>
      <w:r>
        <w:rPr>
          <w:rFonts w:ascii="宋体" w:hAnsi="宋体" w:eastAsia="宋体" w:cs="宋体"/>
          <w:color w:val="auto"/>
          <w:spacing w:val="-1"/>
          <w:sz w:val="28"/>
          <w:szCs w:val="28"/>
          <w:highlight w:val="none"/>
        </w:rPr>
        <w:t>财务能</w:t>
      </w:r>
      <w:r>
        <w:rPr>
          <w:rFonts w:ascii="宋体" w:hAnsi="宋体" w:eastAsia="宋体" w:cs="宋体"/>
          <w:color w:val="auto"/>
          <w:sz w:val="28"/>
          <w:szCs w:val="28"/>
          <w:highlight w:val="none"/>
        </w:rPr>
        <w:t>力承诺书</w:t>
      </w:r>
    </w:p>
    <w:p>
      <w:pPr>
        <w:spacing w:line="306" w:lineRule="auto"/>
        <w:rPr>
          <w:rFonts w:ascii="Arial"/>
          <w:color w:val="auto"/>
          <w:sz w:val="21"/>
          <w:highlight w:val="none"/>
        </w:rPr>
      </w:pPr>
    </w:p>
    <w:p>
      <w:pPr>
        <w:spacing w:line="306" w:lineRule="auto"/>
        <w:rPr>
          <w:rFonts w:ascii="Arial"/>
          <w:color w:val="auto"/>
          <w:sz w:val="21"/>
          <w:highlight w:val="none"/>
        </w:rPr>
      </w:pPr>
    </w:p>
    <w:p>
      <w:pPr>
        <w:keepNext w:val="0"/>
        <w:keepLines w:val="0"/>
        <w:pageBreakBefore w:val="0"/>
        <w:kinsoku w:val="0"/>
        <w:wordWrap/>
        <w:overflowPunct/>
        <w:topLinePunct w:val="0"/>
        <w:autoSpaceDE w:val="0"/>
        <w:autoSpaceDN w:val="0"/>
        <w:bidi w:val="0"/>
        <w:adjustRightInd w:val="0"/>
        <w:snapToGrid w:val="0"/>
        <w:spacing w:before="65" w:line="400" w:lineRule="exact"/>
        <w:ind w:left="5"/>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致：</w:t>
      </w:r>
      <w:r>
        <w:rPr>
          <w:rFonts w:hint="eastAsia" w:ascii="宋体" w:hAnsi="宋体" w:eastAsia="宋体" w:cs="宋体"/>
          <w:color w:val="auto"/>
          <w:spacing w:val="0"/>
          <w:sz w:val="21"/>
          <w:szCs w:val="21"/>
          <w:highlight w:val="none"/>
          <w:u w:val="single" w:color="auto"/>
        </w:rPr>
        <w:t xml:space="preserve">      (招标人全称)       </w:t>
      </w:r>
    </w:p>
    <w:p>
      <w:pPr>
        <w:keepNext w:val="0"/>
        <w:keepLines w:val="0"/>
        <w:pageBreakBefore w:val="0"/>
        <w:kinsoku w:val="0"/>
        <w:wordWrap/>
        <w:overflowPunct/>
        <w:topLinePunct w:val="0"/>
        <w:autoSpaceDE w:val="0"/>
        <w:autoSpaceDN w:val="0"/>
        <w:bidi w:val="0"/>
        <w:adjustRightInd w:val="0"/>
        <w:snapToGrid w:val="0"/>
        <w:spacing w:before="160" w:line="400" w:lineRule="exact"/>
        <w:ind w:left="6" w:firstLine="42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 xml:space="preserve">我谨代表 </w:t>
      </w:r>
      <w:r>
        <w:rPr>
          <w:rFonts w:hint="eastAsia" w:ascii="宋体" w:hAnsi="宋体" w:eastAsia="宋体" w:cs="宋体"/>
          <w:color w:val="auto"/>
          <w:spacing w:val="0"/>
          <w:sz w:val="21"/>
          <w:szCs w:val="21"/>
          <w:highlight w:val="none"/>
          <w:u w:val="single" w:color="auto"/>
        </w:rPr>
        <w:t xml:space="preserve">   (投标人全称)    </w:t>
      </w:r>
      <w:r>
        <w:rPr>
          <w:rFonts w:hint="eastAsia" w:ascii="宋体" w:hAnsi="宋体" w:eastAsia="宋体" w:cs="宋体"/>
          <w:color w:val="auto"/>
          <w:spacing w:val="0"/>
          <w:sz w:val="21"/>
          <w:szCs w:val="21"/>
          <w:highlight w:val="none"/>
        </w:rPr>
        <w:t xml:space="preserve"> 郑重承诺：若我单位有幸在 </w:t>
      </w:r>
      <w:r>
        <w:rPr>
          <w:rFonts w:hint="eastAsia" w:ascii="宋体" w:hAnsi="宋体" w:eastAsia="宋体" w:cs="宋体"/>
          <w:color w:val="auto"/>
          <w:spacing w:val="0"/>
          <w:sz w:val="21"/>
          <w:szCs w:val="21"/>
          <w:highlight w:val="none"/>
          <w:u w:val="single" w:color="auto"/>
        </w:rPr>
        <w:t xml:space="preserve">    (项目名称)    </w:t>
      </w:r>
      <w:r>
        <w:rPr>
          <w:rFonts w:hint="eastAsia" w:ascii="宋体" w:hAnsi="宋体" w:eastAsia="宋体" w:cs="宋体"/>
          <w:color w:val="auto"/>
          <w:spacing w:val="0"/>
          <w:sz w:val="21"/>
          <w:szCs w:val="21"/>
          <w:highlight w:val="none"/>
        </w:rPr>
        <w:t xml:space="preserve"> 工程投标活动中中标，将提供人民币 (大写) ______________元 (￥________ )的流动资金，供本工程在施工需要时使用。</w:t>
      </w:r>
    </w:p>
    <w:p>
      <w:pPr>
        <w:keepNext w:val="0"/>
        <w:keepLines w:val="0"/>
        <w:pageBreakBefore w:val="0"/>
        <w:kinsoku w:val="0"/>
        <w:wordWrap/>
        <w:overflowPunct/>
        <w:topLinePunct w:val="0"/>
        <w:autoSpaceDE w:val="0"/>
        <w:autoSpaceDN w:val="0"/>
        <w:bidi w:val="0"/>
        <w:adjustRightInd w:val="0"/>
        <w:snapToGrid w:val="0"/>
        <w:spacing w:before="160" w:line="400" w:lineRule="exact"/>
        <w:ind w:left="6" w:firstLine="42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特此承诺。</w:t>
      </w: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2948"/>
        <w:textAlignment w:val="baseline"/>
        <w:rPr>
          <w:rFonts w:hint="eastAsia" w:ascii="宋体" w:hAnsi="宋体" w:eastAsia="宋体" w:cs="宋体"/>
          <w:color w:val="auto"/>
          <w:spacing w:val="0"/>
          <w:sz w:val="21"/>
          <w:szCs w:val="21"/>
          <w:highlight w:val="none"/>
          <w:u w:val="single" w:color="auto"/>
        </w:rPr>
      </w:pPr>
      <w:r>
        <w:rPr>
          <w:rFonts w:hint="eastAsia" w:ascii="宋体" w:hAnsi="宋体" w:eastAsia="宋体" w:cs="宋体"/>
          <w:color w:val="auto"/>
          <w:spacing w:val="0"/>
          <w:sz w:val="21"/>
          <w:szCs w:val="21"/>
          <w:highlight w:val="none"/>
        </w:rPr>
        <w:t xml:space="preserve">投标人： </w:t>
      </w:r>
      <w:r>
        <w:rPr>
          <w:rFonts w:hint="eastAsia" w:ascii="宋体" w:hAnsi="宋体" w:eastAsia="宋体" w:cs="宋体"/>
          <w:color w:val="auto"/>
          <w:spacing w:val="0"/>
          <w:sz w:val="21"/>
          <w:szCs w:val="21"/>
          <w:highlight w:val="none"/>
          <w:u w:val="single" w:color="auto"/>
        </w:rPr>
        <w:t xml:space="preserve">                       (盖单位</w:t>
      </w:r>
      <w:r>
        <w:rPr>
          <w:rFonts w:hint="eastAsia" w:ascii="宋体" w:hAnsi="宋体" w:eastAsia="宋体" w:cs="宋体"/>
          <w:color w:val="auto"/>
          <w:spacing w:val="0"/>
          <w:sz w:val="21"/>
          <w:szCs w:val="21"/>
          <w:highlight w:val="none"/>
          <w:u w:val="single" w:color="auto"/>
          <w:lang w:val="en-US" w:eastAsia="zh-CN"/>
        </w:rPr>
        <w:t>电子</w:t>
      </w:r>
      <w:r>
        <w:rPr>
          <w:rFonts w:hint="eastAsia" w:ascii="宋体" w:hAnsi="宋体" w:eastAsia="宋体" w:cs="宋体"/>
          <w:color w:val="auto"/>
          <w:spacing w:val="0"/>
          <w:sz w:val="21"/>
          <w:szCs w:val="21"/>
          <w:highlight w:val="none"/>
          <w:u w:val="single" w:color="auto"/>
        </w:rPr>
        <w:t xml:space="preserve">公章) </w:t>
      </w: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2948"/>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 xml:space="preserve">法定代表人： </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u w:val="single" w:color="auto"/>
          <w:lang w:val="en-US" w:eastAsia="zh-CN"/>
        </w:rPr>
        <w:t xml:space="preserve"> </w:t>
      </w:r>
      <w:r>
        <w:rPr>
          <w:rFonts w:hint="eastAsia" w:ascii="宋体" w:hAnsi="宋体" w:eastAsia="宋体" w:cs="宋体"/>
          <w:color w:val="auto"/>
          <w:spacing w:val="0"/>
          <w:sz w:val="21"/>
          <w:szCs w:val="21"/>
          <w:highlight w:val="none"/>
          <w:u w:val="single" w:color="auto"/>
        </w:rPr>
        <w:t>(</w:t>
      </w:r>
      <w:r>
        <w:rPr>
          <w:rFonts w:hint="eastAsia" w:ascii="宋体" w:hAnsi="宋体" w:eastAsia="宋体" w:cs="宋体"/>
          <w:color w:val="auto"/>
          <w:spacing w:val="0"/>
          <w:sz w:val="21"/>
          <w:szCs w:val="21"/>
          <w:highlight w:val="none"/>
          <w:u w:val="single" w:color="auto"/>
          <w:lang w:val="en-US" w:eastAsia="zh-CN"/>
        </w:rPr>
        <w:t>盖法定代表人电子章</w:t>
      </w:r>
      <w:r>
        <w:rPr>
          <w:rFonts w:hint="eastAsia" w:ascii="宋体" w:hAnsi="宋体" w:eastAsia="宋体" w:cs="宋体"/>
          <w:color w:val="auto"/>
          <w:spacing w:val="0"/>
          <w:sz w:val="21"/>
          <w:szCs w:val="21"/>
          <w:highlight w:val="none"/>
          <w:u w:val="single" w:color="auto"/>
        </w:rPr>
        <w:t xml:space="preserve">) </w:t>
      </w: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keepNext w:val="0"/>
        <w:keepLines w:val="0"/>
        <w:pageBreakBefore w:val="0"/>
        <w:kinsoku w:val="0"/>
        <w:wordWrap/>
        <w:overflowPunct/>
        <w:topLinePunct w:val="0"/>
        <w:autoSpaceDE w:val="0"/>
        <w:autoSpaceDN w:val="0"/>
        <w:bidi w:val="0"/>
        <w:adjustRightInd w:val="0"/>
        <w:snapToGrid w:val="0"/>
        <w:spacing w:before="66" w:line="400" w:lineRule="exact"/>
        <w:ind w:left="4368"/>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日     期 ：</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年</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月</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日</w:t>
      </w: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keepNext w:val="0"/>
        <w:keepLines w:val="0"/>
        <w:pageBreakBefore w:val="0"/>
        <w:kinsoku w:val="0"/>
        <w:wordWrap/>
        <w:overflowPunct/>
        <w:topLinePunct w:val="0"/>
        <w:autoSpaceDE w:val="0"/>
        <w:autoSpaceDN w:val="0"/>
        <w:bidi w:val="0"/>
        <w:adjustRightInd w:val="0"/>
        <w:snapToGrid w:val="0"/>
        <w:spacing w:before="66" w:line="400" w:lineRule="exact"/>
        <w:ind w:left="22"/>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附：银行存款证明。</w:t>
      </w: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keepNext w:val="0"/>
        <w:keepLines w:val="0"/>
        <w:pageBreakBefore w:val="0"/>
        <w:kinsoku w:val="0"/>
        <w:wordWrap/>
        <w:overflowPunct/>
        <w:topLinePunct w:val="0"/>
        <w:autoSpaceDE w:val="0"/>
        <w:autoSpaceDN w:val="0"/>
        <w:bidi w:val="0"/>
        <w:adjustRightInd w:val="0"/>
        <w:snapToGrid w:val="0"/>
        <w:spacing w:before="65" w:line="400" w:lineRule="exact"/>
        <w:ind w:left="5"/>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注：</w:t>
      </w:r>
      <w:r>
        <w:rPr>
          <w:rFonts w:hint="eastAsia" w:ascii="宋体" w:hAnsi="宋体" w:eastAsia="宋体" w:cs="宋体"/>
          <w:color w:val="auto"/>
          <w:spacing w:val="0"/>
          <w:sz w:val="21"/>
          <w:szCs w:val="21"/>
          <w:highlight w:val="none"/>
          <w:lang w:val="en-US" w:eastAsia="zh-CN"/>
        </w:rPr>
        <w:t>1.</w:t>
      </w:r>
      <w:r>
        <w:rPr>
          <w:rFonts w:hint="eastAsia" w:ascii="宋体" w:hAnsi="宋体" w:eastAsia="宋体" w:cs="宋体"/>
          <w:color w:val="auto"/>
          <w:spacing w:val="0"/>
          <w:sz w:val="21"/>
          <w:szCs w:val="21"/>
          <w:highlight w:val="none"/>
        </w:rPr>
        <w:t>应附招标公告发布后银行出具的不少于要求流动资金的银行存款证明。</w:t>
      </w:r>
    </w:p>
    <w:p>
      <w:pPr>
        <w:pStyle w:val="2"/>
        <w:keepNext w:val="0"/>
        <w:keepLines w:val="0"/>
        <w:pageBreakBefore w:val="0"/>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default" w:eastAsia="宋体"/>
          <w:color w:val="auto"/>
          <w:spacing w:val="0"/>
          <w:sz w:val="21"/>
          <w:szCs w:val="21"/>
          <w:highlight w:val="none"/>
          <w:lang w:val="en-US" w:eastAsia="zh-CN"/>
        </w:rPr>
      </w:pPr>
      <w:r>
        <w:rPr>
          <w:rFonts w:hint="eastAsia" w:ascii="宋体" w:hAnsi="宋体" w:cs="宋体"/>
          <w:color w:val="auto"/>
          <w:spacing w:val="0"/>
          <w:sz w:val="21"/>
          <w:szCs w:val="21"/>
          <w:highlight w:val="none"/>
          <w:lang w:val="en-US" w:eastAsia="zh-CN"/>
        </w:rPr>
        <w:t>2.</w:t>
      </w:r>
      <w:r>
        <w:rPr>
          <w:rFonts w:hint="eastAsia" w:ascii="宋体" w:hAnsi="宋体" w:eastAsia="宋体" w:cs="宋体"/>
          <w:color w:val="auto"/>
          <w:spacing w:val="0"/>
          <w:sz w:val="21"/>
          <w:szCs w:val="21"/>
          <w:highlight w:val="none"/>
          <w:lang w:val="en-US" w:eastAsia="zh-CN"/>
        </w:rPr>
        <w:t>投标人可根据自身情况决定提供银行信贷证明或财务能力承诺书。</w:t>
      </w: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p>
      <w:pPr>
        <w:spacing w:line="243" w:lineRule="auto"/>
        <w:rPr>
          <w:rFonts w:ascii="Arial"/>
          <w:color w:val="auto"/>
          <w:sz w:val="21"/>
          <w:highlight w:val="none"/>
        </w:rPr>
      </w:pPr>
    </w:p>
    <w:p>
      <w:pPr>
        <w:spacing w:line="243" w:lineRule="auto"/>
        <w:rPr>
          <w:rFonts w:ascii="Arial"/>
          <w:color w:val="auto"/>
          <w:sz w:val="21"/>
          <w:highlight w:val="none"/>
        </w:rPr>
      </w:pPr>
    </w:p>
    <w:p>
      <w:pPr>
        <w:spacing w:line="243" w:lineRule="auto"/>
        <w:rPr>
          <w:rFonts w:ascii="Arial"/>
          <w:color w:val="auto"/>
          <w:sz w:val="21"/>
          <w:highlight w:val="none"/>
        </w:rPr>
      </w:pPr>
    </w:p>
    <w:p>
      <w:pPr>
        <w:spacing w:line="243" w:lineRule="auto"/>
        <w:rPr>
          <w:rFonts w:ascii="Arial"/>
          <w:color w:val="auto"/>
          <w:sz w:val="21"/>
          <w:highlight w:val="none"/>
        </w:rPr>
      </w:pPr>
    </w:p>
    <w:p>
      <w:pPr>
        <w:spacing w:line="243" w:lineRule="auto"/>
        <w:rPr>
          <w:rFonts w:ascii="Arial"/>
          <w:color w:val="auto"/>
          <w:sz w:val="21"/>
          <w:highlight w:val="none"/>
        </w:rPr>
      </w:pPr>
    </w:p>
    <w:p>
      <w:pPr>
        <w:spacing w:line="243" w:lineRule="auto"/>
        <w:rPr>
          <w:rFonts w:ascii="Arial"/>
          <w:color w:val="auto"/>
          <w:sz w:val="21"/>
          <w:highlight w:val="none"/>
        </w:rPr>
      </w:pPr>
    </w:p>
    <w:p>
      <w:pPr>
        <w:spacing w:line="243" w:lineRule="auto"/>
        <w:rPr>
          <w:rFonts w:ascii="Arial"/>
          <w:color w:val="auto"/>
          <w:sz w:val="21"/>
          <w:highlight w:val="none"/>
        </w:rPr>
      </w:pPr>
    </w:p>
    <w:p>
      <w:pPr>
        <w:spacing w:line="243" w:lineRule="auto"/>
        <w:rPr>
          <w:rFonts w:ascii="Arial"/>
          <w:color w:val="auto"/>
          <w:sz w:val="21"/>
          <w:highlight w:val="none"/>
        </w:rPr>
      </w:pPr>
    </w:p>
    <w:p>
      <w:pPr>
        <w:spacing w:line="243" w:lineRule="auto"/>
        <w:rPr>
          <w:rFonts w:ascii="Arial"/>
          <w:color w:val="auto"/>
          <w:sz w:val="21"/>
          <w:highlight w:val="none"/>
        </w:rPr>
      </w:pPr>
    </w:p>
    <w:p>
      <w:pPr>
        <w:spacing w:line="243" w:lineRule="auto"/>
        <w:rPr>
          <w:rFonts w:ascii="Arial"/>
          <w:color w:val="auto"/>
          <w:sz w:val="21"/>
          <w:highlight w:val="none"/>
        </w:rPr>
      </w:pPr>
    </w:p>
    <w:p>
      <w:pPr>
        <w:spacing w:before="278" w:line="235" w:lineRule="auto"/>
        <w:jc w:val="both"/>
        <w:rPr>
          <w:rFonts w:ascii="黑体" w:hAnsi="黑体" w:eastAsia="黑体" w:cs="黑体"/>
          <w:color w:val="auto"/>
          <w:sz w:val="28"/>
          <w:szCs w:val="28"/>
          <w:highlight w:val="none"/>
        </w:rPr>
      </w:pPr>
    </w:p>
    <w:p>
      <w:pPr>
        <w:spacing w:before="278" w:line="235" w:lineRule="auto"/>
        <w:jc w:val="center"/>
        <w:rPr>
          <w:rFonts w:ascii="宋体" w:hAnsi="宋体" w:eastAsia="宋体" w:cs="宋体"/>
          <w:color w:val="auto"/>
          <w:sz w:val="13"/>
          <w:szCs w:val="13"/>
          <w:highlight w:val="none"/>
        </w:rPr>
      </w:pPr>
      <w:r>
        <w:rPr>
          <w:rFonts w:ascii="黑体" w:hAnsi="黑体" w:eastAsia="黑体" w:cs="黑体"/>
          <w:color w:val="auto"/>
          <w:sz w:val="28"/>
          <w:szCs w:val="28"/>
          <w:highlight w:val="none"/>
        </w:rPr>
        <w:t>银行存款证明</w:t>
      </w:r>
    </w:p>
    <w:p>
      <w:pPr>
        <w:spacing w:line="306" w:lineRule="auto"/>
        <w:rPr>
          <w:rFonts w:ascii="Arial"/>
          <w:color w:val="auto"/>
          <w:sz w:val="21"/>
          <w:highlight w:val="none"/>
        </w:rPr>
      </w:pPr>
    </w:p>
    <w:p>
      <w:pPr>
        <w:spacing w:line="306" w:lineRule="auto"/>
        <w:rPr>
          <w:rFonts w:hint="eastAsia" w:ascii="宋体" w:hAnsi="宋体" w:eastAsia="宋体" w:cs="宋体"/>
          <w:color w:val="auto"/>
          <w:sz w:val="22"/>
          <w:szCs w:val="22"/>
          <w:highlight w:val="none"/>
        </w:rPr>
      </w:pPr>
    </w:p>
    <w:p>
      <w:pPr>
        <w:keepNext w:val="0"/>
        <w:keepLines w:val="0"/>
        <w:pageBreakBefore w:val="0"/>
        <w:kinsoku w:val="0"/>
        <w:wordWrap/>
        <w:overflowPunct/>
        <w:topLinePunct w:val="0"/>
        <w:autoSpaceDE w:val="0"/>
        <w:autoSpaceDN w:val="0"/>
        <w:bidi w:val="0"/>
        <w:adjustRightInd w:val="0"/>
        <w:snapToGrid w:val="0"/>
        <w:spacing w:before="65" w:line="400" w:lineRule="exact"/>
        <w:ind w:left="6"/>
        <w:textAlignment w:val="baseline"/>
        <w:rPr>
          <w:rFonts w:hint="eastAsia" w:ascii="宋体" w:hAnsi="宋体" w:eastAsia="宋体" w:cs="宋体"/>
          <w:color w:val="auto"/>
          <w:spacing w:val="0"/>
          <w:sz w:val="21"/>
          <w:szCs w:val="21"/>
          <w:highlight w:val="none"/>
          <w:u w:val="single" w:color="auto"/>
        </w:rPr>
      </w:pPr>
      <w:r>
        <w:rPr>
          <w:rFonts w:hint="eastAsia" w:ascii="宋体" w:hAnsi="宋体" w:eastAsia="宋体" w:cs="宋体"/>
          <w:color w:val="auto"/>
          <w:spacing w:val="0"/>
          <w:sz w:val="21"/>
          <w:szCs w:val="21"/>
          <w:highlight w:val="none"/>
        </w:rPr>
        <w:t>银行名称：</w:t>
      </w:r>
      <w:r>
        <w:rPr>
          <w:rFonts w:hint="eastAsia" w:ascii="宋体" w:hAnsi="宋体" w:eastAsia="宋体" w:cs="宋体"/>
          <w:color w:val="auto"/>
          <w:spacing w:val="0"/>
          <w:sz w:val="21"/>
          <w:szCs w:val="21"/>
          <w:highlight w:val="none"/>
          <w:u w:val="single" w:color="auto"/>
        </w:rPr>
        <w:t xml:space="preserve">                              </w:t>
      </w:r>
    </w:p>
    <w:p>
      <w:pPr>
        <w:keepNext w:val="0"/>
        <w:keepLines w:val="0"/>
        <w:pageBreakBefore w:val="0"/>
        <w:kinsoku w:val="0"/>
        <w:wordWrap/>
        <w:overflowPunct/>
        <w:topLinePunct w:val="0"/>
        <w:autoSpaceDE w:val="0"/>
        <w:autoSpaceDN w:val="0"/>
        <w:bidi w:val="0"/>
        <w:adjustRightInd w:val="0"/>
        <w:snapToGrid w:val="0"/>
        <w:spacing w:before="65" w:line="400" w:lineRule="exact"/>
        <w:ind w:left="6"/>
        <w:textAlignment w:val="baseline"/>
        <w:rPr>
          <w:rFonts w:hint="eastAsia" w:ascii="宋体" w:hAnsi="宋体" w:eastAsia="宋体" w:cs="宋体"/>
          <w:color w:val="auto"/>
          <w:spacing w:val="0"/>
          <w:sz w:val="21"/>
          <w:szCs w:val="21"/>
          <w:highlight w:val="none"/>
          <w:u w:val="single" w:color="auto"/>
        </w:rPr>
      </w:pPr>
      <w:r>
        <w:rPr>
          <w:rFonts w:hint="eastAsia" w:ascii="宋体" w:hAnsi="宋体" w:eastAsia="宋体" w:cs="宋体"/>
          <w:color w:val="auto"/>
          <w:spacing w:val="0"/>
          <w:sz w:val="21"/>
          <w:szCs w:val="21"/>
          <w:highlight w:val="none"/>
        </w:rPr>
        <w:t>地    址 ：</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u w:val="none" w:color="auto"/>
          <w:lang w:val="en-US" w:eastAsia="zh-CN"/>
        </w:rPr>
        <w:t xml:space="preserve">                </w:t>
      </w:r>
      <w:r>
        <w:rPr>
          <w:rFonts w:hint="eastAsia" w:ascii="宋体" w:hAnsi="宋体" w:eastAsia="宋体" w:cs="宋体"/>
          <w:color w:val="auto"/>
          <w:spacing w:val="0"/>
          <w:sz w:val="21"/>
          <w:szCs w:val="21"/>
          <w:highlight w:val="none"/>
        </w:rPr>
        <w:t>日期：</w:t>
      </w:r>
      <w:r>
        <w:rPr>
          <w:rFonts w:hint="eastAsia" w:ascii="宋体" w:hAnsi="宋体" w:eastAsia="宋体" w:cs="宋体"/>
          <w:color w:val="auto"/>
          <w:spacing w:val="0"/>
          <w:sz w:val="21"/>
          <w:szCs w:val="21"/>
          <w:highlight w:val="none"/>
          <w:u w:val="single" w:color="auto"/>
        </w:rPr>
        <w:t xml:space="preserve">                 </w:t>
      </w:r>
    </w:p>
    <w:p>
      <w:pPr>
        <w:keepNext w:val="0"/>
        <w:keepLines w:val="0"/>
        <w:pageBreakBefore w:val="0"/>
        <w:kinsoku w:val="0"/>
        <w:wordWrap/>
        <w:overflowPunct/>
        <w:topLinePunct w:val="0"/>
        <w:autoSpaceDE w:val="0"/>
        <w:autoSpaceDN w:val="0"/>
        <w:bidi w:val="0"/>
        <w:adjustRightInd w:val="0"/>
        <w:snapToGrid w:val="0"/>
        <w:spacing w:before="65" w:line="400" w:lineRule="exact"/>
        <w:ind w:left="6"/>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致：</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u w:val="single" w:color="auto"/>
          <w:lang w:val="en-US" w:eastAsia="zh-CN"/>
        </w:rPr>
        <w:t xml:space="preserve">   </w:t>
      </w:r>
      <w:r>
        <w:rPr>
          <w:rFonts w:hint="eastAsia" w:ascii="宋体" w:hAnsi="宋体" w:eastAsia="宋体" w:cs="宋体"/>
          <w:color w:val="auto"/>
          <w:spacing w:val="0"/>
          <w:sz w:val="21"/>
          <w:szCs w:val="21"/>
          <w:highlight w:val="none"/>
          <w:u w:val="single" w:color="auto"/>
        </w:rPr>
        <w:t xml:space="preserve">(招标人全称)   </w:t>
      </w: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6" w:right="0" w:firstLine="42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兹证明</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(投标人名称) 截止</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年</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月</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日____时___分，在我行________账户中存款余额为人民币____________________元。</w:t>
      </w:r>
    </w:p>
    <w:p>
      <w:pPr>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pStyle w:val="2"/>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pStyle w:val="2"/>
        <w:keepNext w:val="0"/>
        <w:keepLines w:val="0"/>
        <w:pageBreakBefore w:val="0"/>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3073"/>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银                行 (盖章) ：</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u w:val="single" w:color="auto"/>
          <w:lang w:val="en-US" w:eastAsia="zh-CN"/>
        </w:rPr>
        <w:t xml:space="preserve">   </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银 行 主 要 负 责 人 (签字) ：</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u w:val="single" w:color="auto"/>
          <w:lang w:val="en-US" w:eastAsia="zh-CN"/>
        </w:rPr>
        <w:t xml:space="preserve">   </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银行主要负责人的姓名、职务：</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u w:val="single" w:color="auto"/>
          <w:lang w:val="en-US" w:eastAsia="zh-CN"/>
        </w:rPr>
        <w:t xml:space="preserve">             </w:t>
      </w:r>
      <w:r>
        <w:rPr>
          <w:rFonts w:hint="eastAsia" w:ascii="宋体" w:hAnsi="宋体" w:eastAsia="宋体" w:cs="宋体"/>
          <w:color w:val="auto"/>
          <w:spacing w:val="0"/>
          <w:sz w:val="21"/>
          <w:szCs w:val="21"/>
          <w:highlight w:val="none"/>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before="161" w:line="400" w:lineRule="exact"/>
        <w:ind w:firstLine="3150" w:firstLineChars="1500"/>
        <w:textAlignment w:val="baseline"/>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银      行      电      话：______________________</w:t>
      </w:r>
    </w:p>
    <w:p>
      <w:pPr>
        <w:keepNext w:val="0"/>
        <w:keepLines w:val="0"/>
        <w:pageBreakBefore w:val="0"/>
        <w:widowControl/>
        <w:kinsoku w:val="0"/>
        <w:wordWrap/>
        <w:overflowPunct/>
        <w:topLinePunct w:val="0"/>
        <w:autoSpaceDE w:val="0"/>
        <w:autoSpaceDN w:val="0"/>
        <w:bidi w:val="0"/>
        <w:adjustRightInd w:val="0"/>
        <w:snapToGrid w:val="0"/>
        <w:spacing w:before="161" w:line="400" w:lineRule="exact"/>
        <w:ind w:firstLine="3150" w:firstLineChars="1500"/>
        <w:textAlignment w:val="baseline"/>
        <w:rPr>
          <w:rFonts w:hint="default" w:ascii="宋体" w:hAnsi="宋体" w:eastAsia="宋体" w:cs="宋体"/>
          <w:color w:val="auto"/>
          <w:spacing w:val="0"/>
          <w:sz w:val="21"/>
          <w:szCs w:val="21"/>
          <w:highlight w:val="none"/>
          <w:lang w:val="en-US" w:eastAsia="zh-CN"/>
        </w:rPr>
        <w:sectPr>
          <w:footerReference r:id="rId61" w:type="default"/>
          <w:pgSz w:w="11900" w:h="16840"/>
          <w:pgMar w:top="1160" w:right="1349" w:bottom="1448" w:left="1359" w:header="883" w:footer="1234" w:gutter="0"/>
          <w:pgNumType w:fmt="decimal"/>
          <w:cols w:equalWidth="0" w:num="1">
            <w:col w:w="9192"/>
          </w:cols>
        </w:sectPr>
      </w:pPr>
      <w:r>
        <w:rPr>
          <w:rFonts w:hint="eastAsia" w:ascii="宋体" w:hAnsi="宋体" w:eastAsia="宋体" w:cs="宋体"/>
          <w:color w:val="auto"/>
          <w:spacing w:val="0"/>
          <w:sz w:val="21"/>
          <w:szCs w:val="21"/>
          <w:highlight w:val="none"/>
          <w:lang w:val="en-US" w:eastAsia="zh-CN"/>
        </w:rPr>
        <w:t>银      行      传      真：______________________</w:t>
      </w:r>
    </w:p>
    <w:p>
      <w:pPr>
        <w:keepNext w:val="0"/>
        <w:keepLines w:val="0"/>
        <w:pageBreakBefore w:val="0"/>
        <w:kinsoku w:val="0"/>
        <w:wordWrap/>
        <w:overflowPunct/>
        <w:topLinePunct w:val="0"/>
        <w:autoSpaceDE w:val="0"/>
        <w:autoSpaceDN w:val="0"/>
        <w:bidi w:val="0"/>
        <w:adjustRightInd w:val="0"/>
        <w:snapToGrid w:val="0"/>
        <w:spacing w:before="66" w:line="400" w:lineRule="exact"/>
        <w:ind w:left="425"/>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注：</w:t>
      </w:r>
    </w:p>
    <w:p>
      <w:pPr>
        <w:keepNext w:val="0"/>
        <w:keepLines w:val="0"/>
        <w:pageBreakBefore w:val="0"/>
        <w:kinsoku w:val="0"/>
        <w:wordWrap/>
        <w:overflowPunct/>
        <w:topLinePunct w:val="0"/>
        <w:autoSpaceDE w:val="0"/>
        <w:autoSpaceDN w:val="0"/>
        <w:bidi w:val="0"/>
        <w:adjustRightInd w:val="0"/>
        <w:snapToGrid w:val="0"/>
        <w:spacing w:before="159" w:line="400" w:lineRule="exact"/>
        <w:ind w:left="25" w:firstLine="416"/>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1.允许投标人实际开具的银行存款证明的格式与本表格式有所不同，但不得更改本存款证明格式中的实质性内容。</w:t>
      </w:r>
    </w:p>
    <w:p>
      <w:pPr>
        <w:keepNext w:val="0"/>
        <w:keepLines w:val="0"/>
        <w:pageBreakBefore w:val="0"/>
        <w:widowControl/>
        <w:kinsoku/>
        <w:wordWrap/>
        <w:overflowPunct/>
        <w:topLinePunct w:val="0"/>
        <w:autoSpaceDE w:val="0"/>
        <w:autoSpaceDN w:val="0"/>
        <w:bidi w:val="0"/>
        <w:adjustRightInd w:val="0"/>
        <w:snapToGrid w:val="0"/>
        <w:spacing w:line="400" w:lineRule="exact"/>
        <w:ind w:left="11" w:right="-57" w:rightChars="0" w:firstLine="454"/>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2.银行主要负责人应亲笔签名，不得使用印章、签名章或其他电子制版签名，否则，视为无效。</w:t>
      </w:r>
    </w:p>
    <w:p>
      <w:pPr>
        <w:spacing w:line="253" w:lineRule="auto"/>
        <w:rPr>
          <w:rFonts w:ascii="Arial"/>
          <w:color w:val="auto"/>
          <w:sz w:val="21"/>
          <w:highlight w:val="none"/>
        </w:rPr>
      </w:pPr>
    </w:p>
    <w:p>
      <w:pPr>
        <w:spacing w:line="253" w:lineRule="auto"/>
        <w:rPr>
          <w:rFonts w:ascii="Arial"/>
          <w:color w:val="auto"/>
          <w:sz w:val="21"/>
          <w:highlight w:val="none"/>
        </w:rPr>
      </w:pPr>
    </w:p>
    <w:p>
      <w:pPr>
        <w:spacing w:line="253" w:lineRule="auto"/>
        <w:rPr>
          <w:rFonts w:ascii="Arial"/>
          <w:color w:val="auto"/>
          <w:sz w:val="21"/>
          <w:highlight w:val="none"/>
        </w:rPr>
      </w:pPr>
    </w:p>
    <w:p>
      <w:pPr>
        <w:spacing w:line="253" w:lineRule="auto"/>
        <w:rPr>
          <w:rFonts w:ascii="Arial"/>
          <w:color w:val="auto"/>
          <w:sz w:val="21"/>
          <w:highlight w:val="none"/>
        </w:rPr>
      </w:pPr>
    </w:p>
    <w:p>
      <w:pPr>
        <w:spacing w:line="253" w:lineRule="auto"/>
        <w:rPr>
          <w:rFonts w:ascii="Arial"/>
          <w:color w:val="auto"/>
          <w:sz w:val="21"/>
          <w:highlight w:val="none"/>
        </w:rPr>
      </w:pPr>
    </w:p>
    <w:p>
      <w:pPr>
        <w:rPr>
          <w:color w:val="auto"/>
          <w:highlight w:val="none"/>
        </w:rPr>
        <w:sectPr>
          <w:headerReference r:id="rId62" w:type="default"/>
          <w:footerReference r:id="rId63" w:type="default"/>
          <w:type w:val="continuous"/>
          <w:pgSz w:w="11900" w:h="16840"/>
          <w:pgMar w:top="1160" w:right="1354" w:bottom="1448" w:left="1363" w:header="883" w:footer="1234" w:gutter="0"/>
          <w:pgNumType w:fmt="decimal"/>
          <w:cols w:equalWidth="0" w:num="1">
            <w:col w:w="9183"/>
          </w:cols>
        </w:sectPr>
      </w:pPr>
    </w:p>
    <w:p>
      <w:pPr>
        <w:spacing w:before="117" w:line="222" w:lineRule="auto"/>
        <w:jc w:val="center"/>
        <w:outlineLvl w:val="2"/>
        <w:rPr>
          <w:rFonts w:hint="eastAsia" w:ascii="宋体" w:hAnsi="宋体" w:eastAsia="宋体" w:cs="宋体"/>
          <w:b/>
          <w:bCs/>
          <w:color w:val="auto"/>
          <w:spacing w:val="-3"/>
          <w:sz w:val="28"/>
          <w:szCs w:val="28"/>
          <w:highlight w:val="none"/>
        </w:rPr>
      </w:pPr>
      <w:bookmarkStart w:id="757" w:name="_Toc29839"/>
      <w:r>
        <w:rPr>
          <w:rFonts w:hint="eastAsia" w:ascii="宋体" w:hAnsi="宋体" w:eastAsia="宋体" w:cs="宋体"/>
          <w:b/>
          <w:bCs/>
          <w:color w:val="auto"/>
          <w:spacing w:val="-3"/>
          <w:sz w:val="28"/>
          <w:szCs w:val="28"/>
          <w:highlight w:val="none"/>
        </w:rPr>
        <w:t>(四) 近年完成的类似项目情况表</w:t>
      </w:r>
      <w:bookmarkEnd w:id="757"/>
    </w:p>
    <w:p>
      <w:pPr>
        <w:spacing w:line="170" w:lineRule="exact"/>
        <w:rPr>
          <w:color w:val="auto"/>
          <w:highlight w:val="none"/>
        </w:rPr>
      </w:pPr>
    </w:p>
    <w:tbl>
      <w:tblPr>
        <w:tblStyle w:val="26"/>
        <w:tblW w:w="918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07"/>
        <w:gridCol w:w="64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2707" w:type="dxa"/>
            <w:tcBorders>
              <w:left w:val="single" w:color="000000" w:sz="10" w:space="0"/>
            </w:tcBorders>
            <w:vAlign w:val="top"/>
          </w:tcPr>
          <w:p>
            <w:pPr>
              <w:spacing w:before="132" w:line="228" w:lineRule="auto"/>
              <w:ind w:left="929"/>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项目名称</w:t>
            </w:r>
          </w:p>
        </w:tc>
        <w:tc>
          <w:tcPr>
            <w:tcW w:w="6476" w:type="dxa"/>
            <w:tcBorders>
              <w:right w:val="single" w:color="000000" w:sz="10" w:space="0"/>
            </w:tcBorders>
            <w:vAlign w:val="top"/>
          </w:tcPr>
          <w:p>
            <w:pPr>
              <w:rPr>
                <w:rFonts w:hint="eastAsia" w:ascii="宋体" w:hAnsi="宋体" w:eastAsia="宋体" w:cs="宋体"/>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2707" w:type="dxa"/>
            <w:tcBorders>
              <w:left w:val="single" w:color="000000" w:sz="10" w:space="0"/>
            </w:tcBorders>
            <w:vAlign w:val="top"/>
          </w:tcPr>
          <w:p>
            <w:pPr>
              <w:spacing w:before="106" w:line="228" w:lineRule="auto"/>
              <w:ind w:left="824"/>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项目所在地</w:t>
            </w:r>
          </w:p>
        </w:tc>
        <w:tc>
          <w:tcPr>
            <w:tcW w:w="6476" w:type="dxa"/>
            <w:tcBorders>
              <w:right w:val="single" w:color="000000" w:sz="10" w:space="0"/>
            </w:tcBorders>
            <w:vAlign w:val="top"/>
          </w:tcPr>
          <w:p>
            <w:pPr>
              <w:rPr>
                <w:rFonts w:hint="eastAsia" w:ascii="宋体" w:hAnsi="宋体" w:eastAsia="宋体" w:cs="宋体"/>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2707" w:type="dxa"/>
            <w:tcBorders>
              <w:left w:val="single" w:color="000000" w:sz="10" w:space="0"/>
            </w:tcBorders>
            <w:vAlign w:val="top"/>
          </w:tcPr>
          <w:p>
            <w:pPr>
              <w:spacing w:before="108" w:line="229" w:lineRule="auto"/>
              <w:ind w:left="824"/>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发包人名称</w:t>
            </w:r>
          </w:p>
        </w:tc>
        <w:tc>
          <w:tcPr>
            <w:tcW w:w="6476" w:type="dxa"/>
            <w:tcBorders>
              <w:right w:val="single" w:color="000000" w:sz="10" w:space="0"/>
            </w:tcBorders>
            <w:vAlign w:val="top"/>
          </w:tcPr>
          <w:p>
            <w:pPr>
              <w:rPr>
                <w:rFonts w:hint="eastAsia" w:ascii="宋体" w:hAnsi="宋体" w:eastAsia="宋体" w:cs="宋体"/>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2707" w:type="dxa"/>
            <w:tcBorders>
              <w:left w:val="single" w:color="000000" w:sz="10" w:space="0"/>
            </w:tcBorders>
            <w:vAlign w:val="top"/>
          </w:tcPr>
          <w:p>
            <w:pPr>
              <w:spacing w:before="108" w:line="229" w:lineRule="auto"/>
              <w:ind w:left="824"/>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发包人地址</w:t>
            </w:r>
          </w:p>
        </w:tc>
        <w:tc>
          <w:tcPr>
            <w:tcW w:w="6476" w:type="dxa"/>
            <w:tcBorders>
              <w:right w:val="single" w:color="000000" w:sz="10" w:space="0"/>
            </w:tcBorders>
            <w:vAlign w:val="top"/>
          </w:tcPr>
          <w:p>
            <w:pPr>
              <w:rPr>
                <w:rFonts w:hint="eastAsia" w:ascii="宋体" w:hAnsi="宋体" w:eastAsia="宋体" w:cs="宋体"/>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2707" w:type="dxa"/>
            <w:tcBorders>
              <w:left w:val="single" w:color="000000" w:sz="10" w:space="0"/>
            </w:tcBorders>
            <w:vAlign w:val="top"/>
          </w:tcPr>
          <w:p>
            <w:pPr>
              <w:spacing w:before="106" w:line="229" w:lineRule="auto"/>
              <w:ind w:left="824"/>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发包人电话</w:t>
            </w:r>
          </w:p>
        </w:tc>
        <w:tc>
          <w:tcPr>
            <w:tcW w:w="6476" w:type="dxa"/>
            <w:tcBorders>
              <w:right w:val="single" w:color="000000" w:sz="10" w:space="0"/>
            </w:tcBorders>
            <w:vAlign w:val="top"/>
          </w:tcPr>
          <w:p>
            <w:pPr>
              <w:rPr>
                <w:rFonts w:hint="eastAsia" w:ascii="宋体" w:hAnsi="宋体" w:eastAsia="宋体" w:cs="宋体"/>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2707" w:type="dxa"/>
            <w:tcBorders>
              <w:left w:val="single" w:color="000000" w:sz="10" w:space="0"/>
            </w:tcBorders>
            <w:vAlign w:val="top"/>
          </w:tcPr>
          <w:p>
            <w:pPr>
              <w:spacing w:before="109" w:line="227" w:lineRule="auto"/>
              <w:ind w:left="927"/>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合同价格</w:t>
            </w:r>
          </w:p>
        </w:tc>
        <w:tc>
          <w:tcPr>
            <w:tcW w:w="6476" w:type="dxa"/>
            <w:tcBorders>
              <w:right w:val="single" w:color="000000" w:sz="10" w:space="0"/>
            </w:tcBorders>
            <w:vAlign w:val="top"/>
          </w:tcPr>
          <w:p>
            <w:pPr>
              <w:rPr>
                <w:rFonts w:hint="eastAsia" w:ascii="宋体" w:hAnsi="宋体" w:eastAsia="宋体" w:cs="宋体"/>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2707" w:type="dxa"/>
            <w:tcBorders>
              <w:left w:val="single" w:color="000000" w:sz="10" w:space="0"/>
            </w:tcBorders>
            <w:vAlign w:val="top"/>
          </w:tcPr>
          <w:p>
            <w:pPr>
              <w:spacing w:before="107" w:line="229" w:lineRule="auto"/>
              <w:ind w:left="927"/>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开工日期</w:t>
            </w:r>
          </w:p>
        </w:tc>
        <w:tc>
          <w:tcPr>
            <w:tcW w:w="6476" w:type="dxa"/>
            <w:tcBorders>
              <w:right w:val="single" w:color="000000" w:sz="10" w:space="0"/>
            </w:tcBorders>
            <w:vAlign w:val="top"/>
          </w:tcPr>
          <w:p>
            <w:pPr>
              <w:rPr>
                <w:rFonts w:hint="eastAsia" w:ascii="宋体" w:hAnsi="宋体" w:eastAsia="宋体" w:cs="宋体"/>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2707" w:type="dxa"/>
            <w:tcBorders>
              <w:left w:val="single" w:color="000000" w:sz="10" w:space="0"/>
            </w:tcBorders>
            <w:vAlign w:val="top"/>
          </w:tcPr>
          <w:p>
            <w:pPr>
              <w:spacing w:before="109" w:line="229" w:lineRule="auto"/>
              <w:ind w:left="93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交工日期</w:t>
            </w:r>
          </w:p>
        </w:tc>
        <w:tc>
          <w:tcPr>
            <w:tcW w:w="6476" w:type="dxa"/>
            <w:tcBorders>
              <w:right w:val="single" w:color="000000" w:sz="10" w:space="0"/>
            </w:tcBorders>
            <w:vAlign w:val="top"/>
          </w:tcPr>
          <w:p>
            <w:pPr>
              <w:rPr>
                <w:rFonts w:hint="eastAsia" w:ascii="宋体" w:hAnsi="宋体" w:eastAsia="宋体" w:cs="宋体"/>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2707" w:type="dxa"/>
            <w:tcBorders>
              <w:left w:val="single" w:color="000000" w:sz="10" w:space="0"/>
            </w:tcBorders>
            <w:vAlign w:val="top"/>
          </w:tcPr>
          <w:p>
            <w:pPr>
              <w:spacing w:before="110" w:line="228" w:lineRule="auto"/>
              <w:ind w:left="82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承担的工作</w:t>
            </w:r>
          </w:p>
        </w:tc>
        <w:tc>
          <w:tcPr>
            <w:tcW w:w="6476" w:type="dxa"/>
            <w:tcBorders>
              <w:right w:val="single" w:color="000000" w:sz="10" w:space="0"/>
            </w:tcBorders>
            <w:vAlign w:val="top"/>
          </w:tcPr>
          <w:p>
            <w:pPr>
              <w:rPr>
                <w:rFonts w:hint="eastAsia" w:ascii="宋体" w:hAnsi="宋体" w:eastAsia="宋体" w:cs="宋体"/>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2707" w:type="dxa"/>
            <w:tcBorders>
              <w:left w:val="single" w:color="000000" w:sz="10" w:space="0"/>
            </w:tcBorders>
            <w:vAlign w:val="top"/>
          </w:tcPr>
          <w:p>
            <w:pPr>
              <w:spacing w:before="110" w:line="229" w:lineRule="auto"/>
              <w:ind w:left="928"/>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工程质量</w:t>
            </w:r>
          </w:p>
        </w:tc>
        <w:tc>
          <w:tcPr>
            <w:tcW w:w="6476" w:type="dxa"/>
            <w:tcBorders>
              <w:right w:val="single" w:color="000000" w:sz="10" w:space="0"/>
            </w:tcBorders>
            <w:vAlign w:val="top"/>
          </w:tcPr>
          <w:p>
            <w:pPr>
              <w:rPr>
                <w:rFonts w:hint="eastAsia" w:ascii="宋体" w:hAnsi="宋体" w:eastAsia="宋体" w:cs="宋体"/>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2707" w:type="dxa"/>
            <w:tcBorders>
              <w:left w:val="single" w:color="000000" w:sz="10" w:space="0"/>
            </w:tcBorders>
            <w:vAlign w:val="top"/>
          </w:tcPr>
          <w:p>
            <w:pPr>
              <w:spacing w:before="110" w:line="228" w:lineRule="auto"/>
              <w:ind w:left="929"/>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项目经理</w:t>
            </w:r>
          </w:p>
        </w:tc>
        <w:tc>
          <w:tcPr>
            <w:tcW w:w="6476" w:type="dxa"/>
            <w:tcBorders>
              <w:right w:val="single" w:color="000000" w:sz="10" w:space="0"/>
            </w:tcBorders>
            <w:vAlign w:val="top"/>
          </w:tcPr>
          <w:p>
            <w:pPr>
              <w:rPr>
                <w:rFonts w:hint="eastAsia" w:ascii="宋体" w:hAnsi="宋体" w:eastAsia="宋体" w:cs="宋体"/>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2707" w:type="dxa"/>
            <w:tcBorders>
              <w:left w:val="single" w:color="000000" w:sz="10" w:space="0"/>
            </w:tcBorders>
            <w:vAlign w:val="top"/>
          </w:tcPr>
          <w:p>
            <w:pPr>
              <w:spacing w:before="107" w:line="226" w:lineRule="auto"/>
              <w:ind w:left="612"/>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项目技术负责人</w:t>
            </w:r>
          </w:p>
        </w:tc>
        <w:tc>
          <w:tcPr>
            <w:tcW w:w="6476" w:type="dxa"/>
            <w:tcBorders>
              <w:right w:val="single" w:color="000000" w:sz="10" w:space="0"/>
            </w:tcBorders>
            <w:vAlign w:val="top"/>
          </w:tcPr>
          <w:p>
            <w:pPr>
              <w:rPr>
                <w:rFonts w:hint="eastAsia" w:ascii="宋体" w:hAnsi="宋体" w:eastAsia="宋体" w:cs="宋体"/>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2707" w:type="dxa"/>
            <w:tcBorders>
              <w:left w:val="single" w:color="000000" w:sz="10" w:space="0"/>
            </w:tcBorders>
            <w:vAlign w:val="top"/>
          </w:tcPr>
          <w:p>
            <w:pPr>
              <w:spacing w:before="110" w:line="228" w:lineRule="auto"/>
              <w:ind w:left="403"/>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总监理工程师及电话</w:t>
            </w:r>
          </w:p>
        </w:tc>
        <w:tc>
          <w:tcPr>
            <w:tcW w:w="6476" w:type="dxa"/>
            <w:tcBorders>
              <w:right w:val="single" w:color="000000" w:sz="10" w:space="0"/>
            </w:tcBorders>
            <w:vAlign w:val="top"/>
          </w:tcPr>
          <w:p>
            <w:pPr>
              <w:rPr>
                <w:rFonts w:hint="eastAsia" w:ascii="宋体" w:hAnsi="宋体" w:eastAsia="宋体" w:cs="宋体"/>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3" w:hRule="atLeast"/>
        </w:trPr>
        <w:tc>
          <w:tcPr>
            <w:tcW w:w="2707" w:type="dxa"/>
            <w:tcBorders>
              <w:left w:val="single" w:color="000000" w:sz="10" w:space="0"/>
            </w:tcBorders>
            <w:vAlign w:val="top"/>
          </w:tcPr>
          <w:p>
            <w:pPr>
              <w:spacing w:before="226" w:line="228" w:lineRule="auto"/>
              <w:ind w:left="929"/>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项目描述</w:t>
            </w:r>
          </w:p>
        </w:tc>
        <w:tc>
          <w:tcPr>
            <w:tcW w:w="6476" w:type="dxa"/>
            <w:tcBorders>
              <w:right w:val="single" w:color="000000" w:sz="10" w:space="0"/>
            </w:tcBorders>
            <w:vAlign w:val="top"/>
          </w:tcPr>
          <w:p>
            <w:pPr>
              <w:rPr>
                <w:rFonts w:hint="eastAsia" w:ascii="宋体" w:hAnsi="宋体" w:eastAsia="宋体" w:cs="宋体"/>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2707" w:type="dxa"/>
            <w:tcBorders>
              <w:left w:val="single" w:color="000000" w:sz="10" w:space="0"/>
            </w:tcBorders>
            <w:vAlign w:val="top"/>
          </w:tcPr>
          <w:p>
            <w:pPr>
              <w:spacing w:before="32" w:line="228" w:lineRule="auto"/>
              <w:ind w:left="147"/>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是否在“浙江省交通运输信用综合管理服务系统”中公开</w:t>
            </w:r>
          </w:p>
        </w:tc>
        <w:tc>
          <w:tcPr>
            <w:tcW w:w="6476" w:type="dxa"/>
            <w:tcBorders>
              <w:right w:val="single" w:color="000000" w:sz="10" w:space="0"/>
            </w:tcBorders>
            <w:vAlign w:val="top"/>
          </w:tcPr>
          <w:p>
            <w:pPr>
              <w:rPr>
                <w:rFonts w:hint="eastAsia" w:ascii="宋体" w:hAnsi="宋体" w:eastAsia="宋体" w:cs="宋体"/>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2707" w:type="dxa"/>
            <w:tcBorders>
              <w:left w:val="single" w:color="000000" w:sz="10" w:space="0"/>
            </w:tcBorders>
            <w:vAlign w:val="top"/>
          </w:tcPr>
          <w:p>
            <w:pPr>
              <w:spacing w:before="112" w:line="230" w:lineRule="auto"/>
              <w:ind w:left="928"/>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备    注</w:t>
            </w:r>
          </w:p>
        </w:tc>
        <w:tc>
          <w:tcPr>
            <w:tcW w:w="6476" w:type="dxa"/>
            <w:tcBorders>
              <w:right w:val="single" w:color="000000" w:sz="10" w:space="0"/>
            </w:tcBorders>
            <w:vAlign w:val="top"/>
          </w:tcPr>
          <w:p>
            <w:pPr>
              <w:rPr>
                <w:rFonts w:hint="eastAsia" w:ascii="宋体" w:hAnsi="宋体" w:eastAsia="宋体" w:cs="宋体"/>
                <w:color w:val="auto"/>
                <w:spacing w:val="0"/>
                <w:sz w:val="21"/>
                <w:szCs w:val="21"/>
                <w:highlight w:val="none"/>
              </w:rPr>
            </w:pPr>
          </w:p>
        </w:tc>
      </w:tr>
    </w:tbl>
    <w:p>
      <w:pPr>
        <w:spacing w:line="324" w:lineRule="auto"/>
        <w:rPr>
          <w:rFonts w:hint="eastAsia" w:ascii="宋体" w:hAnsi="宋体" w:eastAsia="宋体" w:cs="宋体"/>
          <w:color w:val="auto"/>
          <w:spacing w:val="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2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注：1.每张表格只填写一个项目，并标明序号。</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0" w:firstLine="420" w:firstLineChars="2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2.投标人应根据招标文件第二章“投标人须知”第 3.5.3 项的要求在本表后附相关证明材料。</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9" w:right="220" w:firstLine="421"/>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3.如近年来，投标人法人机构发生合法变更或重组或法人名称变更时，应提供相关部门的合法批件或其他相关证明材料来证明其所附业绩的继承性。</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9" w:right="220" w:firstLine="421"/>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4.以联合体形式参与投标的，联合体各成员应分别填写。</w:t>
      </w:r>
    </w:p>
    <w:p>
      <w:pPr>
        <w:rPr>
          <w:color w:val="auto"/>
          <w:highlight w:val="none"/>
        </w:rPr>
        <w:sectPr>
          <w:pgSz w:w="11900" w:h="16840"/>
          <w:pgMar w:top="1160" w:right="1342" w:bottom="1448" w:left="1348" w:header="883" w:footer="1234" w:gutter="0"/>
          <w:pgNumType w:fmt="decimal"/>
          <w:cols w:space="720" w:num="1"/>
        </w:sectPr>
      </w:pPr>
    </w:p>
    <w:p>
      <w:pPr>
        <w:spacing w:before="117" w:line="222" w:lineRule="auto"/>
        <w:jc w:val="center"/>
        <w:outlineLvl w:val="2"/>
        <w:rPr>
          <w:rFonts w:hint="eastAsia" w:ascii="宋体" w:hAnsi="宋体" w:eastAsia="宋体" w:cs="宋体"/>
          <w:b/>
          <w:bCs/>
          <w:color w:val="auto"/>
          <w:spacing w:val="-3"/>
          <w:sz w:val="28"/>
          <w:szCs w:val="28"/>
          <w:highlight w:val="none"/>
        </w:rPr>
      </w:pPr>
      <w:bookmarkStart w:id="758" w:name="_Toc28877"/>
      <w:r>
        <w:rPr>
          <w:rFonts w:hint="eastAsia" w:ascii="宋体" w:hAnsi="宋体" w:eastAsia="宋体" w:cs="宋体"/>
          <w:b/>
          <w:bCs/>
          <w:color w:val="auto"/>
          <w:spacing w:val="-3"/>
          <w:sz w:val="28"/>
          <w:szCs w:val="28"/>
          <w:highlight w:val="none"/>
        </w:rPr>
        <w:t>(五) 投标人的信誉情况</w:t>
      </w:r>
      <w:bookmarkEnd w:id="758"/>
    </w:p>
    <w:p>
      <w:pPr>
        <w:spacing w:line="171" w:lineRule="exact"/>
        <w:rPr>
          <w:color w:val="auto"/>
          <w:highlight w:val="none"/>
        </w:rPr>
      </w:pPr>
    </w:p>
    <w:tbl>
      <w:tblPr>
        <w:tblStyle w:val="26"/>
        <w:tblW w:w="918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38"/>
        <w:gridCol w:w="464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4538" w:type="dxa"/>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32" w:line="400" w:lineRule="exact"/>
              <w:ind w:left="2057"/>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项目</w:t>
            </w:r>
          </w:p>
        </w:tc>
        <w:tc>
          <w:tcPr>
            <w:tcW w:w="4645" w:type="dxa"/>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32" w:line="400" w:lineRule="exact"/>
              <w:ind w:left="1592"/>
              <w:textAlignment w:val="baseline"/>
              <w:rPr>
                <w:rFonts w:ascii="宋体" w:hAnsi="宋体" w:eastAsia="宋体" w:cs="宋体"/>
                <w:color w:val="auto"/>
                <w:spacing w:val="0"/>
                <w:sz w:val="21"/>
                <w:szCs w:val="21"/>
                <w:highlight w:val="none"/>
              </w:rPr>
            </w:pPr>
            <w:r>
              <w:rPr>
                <w:rFonts w:ascii="宋体" w:hAnsi="宋体" w:eastAsia="宋体" w:cs="宋体"/>
                <w:color w:val="auto"/>
                <w:spacing w:val="0"/>
                <w:sz w:val="21"/>
                <w:szCs w:val="21"/>
                <w:highlight w:val="none"/>
              </w:rPr>
              <w:t>投标人情况说明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4538" w:type="dxa"/>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c>
          <w:tcPr>
            <w:tcW w:w="4645" w:type="dxa"/>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4538" w:type="dxa"/>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c>
          <w:tcPr>
            <w:tcW w:w="4645" w:type="dxa"/>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538" w:type="dxa"/>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c>
          <w:tcPr>
            <w:tcW w:w="4645" w:type="dxa"/>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4538" w:type="dxa"/>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c>
          <w:tcPr>
            <w:tcW w:w="4645" w:type="dxa"/>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4538" w:type="dxa"/>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c>
          <w:tcPr>
            <w:tcW w:w="4645" w:type="dxa"/>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4538" w:type="dxa"/>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c>
          <w:tcPr>
            <w:tcW w:w="4645" w:type="dxa"/>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538" w:type="dxa"/>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c>
          <w:tcPr>
            <w:tcW w:w="4645" w:type="dxa"/>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538" w:type="dxa"/>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c>
          <w:tcPr>
            <w:tcW w:w="4645" w:type="dxa"/>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4538" w:type="dxa"/>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c>
          <w:tcPr>
            <w:tcW w:w="4645" w:type="dxa"/>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4538" w:type="dxa"/>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c>
          <w:tcPr>
            <w:tcW w:w="4645" w:type="dxa"/>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4538" w:type="dxa"/>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c>
          <w:tcPr>
            <w:tcW w:w="4645" w:type="dxa"/>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538" w:type="dxa"/>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c>
          <w:tcPr>
            <w:tcW w:w="4645" w:type="dxa"/>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4538" w:type="dxa"/>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c>
          <w:tcPr>
            <w:tcW w:w="4645" w:type="dxa"/>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tc>
      </w:tr>
    </w:tbl>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pacing w:val="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5"/>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注：1.投标人应按照招标文件第二章“投标人须知”前附表附录 4 和“投标人须知”正文第 1.4.4  项规定，逐条说明其信誉情况。</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9" w:line="400" w:lineRule="exact"/>
        <w:ind w:right="489" w:rightChars="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val="en-US" w:eastAsia="zh-CN"/>
        </w:rPr>
        <w:t xml:space="preserve">   2.</w:t>
      </w:r>
      <w:r>
        <w:rPr>
          <w:rFonts w:hint="eastAsia" w:ascii="宋体" w:hAnsi="宋体" w:eastAsia="宋体" w:cs="宋体"/>
          <w:color w:val="auto"/>
          <w:spacing w:val="0"/>
          <w:sz w:val="21"/>
          <w:szCs w:val="21"/>
          <w:highlight w:val="none"/>
        </w:rPr>
        <w:t xml:space="preserve">投标人应根据招标文件第二章“投标人须知”第 3.5.4  项的要求在本表后附相关证明材料。 </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9" w:line="400" w:lineRule="exact"/>
        <w:ind w:right="489" w:rightChars="0"/>
        <w:textAlignment w:val="baseline"/>
        <w:rPr>
          <w:rFonts w:hint="eastAsia" w:ascii="宋体" w:hAnsi="宋体" w:eastAsia="宋体" w:cs="宋体"/>
          <w:color w:val="auto"/>
          <w:spacing w:val="0"/>
          <w:sz w:val="22"/>
          <w:szCs w:val="22"/>
          <w:highlight w:val="none"/>
        </w:rPr>
        <w:sectPr>
          <w:pgSz w:w="11900" w:h="16840"/>
          <w:pgMar w:top="1160" w:right="1342" w:bottom="1448" w:left="1348" w:header="883" w:footer="1234" w:gutter="0"/>
          <w:pgNumType w:fmt="decimal"/>
          <w:cols w:space="720" w:num="1"/>
        </w:sectPr>
      </w:pPr>
      <w:r>
        <w:rPr>
          <w:rFonts w:hint="eastAsia" w:ascii="宋体" w:hAnsi="宋体" w:eastAsia="宋体" w:cs="宋体"/>
          <w:color w:val="auto"/>
          <w:spacing w:val="0"/>
          <w:sz w:val="21"/>
          <w:szCs w:val="21"/>
          <w:highlight w:val="none"/>
          <w:lang w:val="en-US" w:eastAsia="zh-CN"/>
        </w:rPr>
        <w:t xml:space="preserve">  </w:t>
      </w:r>
      <w:r>
        <w:rPr>
          <w:rFonts w:hint="eastAsia" w:ascii="宋体" w:hAnsi="宋体" w:eastAsia="宋体" w:cs="宋体"/>
          <w:color w:val="auto"/>
          <w:spacing w:val="0"/>
          <w:sz w:val="21"/>
          <w:szCs w:val="21"/>
          <w:highlight w:val="none"/>
        </w:rPr>
        <w:t>3.以联合体形式参与投标的，联合体各成员应分别填写。</w:t>
      </w:r>
    </w:p>
    <w:p>
      <w:pPr>
        <w:spacing w:before="117" w:line="222" w:lineRule="auto"/>
        <w:jc w:val="center"/>
        <w:outlineLvl w:val="2"/>
        <w:rPr>
          <w:rFonts w:hint="eastAsia" w:ascii="宋体" w:hAnsi="宋体" w:eastAsia="宋体" w:cs="宋体"/>
          <w:b/>
          <w:bCs/>
          <w:color w:val="auto"/>
          <w:spacing w:val="-3"/>
          <w:sz w:val="28"/>
          <w:szCs w:val="28"/>
          <w:highlight w:val="none"/>
        </w:rPr>
      </w:pPr>
      <w:bookmarkStart w:id="759" w:name="_Toc28674"/>
      <w:r>
        <w:rPr>
          <w:rFonts w:hint="eastAsia" w:ascii="宋体" w:hAnsi="宋体" w:eastAsia="宋体" w:cs="宋体"/>
          <w:b/>
          <w:bCs/>
          <w:color w:val="auto"/>
          <w:spacing w:val="-3"/>
          <w:sz w:val="28"/>
          <w:szCs w:val="28"/>
          <w:highlight w:val="none"/>
        </w:rPr>
        <w:t>(六) 拟委任的项目经理、项目技术负责人和安全负责人资历表</w:t>
      </w:r>
      <w:bookmarkEnd w:id="759"/>
    </w:p>
    <w:p>
      <w:pPr>
        <w:rPr>
          <w:color w:val="auto"/>
          <w:highlight w:val="none"/>
        </w:rPr>
      </w:pPr>
    </w:p>
    <w:p>
      <w:pPr>
        <w:rPr>
          <w:color w:val="auto"/>
          <w:highlight w:val="none"/>
        </w:rPr>
      </w:pPr>
    </w:p>
    <w:p>
      <w:pPr>
        <w:spacing w:line="55" w:lineRule="exact"/>
        <w:rPr>
          <w:color w:val="auto"/>
          <w:highlight w:val="none"/>
        </w:rPr>
      </w:pPr>
    </w:p>
    <w:tbl>
      <w:tblPr>
        <w:tblStyle w:val="26"/>
        <w:tblW w:w="918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74"/>
        <w:gridCol w:w="1350"/>
        <w:gridCol w:w="206"/>
        <w:gridCol w:w="1168"/>
        <w:gridCol w:w="1362"/>
        <w:gridCol w:w="478"/>
        <w:gridCol w:w="1450"/>
        <w:gridCol w:w="165"/>
        <w:gridCol w:w="163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1374"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37" w:line="400" w:lineRule="exact"/>
              <w:ind w:left="362"/>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姓  名</w:t>
            </w:r>
          </w:p>
        </w:tc>
        <w:tc>
          <w:tcPr>
            <w:tcW w:w="1556" w:type="dxa"/>
            <w:gridSpan w:val="2"/>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c>
          <w:tcPr>
            <w:tcW w:w="1168"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36" w:line="400" w:lineRule="exact"/>
              <w:ind w:left="267"/>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年  龄</w:t>
            </w:r>
          </w:p>
        </w:tc>
        <w:tc>
          <w:tcPr>
            <w:tcW w:w="136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c>
          <w:tcPr>
            <w:tcW w:w="1928" w:type="dxa"/>
            <w:gridSpan w:val="2"/>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37" w:line="400" w:lineRule="exact"/>
              <w:ind w:left="65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专  业</w:t>
            </w:r>
          </w:p>
        </w:tc>
        <w:tc>
          <w:tcPr>
            <w:tcW w:w="1795" w:type="dxa"/>
            <w:gridSpan w:val="2"/>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 w:hRule="atLeast"/>
        </w:trPr>
        <w:tc>
          <w:tcPr>
            <w:tcW w:w="1374"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236" w:line="400" w:lineRule="exact"/>
              <w:ind w:left="257"/>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技术职称</w:t>
            </w:r>
          </w:p>
        </w:tc>
        <w:tc>
          <w:tcPr>
            <w:tcW w:w="1556" w:type="dxa"/>
            <w:gridSpan w:val="2"/>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c>
          <w:tcPr>
            <w:tcW w:w="1168"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235" w:line="400" w:lineRule="exact"/>
              <w:ind w:left="37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学历</w:t>
            </w:r>
          </w:p>
        </w:tc>
        <w:tc>
          <w:tcPr>
            <w:tcW w:w="1362" w:type="dxa"/>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c>
          <w:tcPr>
            <w:tcW w:w="1928" w:type="dxa"/>
            <w:gridSpan w:val="2"/>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32" w:line="400" w:lineRule="exact"/>
              <w:ind w:left="44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拟在本标段工程担任职务</w:t>
            </w:r>
          </w:p>
        </w:tc>
        <w:tc>
          <w:tcPr>
            <w:tcW w:w="1795" w:type="dxa"/>
            <w:gridSpan w:val="2"/>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374"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67" w:line="400" w:lineRule="exact"/>
              <w:ind w:left="25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工作年限</w:t>
            </w:r>
          </w:p>
        </w:tc>
        <w:tc>
          <w:tcPr>
            <w:tcW w:w="4086" w:type="dxa"/>
            <w:gridSpan w:val="4"/>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c>
          <w:tcPr>
            <w:tcW w:w="1928" w:type="dxa"/>
            <w:gridSpan w:val="2"/>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67" w:line="400" w:lineRule="exact"/>
              <w:ind w:left="12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类似施工经验年限</w:t>
            </w:r>
          </w:p>
        </w:tc>
        <w:tc>
          <w:tcPr>
            <w:tcW w:w="1795" w:type="dxa"/>
            <w:gridSpan w:val="2"/>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1374"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17" w:line="400" w:lineRule="exact"/>
              <w:ind w:left="26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毕业学校</w:t>
            </w:r>
          </w:p>
        </w:tc>
        <w:tc>
          <w:tcPr>
            <w:tcW w:w="7809" w:type="dxa"/>
            <w:gridSpan w:val="8"/>
            <w:tcBorders>
              <w:left w:val="single" w:color="000000" w:sz="4" w:space="0"/>
              <w:right w:val="single" w:color="000000" w:sz="10" w:space="0"/>
            </w:tcBorders>
            <w:vAlign w:val="top"/>
          </w:tcPr>
          <w:p>
            <w:pPr>
              <w:keepNext w:val="0"/>
              <w:keepLines w:val="0"/>
              <w:pageBreakBefore w:val="0"/>
              <w:widowControl/>
              <w:tabs>
                <w:tab w:val="left" w:pos="730"/>
              </w:tabs>
              <w:kinsoku w:val="0"/>
              <w:wordWrap/>
              <w:overflowPunct/>
              <w:topLinePunct w:val="0"/>
              <w:autoSpaceDE w:val="0"/>
              <w:autoSpaceDN w:val="0"/>
              <w:bidi w:val="0"/>
              <w:adjustRightInd w:val="0"/>
              <w:snapToGrid w:val="0"/>
              <w:spacing w:before="117" w:line="400" w:lineRule="exact"/>
              <w:ind w:left="94"/>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u w:val="single" w:color="auto"/>
              </w:rPr>
              <w:tab/>
            </w:r>
            <w:r>
              <w:rPr>
                <w:rFonts w:hint="eastAsia" w:ascii="宋体" w:hAnsi="宋体" w:eastAsia="宋体" w:cs="宋体"/>
                <w:color w:val="auto"/>
                <w:spacing w:val="0"/>
                <w:position w:val="0"/>
                <w:sz w:val="21"/>
                <w:szCs w:val="21"/>
                <w:highlight w:val="none"/>
              </w:rPr>
              <w:t>年</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月毕业于</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学校</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专业，学制</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9183" w:type="dxa"/>
            <w:gridSpan w:val="9"/>
            <w:tcBorders>
              <w:left w:val="single" w:color="000000" w:sz="10"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17" w:line="400" w:lineRule="exact"/>
              <w:ind w:left="400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经       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 w:hRule="atLeast"/>
        </w:trPr>
        <w:tc>
          <w:tcPr>
            <w:tcW w:w="1374"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236" w:line="400" w:lineRule="exact"/>
              <w:ind w:left="477"/>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时间</w:t>
            </w:r>
          </w:p>
        </w:tc>
        <w:tc>
          <w:tcPr>
            <w:tcW w:w="4564" w:type="dxa"/>
            <w:gridSpan w:val="5"/>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237" w:line="400" w:lineRule="exact"/>
              <w:ind w:left="102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参加过的类似工程项目名称</w:t>
            </w:r>
          </w:p>
        </w:tc>
        <w:tc>
          <w:tcPr>
            <w:tcW w:w="1615" w:type="dxa"/>
            <w:gridSpan w:val="2"/>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237" w:line="400" w:lineRule="exact"/>
              <w:ind w:left="39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担任职务</w:t>
            </w:r>
          </w:p>
        </w:tc>
        <w:tc>
          <w:tcPr>
            <w:tcW w:w="1630"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33" w:line="400" w:lineRule="exact"/>
              <w:ind w:left="404"/>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发包人及联系电话</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374"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c>
          <w:tcPr>
            <w:tcW w:w="4564" w:type="dxa"/>
            <w:gridSpan w:val="5"/>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c>
          <w:tcPr>
            <w:tcW w:w="1615" w:type="dxa"/>
            <w:gridSpan w:val="2"/>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c>
          <w:tcPr>
            <w:tcW w:w="1630"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374"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c>
          <w:tcPr>
            <w:tcW w:w="4564" w:type="dxa"/>
            <w:gridSpan w:val="5"/>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c>
          <w:tcPr>
            <w:tcW w:w="1615" w:type="dxa"/>
            <w:gridSpan w:val="2"/>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c>
          <w:tcPr>
            <w:tcW w:w="1630"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374"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c>
          <w:tcPr>
            <w:tcW w:w="4564" w:type="dxa"/>
            <w:gridSpan w:val="5"/>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c>
          <w:tcPr>
            <w:tcW w:w="1615" w:type="dxa"/>
            <w:gridSpan w:val="2"/>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c>
          <w:tcPr>
            <w:tcW w:w="1630"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374"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c>
          <w:tcPr>
            <w:tcW w:w="4564" w:type="dxa"/>
            <w:gridSpan w:val="5"/>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c>
          <w:tcPr>
            <w:tcW w:w="1615" w:type="dxa"/>
            <w:gridSpan w:val="2"/>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c>
          <w:tcPr>
            <w:tcW w:w="1630"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374" w:type="dxa"/>
            <w:tcBorders>
              <w:left w:val="single" w:color="000000" w:sz="10"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c>
          <w:tcPr>
            <w:tcW w:w="4564" w:type="dxa"/>
            <w:gridSpan w:val="5"/>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c>
          <w:tcPr>
            <w:tcW w:w="1615" w:type="dxa"/>
            <w:gridSpan w:val="2"/>
            <w:tcBorders>
              <w:left w:val="single" w:color="000000" w:sz="4" w:space="0"/>
              <w:right w:val="single" w:color="000000" w:sz="4"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c>
          <w:tcPr>
            <w:tcW w:w="1630" w:type="dxa"/>
            <w:tcBorders>
              <w:left w:val="single" w:color="000000" w:sz="4" w:space="0"/>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2724" w:type="dxa"/>
            <w:gridSpan w:val="2"/>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90" w:line="400" w:lineRule="exact"/>
              <w:ind w:left="93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获奖情况</w:t>
            </w:r>
          </w:p>
        </w:tc>
        <w:tc>
          <w:tcPr>
            <w:tcW w:w="6459" w:type="dxa"/>
            <w:gridSpan w:val="7"/>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0" w:hRule="atLeast"/>
        </w:trPr>
        <w:tc>
          <w:tcPr>
            <w:tcW w:w="2724" w:type="dxa"/>
            <w:gridSpan w:val="2"/>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00" w:lineRule="exact"/>
              <w:ind w:left="727"/>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说明在岗情况</w:t>
            </w:r>
          </w:p>
        </w:tc>
        <w:tc>
          <w:tcPr>
            <w:tcW w:w="6459" w:type="dxa"/>
            <w:gridSpan w:val="7"/>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34" w:line="400" w:lineRule="exact"/>
              <w:ind w:left="12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目前未在其他项目上任职，现从事工作为：                。</w:t>
            </w:r>
          </w:p>
          <w:p>
            <w:pPr>
              <w:keepNext w:val="0"/>
              <w:keepLines w:val="0"/>
              <w:pageBreakBefore w:val="0"/>
              <w:widowControl/>
              <w:kinsoku w:val="0"/>
              <w:wordWrap/>
              <w:overflowPunct/>
              <w:topLinePunct w:val="0"/>
              <w:autoSpaceDE w:val="0"/>
              <w:autoSpaceDN w:val="0"/>
              <w:bidi w:val="0"/>
              <w:adjustRightInd w:val="0"/>
              <w:snapToGrid w:val="0"/>
              <w:spacing w:before="161" w:line="400" w:lineRule="exact"/>
              <w:ind w:left="111" w:right="98" w:firstLine="17"/>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目前虽在其他项目上任职，但本项目中标后能够从该项目撤离，目前任职项目：</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，担任职位：</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trPr>
        <w:tc>
          <w:tcPr>
            <w:tcW w:w="2724" w:type="dxa"/>
            <w:gridSpan w:val="2"/>
            <w:tcBorders>
              <w:lef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before="171" w:line="400" w:lineRule="exact"/>
              <w:ind w:left="936"/>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备    注</w:t>
            </w:r>
          </w:p>
        </w:tc>
        <w:tc>
          <w:tcPr>
            <w:tcW w:w="6459" w:type="dxa"/>
            <w:gridSpan w:val="7"/>
            <w:tcBorders>
              <w:right w:val="single" w:color="000000" w:sz="10" w:space="0"/>
            </w:tcBorders>
            <w:vAlign w:val="top"/>
          </w:tcPr>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auto"/>
                <w:spacing w:val="0"/>
                <w:position w:val="0"/>
                <w:sz w:val="21"/>
                <w:szCs w:val="21"/>
                <w:highlight w:val="none"/>
              </w:rPr>
            </w:pPr>
          </w:p>
        </w:tc>
      </w:tr>
    </w:tbl>
    <w:p>
      <w:pPr>
        <w:keepNext w:val="0"/>
        <w:keepLines w:val="0"/>
        <w:pageBreakBefore w:val="0"/>
        <w:widowControl/>
        <w:kinsoku w:val="0"/>
        <w:wordWrap/>
        <w:overflowPunct/>
        <w:topLinePunct w:val="0"/>
        <w:autoSpaceDE w:val="0"/>
        <w:autoSpaceDN w:val="0"/>
        <w:bidi w:val="0"/>
        <w:adjustRightInd w:val="0"/>
        <w:snapToGrid w:val="0"/>
        <w:spacing w:before="31" w:line="400" w:lineRule="exact"/>
        <w:ind w:left="15"/>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注：1.本表应填写项目经理、项目技术负责人和安全负责人相关情况。</w:t>
      </w:r>
    </w:p>
    <w:p>
      <w:pPr>
        <w:keepNext w:val="0"/>
        <w:keepLines w:val="0"/>
        <w:pageBreakBefore w:val="0"/>
        <w:widowControl/>
        <w:kinsoku w:val="0"/>
        <w:wordWrap/>
        <w:overflowPunct/>
        <w:topLinePunct w:val="0"/>
        <w:autoSpaceDE w:val="0"/>
        <w:autoSpaceDN w:val="0"/>
        <w:bidi w:val="0"/>
        <w:adjustRightInd w:val="0"/>
        <w:snapToGrid w:val="0"/>
        <w:spacing w:before="31" w:line="400" w:lineRule="exact"/>
        <w:ind w:left="15"/>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2.投标人应根据招标文件第二章“投标人须知”第 3.5.5 项的要求在本表后附相关证明材料。</w:t>
      </w:r>
    </w:p>
    <w:p>
      <w:pPr>
        <w:keepNext w:val="0"/>
        <w:keepLines w:val="0"/>
        <w:pageBreakBefore w:val="0"/>
        <w:widowControl/>
        <w:kinsoku w:val="0"/>
        <w:wordWrap/>
        <w:overflowPunct/>
        <w:topLinePunct w:val="0"/>
        <w:autoSpaceDE w:val="0"/>
        <w:autoSpaceDN w:val="0"/>
        <w:bidi w:val="0"/>
        <w:adjustRightInd w:val="0"/>
        <w:snapToGrid w:val="0"/>
        <w:spacing w:before="160" w:line="400" w:lineRule="exact"/>
        <w:ind w:left="21" w:right="14" w:firstLine="418"/>
        <w:textAlignment w:val="baseline"/>
        <w:rPr>
          <w:rFonts w:hint="eastAsia" w:ascii="宋体" w:hAnsi="宋体" w:eastAsia="宋体" w:cs="宋体"/>
          <w:color w:val="auto"/>
          <w:sz w:val="22"/>
          <w:szCs w:val="22"/>
          <w:highlight w:val="none"/>
        </w:rPr>
      </w:pPr>
      <w:r>
        <w:rPr>
          <w:rFonts w:hint="eastAsia" w:ascii="宋体" w:hAnsi="宋体" w:eastAsia="宋体" w:cs="宋体"/>
          <w:color w:val="auto"/>
          <w:spacing w:val="0"/>
          <w:position w:val="0"/>
          <w:sz w:val="21"/>
          <w:szCs w:val="21"/>
          <w:highlight w:val="none"/>
        </w:rPr>
        <w:t>3.项目经理若曾在其他在建合同工程中担任项目经理但已进行更换的，应附项目发包人的同意更换证明材料，否则更换前后的项目经理均视为有“在建合同工程”</w:t>
      </w:r>
      <w:r>
        <w:rPr>
          <w:rFonts w:hint="eastAsia" w:ascii="宋体" w:hAnsi="宋体" w:eastAsia="宋体" w:cs="宋体"/>
          <w:color w:val="auto"/>
          <w:spacing w:val="6"/>
          <w:sz w:val="22"/>
          <w:szCs w:val="22"/>
          <w:highlight w:val="none"/>
        </w:rPr>
        <w:t>。</w:t>
      </w:r>
    </w:p>
    <w:p>
      <w:pPr>
        <w:rPr>
          <w:color w:val="auto"/>
          <w:highlight w:val="none"/>
        </w:rPr>
        <w:sectPr>
          <w:pgSz w:w="11900" w:h="16840"/>
          <w:pgMar w:top="1160" w:right="1342" w:bottom="1448" w:left="1348" w:header="883" w:footer="1234" w:gutter="0"/>
          <w:pgNumType w:fmt="decimal"/>
          <w:cols w:space="720" w:num="1"/>
        </w:sectPr>
      </w:pPr>
    </w:p>
    <w:p>
      <w:pPr>
        <w:spacing w:before="117" w:line="222" w:lineRule="auto"/>
        <w:jc w:val="center"/>
        <w:outlineLvl w:val="2"/>
        <w:rPr>
          <w:rFonts w:hint="default" w:ascii="宋体" w:hAnsi="宋体" w:eastAsia="宋体" w:cs="宋体"/>
          <w:b/>
          <w:bCs/>
          <w:color w:val="auto"/>
          <w:spacing w:val="-3"/>
          <w:sz w:val="28"/>
          <w:szCs w:val="28"/>
          <w:highlight w:val="none"/>
          <w:lang w:val="en-US" w:eastAsia="zh-CN"/>
        </w:rPr>
      </w:pPr>
      <w:bookmarkStart w:id="760" w:name="_Toc1413"/>
      <w:r>
        <w:rPr>
          <w:rFonts w:hint="eastAsia" w:ascii="宋体" w:hAnsi="宋体" w:eastAsia="宋体" w:cs="宋体"/>
          <w:b/>
          <w:bCs/>
          <w:color w:val="auto"/>
          <w:spacing w:val="-3"/>
          <w:sz w:val="28"/>
          <w:szCs w:val="28"/>
          <w:highlight w:val="none"/>
        </w:rPr>
        <w:t>(</w:t>
      </w:r>
      <w:r>
        <w:rPr>
          <w:rFonts w:hint="eastAsia" w:ascii="宋体" w:hAnsi="宋体" w:eastAsia="宋体" w:cs="宋体"/>
          <w:b/>
          <w:bCs/>
          <w:color w:val="auto"/>
          <w:spacing w:val="-3"/>
          <w:sz w:val="28"/>
          <w:szCs w:val="28"/>
          <w:highlight w:val="none"/>
          <w:lang w:val="en-US" w:eastAsia="zh-CN"/>
        </w:rPr>
        <w:t>七</w:t>
      </w:r>
      <w:r>
        <w:rPr>
          <w:rFonts w:hint="eastAsia" w:ascii="宋体" w:hAnsi="宋体" w:eastAsia="宋体" w:cs="宋体"/>
          <w:b/>
          <w:bCs/>
          <w:color w:val="auto"/>
          <w:spacing w:val="-3"/>
          <w:sz w:val="28"/>
          <w:szCs w:val="28"/>
          <w:highlight w:val="none"/>
        </w:rPr>
        <w:t xml:space="preserve">) </w:t>
      </w:r>
      <w:r>
        <w:rPr>
          <w:rFonts w:hint="eastAsia" w:ascii="宋体" w:hAnsi="宋体" w:eastAsia="宋体" w:cs="宋体"/>
          <w:b/>
          <w:bCs/>
          <w:color w:val="auto"/>
          <w:spacing w:val="-3"/>
          <w:sz w:val="28"/>
          <w:szCs w:val="28"/>
          <w:highlight w:val="none"/>
          <w:lang w:val="en-US" w:eastAsia="zh-CN"/>
        </w:rPr>
        <w:t>信用信息一览表</w:t>
      </w:r>
      <w:bookmarkEnd w:id="760"/>
    </w:p>
    <w:p>
      <w:pPr>
        <w:rPr>
          <w:color w:val="auto"/>
          <w:highlight w:val="none"/>
        </w:rPr>
      </w:pPr>
    </w:p>
    <w:p>
      <w:pPr>
        <w:spacing w:line="203" w:lineRule="exact"/>
        <w:rPr>
          <w:color w:val="auto"/>
          <w:highlight w:val="none"/>
        </w:rPr>
      </w:pPr>
    </w:p>
    <w:tbl>
      <w:tblPr>
        <w:tblStyle w:val="26"/>
        <w:tblW w:w="919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09"/>
        <w:gridCol w:w="1616"/>
        <w:gridCol w:w="1414"/>
        <w:gridCol w:w="1362"/>
        <w:gridCol w:w="1041"/>
        <w:gridCol w:w="195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1809" w:type="dxa"/>
            <w:tcBorders>
              <w:left w:val="single" w:color="000000" w:sz="10" w:space="0"/>
              <w:right w:val="single" w:color="000000" w:sz="4" w:space="0"/>
            </w:tcBorders>
            <w:vAlign w:val="top"/>
          </w:tcPr>
          <w:p>
            <w:pPr>
              <w:spacing w:before="228" w:line="229" w:lineRule="auto"/>
              <w:ind w:left="374"/>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投标人全称</w:t>
            </w:r>
          </w:p>
        </w:tc>
        <w:tc>
          <w:tcPr>
            <w:tcW w:w="7386" w:type="dxa"/>
            <w:gridSpan w:val="5"/>
            <w:tcBorders>
              <w:left w:val="single" w:color="000000" w:sz="4" w:space="0"/>
              <w:right w:val="single" w:color="000000" w:sz="10" w:space="0"/>
            </w:tcBorders>
            <w:vAlign w:val="top"/>
          </w:tcPr>
          <w:p>
            <w:pPr>
              <w:rPr>
                <w:rFonts w:hint="eastAsia" w:ascii="宋体" w:hAnsi="宋体" w:eastAsia="宋体" w:cs="宋体"/>
                <w:color w:val="auto"/>
                <w:spacing w:val="0"/>
                <w:position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809" w:type="dxa"/>
            <w:tcBorders>
              <w:left w:val="single" w:color="000000" w:sz="10" w:space="0"/>
              <w:right w:val="single" w:color="000000" w:sz="4" w:space="0"/>
            </w:tcBorders>
            <w:vAlign w:val="top"/>
          </w:tcPr>
          <w:p>
            <w:pPr>
              <w:spacing w:before="206" w:line="227" w:lineRule="auto"/>
              <w:ind w:left="269"/>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企业主项资质</w:t>
            </w:r>
          </w:p>
        </w:tc>
        <w:tc>
          <w:tcPr>
            <w:tcW w:w="7386" w:type="dxa"/>
            <w:gridSpan w:val="5"/>
            <w:tcBorders>
              <w:left w:val="single" w:color="000000" w:sz="4" w:space="0"/>
              <w:right w:val="single" w:color="000000" w:sz="10" w:space="0"/>
            </w:tcBorders>
            <w:vAlign w:val="top"/>
          </w:tcPr>
          <w:p>
            <w:pPr>
              <w:rPr>
                <w:rFonts w:hint="eastAsia" w:ascii="宋体" w:hAnsi="宋体" w:eastAsia="宋体" w:cs="宋体"/>
                <w:color w:val="auto"/>
                <w:spacing w:val="0"/>
                <w:position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4839" w:type="dxa"/>
            <w:gridSpan w:val="3"/>
            <w:tcBorders>
              <w:left w:val="single" w:color="000000" w:sz="10" w:space="0"/>
              <w:right w:val="single" w:color="000000"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38" w:lineRule="auto"/>
              <w:jc w:val="center"/>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浙江省交通运输厅投标截止日信用评价结果</w:t>
            </w:r>
          </w:p>
        </w:tc>
        <w:tc>
          <w:tcPr>
            <w:tcW w:w="4356" w:type="dxa"/>
            <w:gridSpan w:val="3"/>
            <w:tcBorders>
              <w:left w:val="single" w:color="000000" w:sz="4" w:space="0"/>
              <w:right w:val="single" w:color="000000" w:sz="10" w:space="0"/>
            </w:tcBorders>
            <w:vAlign w:val="top"/>
          </w:tcPr>
          <w:p>
            <w:pPr>
              <w:spacing w:before="32" w:line="228" w:lineRule="auto"/>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应附从浙江省交通运输信用综合管理服务系统中打印的含系统水印的信用评价结果，未按要求附打印件的，视为无信用评价结果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1" w:hRule="atLeast"/>
        </w:trPr>
        <w:tc>
          <w:tcPr>
            <w:tcW w:w="4839" w:type="dxa"/>
            <w:gridSpan w:val="3"/>
            <w:tcBorders>
              <w:left w:val="single" w:color="000000" w:sz="10" w:space="0"/>
              <w:right w:val="single" w:color="000000" w:sz="4" w:space="0"/>
            </w:tcBorders>
            <w:vAlign w:val="top"/>
          </w:tcPr>
          <w:p>
            <w:pPr>
              <w:spacing w:line="373" w:lineRule="auto"/>
              <w:rPr>
                <w:rFonts w:hint="eastAsia" w:ascii="宋体" w:hAnsi="宋体" w:eastAsia="宋体" w:cs="宋体"/>
                <w:color w:val="auto"/>
                <w:spacing w:val="0"/>
                <w:position w:val="0"/>
                <w:sz w:val="21"/>
                <w:szCs w:val="21"/>
                <w:highlight w:val="none"/>
              </w:rPr>
            </w:pPr>
          </w:p>
          <w:p>
            <w:pPr>
              <w:spacing w:before="65" w:line="228" w:lineRule="auto"/>
              <w:ind w:left="842"/>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投标人是否选择使用信用等级加分</w:t>
            </w:r>
          </w:p>
        </w:tc>
        <w:tc>
          <w:tcPr>
            <w:tcW w:w="4356" w:type="dxa"/>
            <w:gridSpan w:val="3"/>
            <w:tcBorders>
              <w:left w:val="single" w:color="000000" w:sz="4" w:space="0"/>
              <w:right w:val="single" w:color="000000" w:sz="10" w:space="0"/>
            </w:tcBorders>
            <w:vAlign w:val="top"/>
          </w:tcPr>
          <w:p>
            <w:pPr>
              <w:spacing w:before="32" w:line="226" w:lineRule="auto"/>
              <w:ind w:left="120"/>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(填是或否，若填“是” ，应附从浙江省交通运输信用综合管理服务系统中打印的含系统水印的《信用评价结果使用承诺书》，未按要求附打印件的，视为未选择使用信用等级加分)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4839" w:type="dxa"/>
            <w:gridSpan w:val="3"/>
            <w:tcBorders>
              <w:left w:val="single" w:color="000000" w:sz="10" w:space="0"/>
              <w:right w:val="single" w:color="000000" w:sz="4" w:space="0"/>
            </w:tcBorders>
            <w:vAlign w:val="top"/>
          </w:tcPr>
          <w:p>
            <w:pPr>
              <w:spacing w:before="71" w:line="259" w:lineRule="auto"/>
              <w:ind w:left="1998" w:right="108" w:hanging="1893"/>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投标人是否在浙江省交通运输信用综合管理服务系统中公开</w:t>
            </w:r>
          </w:p>
        </w:tc>
        <w:tc>
          <w:tcPr>
            <w:tcW w:w="4356" w:type="dxa"/>
            <w:gridSpan w:val="3"/>
            <w:tcBorders>
              <w:left w:val="single" w:color="000000" w:sz="4" w:space="0"/>
              <w:right w:val="single" w:color="000000" w:sz="10" w:space="0"/>
            </w:tcBorders>
            <w:vAlign w:val="top"/>
          </w:tcPr>
          <w:p>
            <w:pPr>
              <w:spacing w:before="205" w:line="226" w:lineRule="auto"/>
              <w:ind w:left="1557"/>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(填是或否)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9195" w:type="dxa"/>
            <w:gridSpan w:val="6"/>
            <w:tcBorders>
              <w:left w:val="single" w:color="000000" w:sz="10" w:space="0"/>
              <w:right w:val="single" w:color="000000" w:sz="10" w:space="0"/>
            </w:tcBorders>
            <w:vAlign w:val="top"/>
          </w:tcPr>
          <w:p>
            <w:pPr>
              <w:spacing w:before="161" w:line="228" w:lineRule="auto"/>
              <w:ind w:left="810"/>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在浙江省交通运输信用综合管理服务系统中，投标人拟委任主要人员信息公开情况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8" w:hRule="atLeast"/>
        </w:trPr>
        <w:tc>
          <w:tcPr>
            <w:tcW w:w="3425" w:type="dxa"/>
            <w:gridSpan w:val="2"/>
            <w:tcBorders>
              <w:left w:val="single" w:color="000000" w:sz="10" w:space="0"/>
              <w:right w:val="single" w:color="000000" w:sz="4" w:space="0"/>
            </w:tcBorders>
            <w:vAlign w:val="top"/>
          </w:tcPr>
          <w:p>
            <w:pPr>
              <w:spacing w:line="373" w:lineRule="auto"/>
              <w:rPr>
                <w:rFonts w:hint="eastAsia" w:ascii="宋体" w:hAnsi="宋体" w:eastAsia="宋体" w:cs="宋体"/>
                <w:color w:val="auto"/>
                <w:spacing w:val="0"/>
                <w:position w:val="0"/>
                <w:sz w:val="21"/>
                <w:szCs w:val="21"/>
                <w:highlight w:val="none"/>
              </w:rPr>
            </w:pPr>
          </w:p>
          <w:p>
            <w:pPr>
              <w:spacing w:before="65" w:line="230" w:lineRule="auto"/>
              <w:ind w:left="1496"/>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人员</w:t>
            </w:r>
          </w:p>
        </w:tc>
        <w:tc>
          <w:tcPr>
            <w:tcW w:w="1414" w:type="dxa"/>
            <w:tcBorders>
              <w:left w:val="single" w:color="000000" w:sz="4" w:space="0"/>
              <w:right w:val="single" w:color="000000" w:sz="4" w:space="0"/>
            </w:tcBorders>
            <w:vAlign w:val="top"/>
          </w:tcPr>
          <w:p>
            <w:pPr>
              <w:spacing w:line="374" w:lineRule="auto"/>
              <w:rPr>
                <w:rFonts w:hint="eastAsia" w:ascii="宋体" w:hAnsi="宋体" w:eastAsia="宋体" w:cs="宋体"/>
                <w:color w:val="auto"/>
                <w:spacing w:val="0"/>
                <w:position w:val="0"/>
                <w:sz w:val="21"/>
                <w:szCs w:val="21"/>
                <w:highlight w:val="none"/>
              </w:rPr>
            </w:pPr>
          </w:p>
          <w:p>
            <w:pPr>
              <w:spacing w:before="65" w:line="228" w:lineRule="auto"/>
              <w:ind w:left="496"/>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姓名</w:t>
            </w:r>
          </w:p>
        </w:tc>
        <w:tc>
          <w:tcPr>
            <w:tcW w:w="1362" w:type="dxa"/>
            <w:tcBorders>
              <w:left w:val="single" w:color="000000" w:sz="4" w:space="0"/>
            </w:tcBorders>
            <w:vAlign w:val="top"/>
          </w:tcPr>
          <w:p>
            <w:pPr>
              <w:spacing w:before="34" w:line="251" w:lineRule="auto"/>
              <w:ind w:left="163" w:right="153"/>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是否在信息系统中公开(填是或否)</w:t>
            </w:r>
          </w:p>
        </w:tc>
        <w:tc>
          <w:tcPr>
            <w:tcW w:w="1041" w:type="dxa"/>
            <w:tcBorders>
              <w:right w:val="single" w:color="000000" w:sz="4" w:space="0"/>
            </w:tcBorders>
            <w:vAlign w:val="top"/>
          </w:tcPr>
          <w:p>
            <w:pPr>
              <w:rPr>
                <w:rFonts w:hint="eastAsia" w:ascii="宋体" w:hAnsi="宋体" w:eastAsia="宋体" w:cs="宋体"/>
                <w:color w:val="auto"/>
                <w:spacing w:val="0"/>
                <w:position w:val="0"/>
                <w:sz w:val="21"/>
                <w:szCs w:val="21"/>
                <w:highlight w:val="none"/>
              </w:rPr>
            </w:pPr>
          </w:p>
          <w:p>
            <w:pPr>
              <w:spacing w:before="65" w:line="235" w:lineRule="auto"/>
              <w:jc w:val="center"/>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信用等级</w:t>
            </w:r>
          </w:p>
        </w:tc>
        <w:tc>
          <w:tcPr>
            <w:tcW w:w="1953" w:type="dxa"/>
            <w:tcBorders>
              <w:left w:val="single" w:color="000000" w:sz="4" w:space="0"/>
              <w:right w:val="single" w:color="000000" w:sz="10" w:space="0"/>
            </w:tcBorders>
            <w:vAlign w:val="top"/>
          </w:tcPr>
          <w:p>
            <w:pPr>
              <w:spacing w:line="373" w:lineRule="auto"/>
              <w:rPr>
                <w:rFonts w:hint="eastAsia" w:ascii="宋体" w:hAnsi="宋体" w:eastAsia="宋体" w:cs="宋体"/>
                <w:color w:val="auto"/>
                <w:spacing w:val="0"/>
                <w:position w:val="0"/>
                <w:sz w:val="21"/>
                <w:szCs w:val="21"/>
                <w:highlight w:val="none"/>
              </w:rPr>
            </w:pPr>
          </w:p>
          <w:p>
            <w:pPr>
              <w:spacing w:before="65" w:line="230" w:lineRule="auto"/>
              <w:ind w:left="774"/>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9" w:hRule="atLeast"/>
        </w:trPr>
        <w:tc>
          <w:tcPr>
            <w:tcW w:w="3425" w:type="dxa"/>
            <w:gridSpan w:val="2"/>
            <w:tcBorders>
              <w:left w:val="single" w:color="000000" w:sz="10" w:space="0"/>
              <w:right w:val="single" w:color="000000" w:sz="4" w:space="0"/>
            </w:tcBorders>
            <w:vAlign w:val="center"/>
          </w:tcPr>
          <w:p>
            <w:pPr>
              <w:spacing w:before="92" w:line="228" w:lineRule="auto"/>
              <w:jc w:val="both"/>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项目经理</w:t>
            </w:r>
          </w:p>
          <w:p>
            <w:pPr>
              <w:spacing w:before="92" w:line="228" w:lineRule="auto"/>
              <w:jc w:val="both"/>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(____专业___级建造师注册证书(含临时执业证书)信息、职称证信息、安全生产考核合格证书(B类) 信息)</w:t>
            </w:r>
          </w:p>
        </w:tc>
        <w:tc>
          <w:tcPr>
            <w:tcW w:w="1414" w:type="dxa"/>
            <w:tcBorders>
              <w:left w:val="single" w:color="000000" w:sz="4" w:space="0"/>
              <w:right w:val="single" w:color="000000" w:sz="4" w:space="0"/>
            </w:tcBorders>
            <w:vAlign w:val="top"/>
          </w:tcPr>
          <w:p>
            <w:pPr>
              <w:rPr>
                <w:rFonts w:hint="eastAsia" w:ascii="宋体" w:hAnsi="宋体" w:eastAsia="宋体" w:cs="宋体"/>
                <w:color w:val="auto"/>
                <w:spacing w:val="0"/>
                <w:position w:val="0"/>
                <w:sz w:val="21"/>
                <w:szCs w:val="21"/>
                <w:highlight w:val="none"/>
              </w:rPr>
            </w:pPr>
          </w:p>
        </w:tc>
        <w:tc>
          <w:tcPr>
            <w:tcW w:w="1362" w:type="dxa"/>
            <w:tcBorders>
              <w:left w:val="single" w:color="000000" w:sz="4" w:space="0"/>
            </w:tcBorders>
            <w:vAlign w:val="top"/>
          </w:tcPr>
          <w:p>
            <w:pPr>
              <w:rPr>
                <w:rFonts w:hint="eastAsia" w:ascii="宋体" w:hAnsi="宋体" w:eastAsia="宋体" w:cs="宋体"/>
                <w:color w:val="auto"/>
                <w:spacing w:val="0"/>
                <w:position w:val="0"/>
                <w:sz w:val="21"/>
                <w:szCs w:val="21"/>
                <w:highlight w:val="none"/>
              </w:rPr>
            </w:pPr>
          </w:p>
        </w:tc>
        <w:tc>
          <w:tcPr>
            <w:tcW w:w="1041" w:type="dxa"/>
            <w:tcBorders>
              <w:right w:val="single" w:color="000000" w:sz="4" w:space="0"/>
            </w:tcBorders>
            <w:vAlign w:val="top"/>
          </w:tcPr>
          <w:p>
            <w:pPr>
              <w:rPr>
                <w:rFonts w:hint="eastAsia" w:ascii="宋体" w:hAnsi="宋体" w:eastAsia="宋体" w:cs="宋体"/>
                <w:color w:val="auto"/>
                <w:spacing w:val="0"/>
                <w:position w:val="0"/>
                <w:sz w:val="21"/>
                <w:szCs w:val="21"/>
                <w:highlight w:val="none"/>
              </w:rPr>
            </w:pPr>
          </w:p>
        </w:tc>
        <w:tc>
          <w:tcPr>
            <w:tcW w:w="1953" w:type="dxa"/>
            <w:vMerge w:val="restart"/>
            <w:tcBorders>
              <w:left w:val="single" w:color="000000" w:sz="4" w:space="0"/>
              <w:bottom w:val="nil"/>
              <w:right w:val="single" w:color="000000" w:sz="10" w:space="0"/>
            </w:tcBorders>
            <w:vAlign w:val="top"/>
          </w:tcPr>
          <w:p>
            <w:pPr>
              <w:spacing w:line="241" w:lineRule="auto"/>
              <w:rPr>
                <w:rFonts w:hint="eastAsia" w:ascii="宋体" w:hAnsi="宋体" w:eastAsia="宋体" w:cs="宋体"/>
                <w:color w:val="auto"/>
                <w:spacing w:val="0"/>
                <w:position w:val="0"/>
                <w:sz w:val="21"/>
                <w:szCs w:val="21"/>
                <w:highlight w:val="none"/>
              </w:rPr>
            </w:pPr>
          </w:p>
          <w:p>
            <w:pPr>
              <w:spacing w:line="241" w:lineRule="auto"/>
              <w:rPr>
                <w:rFonts w:hint="eastAsia" w:ascii="宋体" w:hAnsi="宋体" w:eastAsia="宋体" w:cs="宋体"/>
                <w:color w:val="auto"/>
                <w:spacing w:val="0"/>
                <w:position w:val="0"/>
                <w:sz w:val="21"/>
                <w:szCs w:val="21"/>
                <w:highlight w:val="none"/>
              </w:rPr>
            </w:pPr>
          </w:p>
          <w:p>
            <w:pPr>
              <w:spacing w:line="242" w:lineRule="auto"/>
              <w:rPr>
                <w:rFonts w:hint="eastAsia" w:ascii="宋体" w:hAnsi="宋体" w:eastAsia="宋体" w:cs="宋体"/>
                <w:color w:val="auto"/>
                <w:spacing w:val="0"/>
                <w:position w:val="0"/>
                <w:sz w:val="21"/>
                <w:szCs w:val="21"/>
                <w:highlight w:val="none"/>
              </w:rPr>
            </w:pPr>
          </w:p>
          <w:p>
            <w:pPr>
              <w:spacing w:before="65" w:line="256" w:lineRule="auto"/>
              <w:ind w:left="115" w:right="101" w:firstLine="1"/>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本表后附带有系统 水印的 《主要人员信息一览表》打印件，未按要求填写或未附打印件的，相关内容视为未公开。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 w:hRule="atLeast"/>
        </w:trPr>
        <w:tc>
          <w:tcPr>
            <w:tcW w:w="3425" w:type="dxa"/>
            <w:gridSpan w:val="2"/>
            <w:tcBorders>
              <w:left w:val="single" w:color="000000" w:sz="10" w:space="0"/>
              <w:right w:val="single" w:color="000000" w:sz="4" w:space="0"/>
            </w:tcBorders>
            <w:vAlign w:val="center"/>
          </w:tcPr>
          <w:p>
            <w:pPr>
              <w:spacing w:before="35" w:line="226" w:lineRule="auto"/>
              <w:jc w:val="both"/>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项目技术负责人</w:t>
            </w:r>
          </w:p>
          <w:p>
            <w:pPr>
              <w:spacing w:before="26" w:line="239" w:lineRule="auto"/>
              <w:ind w:right="137"/>
              <w:jc w:val="both"/>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(职称证信息、安全生产考核合格 证书 (B 类) 信息)</w:t>
            </w:r>
          </w:p>
        </w:tc>
        <w:tc>
          <w:tcPr>
            <w:tcW w:w="1414" w:type="dxa"/>
            <w:tcBorders>
              <w:left w:val="single" w:color="000000" w:sz="4" w:space="0"/>
              <w:right w:val="single" w:color="000000" w:sz="4" w:space="0"/>
            </w:tcBorders>
            <w:vAlign w:val="top"/>
          </w:tcPr>
          <w:p>
            <w:pPr>
              <w:rPr>
                <w:rFonts w:hint="eastAsia" w:ascii="宋体" w:hAnsi="宋体" w:eastAsia="宋体" w:cs="宋体"/>
                <w:color w:val="auto"/>
                <w:spacing w:val="0"/>
                <w:position w:val="0"/>
                <w:sz w:val="21"/>
                <w:szCs w:val="21"/>
                <w:highlight w:val="none"/>
              </w:rPr>
            </w:pPr>
          </w:p>
        </w:tc>
        <w:tc>
          <w:tcPr>
            <w:tcW w:w="1362" w:type="dxa"/>
            <w:tcBorders>
              <w:left w:val="single" w:color="000000" w:sz="4" w:space="0"/>
            </w:tcBorders>
            <w:vAlign w:val="top"/>
          </w:tcPr>
          <w:p>
            <w:pPr>
              <w:rPr>
                <w:rFonts w:hint="eastAsia" w:ascii="宋体" w:hAnsi="宋体" w:eastAsia="宋体" w:cs="宋体"/>
                <w:color w:val="auto"/>
                <w:spacing w:val="0"/>
                <w:position w:val="0"/>
                <w:sz w:val="21"/>
                <w:szCs w:val="21"/>
                <w:highlight w:val="none"/>
              </w:rPr>
            </w:pPr>
          </w:p>
        </w:tc>
        <w:tc>
          <w:tcPr>
            <w:tcW w:w="1041" w:type="dxa"/>
            <w:tcBorders>
              <w:right w:val="single" w:color="000000" w:sz="4" w:space="0"/>
            </w:tcBorders>
            <w:vAlign w:val="top"/>
          </w:tcPr>
          <w:p>
            <w:pPr>
              <w:rPr>
                <w:rFonts w:hint="eastAsia" w:ascii="宋体" w:hAnsi="宋体" w:eastAsia="宋体" w:cs="宋体"/>
                <w:color w:val="auto"/>
                <w:spacing w:val="0"/>
                <w:position w:val="0"/>
                <w:sz w:val="21"/>
                <w:szCs w:val="21"/>
                <w:highlight w:val="none"/>
              </w:rPr>
            </w:pPr>
          </w:p>
        </w:tc>
        <w:tc>
          <w:tcPr>
            <w:tcW w:w="1953" w:type="dxa"/>
            <w:vMerge w:val="continue"/>
            <w:tcBorders>
              <w:top w:val="nil"/>
              <w:left w:val="single" w:color="000000" w:sz="4" w:space="0"/>
              <w:bottom w:val="nil"/>
              <w:right w:val="single" w:color="000000" w:sz="10" w:space="0"/>
            </w:tcBorders>
            <w:vAlign w:val="top"/>
          </w:tcPr>
          <w:p>
            <w:pPr>
              <w:rPr>
                <w:rFonts w:hint="eastAsia" w:ascii="宋体" w:hAnsi="宋体" w:eastAsia="宋体" w:cs="宋体"/>
                <w:color w:val="auto"/>
                <w:spacing w:val="0"/>
                <w:position w:val="0"/>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4" w:hRule="atLeast"/>
        </w:trPr>
        <w:tc>
          <w:tcPr>
            <w:tcW w:w="3425" w:type="dxa"/>
            <w:gridSpan w:val="2"/>
            <w:tcBorders>
              <w:left w:val="single" w:color="000000" w:sz="10" w:space="0"/>
              <w:right w:val="single" w:color="000000" w:sz="4" w:space="0"/>
            </w:tcBorders>
            <w:vAlign w:val="center"/>
          </w:tcPr>
          <w:p>
            <w:pPr>
              <w:spacing w:before="177" w:line="226" w:lineRule="auto"/>
              <w:jc w:val="both"/>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安全负责人</w:t>
            </w:r>
          </w:p>
          <w:p>
            <w:pPr>
              <w:spacing w:before="26" w:line="267" w:lineRule="auto"/>
              <w:ind w:right="165"/>
              <w:jc w:val="both"/>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(安全生产考核合格证书 (C 类) 信息)</w:t>
            </w:r>
          </w:p>
        </w:tc>
        <w:tc>
          <w:tcPr>
            <w:tcW w:w="1414" w:type="dxa"/>
            <w:tcBorders>
              <w:left w:val="single" w:color="000000" w:sz="4" w:space="0"/>
              <w:right w:val="single" w:color="000000" w:sz="4" w:space="0"/>
            </w:tcBorders>
            <w:vAlign w:val="top"/>
          </w:tcPr>
          <w:p>
            <w:pPr>
              <w:rPr>
                <w:rFonts w:hint="eastAsia" w:ascii="宋体" w:hAnsi="宋体" w:eastAsia="宋体" w:cs="宋体"/>
                <w:color w:val="auto"/>
                <w:spacing w:val="0"/>
                <w:position w:val="0"/>
                <w:sz w:val="21"/>
                <w:szCs w:val="21"/>
                <w:highlight w:val="none"/>
              </w:rPr>
            </w:pPr>
          </w:p>
        </w:tc>
        <w:tc>
          <w:tcPr>
            <w:tcW w:w="1362" w:type="dxa"/>
            <w:tcBorders>
              <w:left w:val="single" w:color="000000" w:sz="4" w:space="0"/>
            </w:tcBorders>
            <w:vAlign w:val="top"/>
          </w:tcPr>
          <w:p>
            <w:pPr>
              <w:rPr>
                <w:rFonts w:hint="eastAsia" w:ascii="宋体" w:hAnsi="宋体" w:eastAsia="宋体" w:cs="宋体"/>
                <w:color w:val="auto"/>
                <w:spacing w:val="0"/>
                <w:position w:val="0"/>
                <w:sz w:val="21"/>
                <w:szCs w:val="21"/>
                <w:highlight w:val="none"/>
              </w:rPr>
            </w:pPr>
          </w:p>
        </w:tc>
        <w:tc>
          <w:tcPr>
            <w:tcW w:w="1041" w:type="dxa"/>
            <w:tcBorders>
              <w:right w:val="single" w:color="000000" w:sz="4" w:space="0"/>
            </w:tcBorders>
            <w:vAlign w:val="top"/>
          </w:tcPr>
          <w:p>
            <w:pPr>
              <w:rPr>
                <w:rFonts w:hint="eastAsia" w:ascii="宋体" w:hAnsi="宋体" w:eastAsia="宋体" w:cs="宋体"/>
                <w:color w:val="auto"/>
                <w:spacing w:val="0"/>
                <w:position w:val="0"/>
                <w:sz w:val="21"/>
                <w:szCs w:val="21"/>
                <w:highlight w:val="none"/>
              </w:rPr>
            </w:pPr>
          </w:p>
        </w:tc>
        <w:tc>
          <w:tcPr>
            <w:tcW w:w="1953" w:type="dxa"/>
            <w:vMerge w:val="continue"/>
            <w:tcBorders>
              <w:top w:val="nil"/>
              <w:left w:val="single" w:color="000000" w:sz="4" w:space="0"/>
              <w:right w:val="single" w:color="000000" w:sz="10" w:space="0"/>
            </w:tcBorders>
            <w:vAlign w:val="top"/>
          </w:tcPr>
          <w:p>
            <w:pPr>
              <w:rPr>
                <w:rFonts w:hint="eastAsia" w:ascii="宋体" w:hAnsi="宋体" w:eastAsia="宋体" w:cs="宋体"/>
                <w:color w:val="auto"/>
                <w:spacing w:val="0"/>
                <w:position w:val="0"/>
                <w:sz w:val="21"/>
                <w:szCs w:val="21"/>
                <w:highlight w:val="none"/>
              </w:rPr>
            </w:pPr>
          </w:p>
        </w:tc>
      </w:tr>
    </w:tbl>
    <w:p>
      <w:pPr>
        <w:spacing w:line="247" w:lineRule="auto"/>
        <w:rPr>
          <w:rFonts w:hint="eastAsia" w:ascii="宋体" w:hAnsi="宋体" w:eastAsia="宋体" w:cs="宋体"/>
          <w:color w:val="auto"/>
          <w:spacing w:val="0"/>
          <w:position w:val="0"/>
          <w:sz w:val="21"/>
          <w:szCs w:val="21"/>
          <w:highlight w:val="none"/>
        </w:rPr>
      </w:pPr>
    </w:p>
    <w:p>
      <w:pPr>
        <w:spacing w:line="247" w:lineRule="auto"/>
        <w:rPr>
          <w:rFonts w:hint="eastAsia" w:ascii="宋体" w:hAnsi="宋体" w:eastAsia="宋体" w:cs="宋体"/>
          <w:color w:val="auto"/>
          <w:spacing w:val="0"/>
          <w:position w:val="0"/>
          <w:sz w:val="21"/>
          <w:szCs w:val="21"/>
          <w:highlight w:val="none"/>
        </w:rPr>
      </w:pPr>
    </w:p>
    <w:p>
      <w:pPr>
        <w:spacing w:line="247" w:lineRule="auto"/>
        <w:rPr>
          <w:rFonts w:hint="eastAsia" w:ascii="宋体" w:hAnsi="宋体" w:eastAsia="宋体" w:cs="宋体"/>
          <w:color w:val="auto"/>
          <w:spacing w:val="0"/>
          <w:position w:val="0"/>
          <w:sz w:val="21"/>
          <w:szCs w:val="21"/>
          <w:highlight w:val="none"/>
        </w:rPr>
      </w:pPr>
    </w:p>
    <w:p>
      <w:pPr>
        <w:rPr>
          <w:rFonts w:hint="eastAsia" w:ascii="宋体" w:hAnsi="宋体" w:eastAsia="宋体" w:cs="宋体"/>
          <w:b/>
          <w:bCs/>
          <w:color w:val="auto"/>
          <w:spacing w:val="-3"/>
          <w:sz w:val="28"/>
          <w:szCs w:val="28"/>
          <w:highlight w:val="none"/>
        </w:rPr>
      </w:pPr>
      <w:bookmarkStart w:id="761" w:name="_Toc32452"/>
      <w:r>
        <w:rPr>
          <w:rFonts w:hint="eastAsia" w:ascii="宋体" w:hAnsi="宋体" w:eastAsia="宋体" w:cs="宋体"/>
          <w:b/>
          <w:bCs/>
          <w:color w:val="auto"/>
          <w:spacing w:val="-3"/>
          <w:sz w:val="28"/>
          <w:szCs w:val="28"/>
          <w:highlight w:val="none"/>
        </w:rPr>
        <w:br w:type="page"/>
      </w:r>
    </w:p>
    <w:p>
      <w:pPr>
        <w:spacing w:before="117" w:line="222" w:lineRule="auto"/>
        <w:jc w:val="center"/>
        <w:outlineLvl w:val="2"/>
        <w:rPr>
          <w:rFonts w:hint="eastAsia" w:ascii="宋体" w:hAnsi="宋体" w:eastAsia="宋体" w:cs="宋体"/>
          <w:b/>
          <w:bCs/>
          <w:color w:val="auto"/>
          <w:spacing w:val="-3"/>
          <w:sz w:val="28"/>
          <w:szCs w:val="28"/>
          <w:highlight w:val="none"/>
        </w:rPr>
      </w:pPr>
      <w:r>
        <w:rPr>
          <w:rFonts w:hint="eastAsia" w:ascii="宋体" w:hAnsi="宋体" w:eastAsia="宋体" w:cs="宋体"/>
          <w:b/>
          <w:bCs/>
          <w:color w:val="auto"/>
          <w:spacing w:val="-3"/>
          <w:sz w:val="28"/>
          <w:szCs w:val="28"/>
          <w:highlight w:val="none"/>
        </w:rPr>
        <w:t>(</w:t>
      </w:r>
      <w:r>
        <w:rPr>
          <w:rFonts w:hint="eastAsia" w:ascii="宋体" w:hAnsi="宋体" w:eastAsia="宋体" w:cs="宋体"/>
          <w:b/>
          <w:bCs/>
          <w:color w:val="auto"/>
          <w:spacing w:val="-3"/>
          <w:sz w:val="28"/>
          <w:szCs w:val="28"/>
          <w:highlight w:val="none"/>
          <w:lang w:val="en-US" w:eastAsia="zh-CN"/>
        </w:rPr>
        <w:t>八</w:t>
      </w:r>
      <w:r>
        <w:rPr>
          <w:rFonts w:hint="eastAsia" w:ascii="宋体" w:hAnsi="宋体" w:eastAsia="宋体" w:cs="宋体"/>
          <w:b/>
          <w:bCs/>
          <w:color w:val="auto"/>
          <w:spacing w:val="-3"/>
          <w:sz w:val="28"/>
          <w:szCs w:val="28"/>
          <w:highlight w:val="none"/>
        </w:rPr>
        <w:t>) 履约行为表</w:t>
      </w:r>
      <w:bookmarkEnd w:id="761"/>
    </w:p>
    <w:p>
      <w:pPr>
        <w:rPr>
          <w:color w:val="auto"/>
          <w:highlight w:val="none"/>
        </w:rPr>
      </w:pPr>
    </w:p>
    <w:p>
      <w:pPr>
        <w:rPr>
          <w:color w:val="auto"/>
          <w:highlight w:val="none"/>
        </w:rPr>
      </w:pPr>
    </w:p>
    <w:p>
      <w:pPr>
        <w:spacing w:line="202" w:lineRule="exact"/>
        <w:rPr>
          <w:color w:val="auto"/>
          <w:highlight w:val="none"/>
        </w:rPr>
      </w:pPr>
    </w:p>
    <w:tbl>
      <w:tblPr>
        <w:tblStyle w:val="26"/>
        <w:tblW w:w="9188"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81"/>
        <w:gridCol w:w="450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8" w:hRule="atLeast"/>
        </w:trPr>
        <w:tc>
          <w:tcPr>
            <w:tcW w:w="9188" w:type="dxa"/>
            <w:gridSpan w:val="2"/>
            <w:tcBorders>
              <w:left w:val="single" w:color="000000" w:sz="10" w:space="0"/>
              <w:right w:val="single" w:color="000000" w:sz="10" w:space="0"/>
            </w:tcBorders>
            <w:vAlign w:val="top"/>
          </w:tcPr>
          <w:p>
            <w:pPr>
              <w:spacing w:before="233" w:line="225" w:lineRule="auto"/>
              <w:ind w:left="2752"/>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rPr>
              <w:t>投</w:t>
            </w:r>
            <w:r>
              <w:rPr>
                <w:rFonts w:hint="eastAsia" w:ascii="宋体" w:hAnsi="宋体" w:eastAsia="宋体" w:cs="宋体"/>
                <w:color w:val="auto"/>
                <w:spacing w:val="7"/>
                <w:sz w:val="21"/>
                <w:szCs w:val="21"/>
                <w:highlight w:val="none"/>
              </w:rPr>
              <w:t xml:space="preserve"> 标 人 应 如 实 填 写 下 列 内 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28" w:hRule="atLeast"/>
        </w:trPr>
        <w:tc>
          <w:tcPr>
            <w:tcW w:w="4681" w:type="dxa"/>
            <w:tcBorders>
              <w:left w:val="single" w:color="000000" w:sz="10" w:space="0"/>
            </w:tcBorders>
            <w:vAlign w:val="top"/>
          </w:tcPr>
          <w:p>
            <w:pPr>
              <w:spacing w:line="273" w:lineRule="auto"/>
              <w:rPr>
                <w:rFonts w:hint="eastAsia" w:ascii="宋体" w:hAnsi="宋体" w:eastAsia="宋体" w:cs="宋体"/>
                <w:color w:val="auto"/>
                <w:sz w:val="21"/>
                <w:szCs w:val="21"/>
                <w:highlight w:val="none"/>
              </w:rPr>
            </w:pPr>
          </w:p>
          <w:p>
            <w:pPr>
              <w:spacing w:line="273" w:lineRule="auto"/>
              <w:rPr>
                <w:rFonts w:hint="eastAsia" w:ascii="宋体" w:hAnsi="宋体" w:eastAsia="宋体" w:cs="宋体"/>
                <w:color w:val="auto"/>
                <w:sz w:val="21"/>
                <w:szCs w:val="21"/>
                <w:highlight w:val="none"/>
              </w:rPr>
            </w:pPr>
          </w:p>
          <w:p>
            <w:pPr>
              <w:spacing w:line="274" w:lineRule="auto"/>
              <w:rPr>
                <w:rFonts w:hint="eastAsia" w:ascii="宋体" w:hAnsi="宋体" w:eastAsia="宋体" w:cs="宋体"/>
                <w:color w:val="auto"/>
                <w:sz w:val="21"/>
                <w:szCs w:val="21"/>
                <w:highlight w:val="none"/>
              </w:rPr>
            </w:pPr>
          </w:p>
          <w:p>
            <w:pPr>
              <w:spacing w:line="274" w:lineRule="auto"/>
              <w:rPr>
                <w:rFonts w:hint="eastAsia" w:ascii="宋体" w:hAnsi="宋体" w:eastAsia="宋体" w:cs="宋体"/>
                <w:color w:val="auto"/>
                <w:sz w:val="21"/>
                <w:szCs w:val="21"/>
                <w:highlight w:val="none"/>
              </w:rPr>
            </w:pPr>
          </w:p>
          <w:p>
            <w:pPr>
              <w:spacing w:line="274" w:lineRule="auto"/>
              <w:rPr>
                <w:rFonts w:hint="eastAsia" w:ascii="宋体" w:hAnsi="宋体" w:eastAsia="宋体" w:cs="宋体"/>
                <w:color w:val="auto"/>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32" w:line="400" w:lineRule="exact"/>
              <w:ind w:left="119"/>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投标人应如实填写下列内容：</w:t>
            </w:r>
          </w:p>
          <w:p>
            <w:pPr>
              <w:keepNext w:val="0"/>
              <w:keepLines w:val="0"/>
              <w:pageBreakBefore w:val="0"/>
              <w:widowControl/>
              <w:kinsoku w:val="0"/>
              <w:wordWrap/>
              <w:overflowPunct/>
              <w:topLinePunct w:val="0"/>
              <w:autoSpaceDE w:val="0"/>
              <w:autoSpaceDN w:val="0"/>
              <w:bidi w:val="0"/>
              <w:adjustRightInd w:val="0"/>
              <w:snapToGrid w:val="0"/>
              <w:spacing w:before="32" w:line="400" w:lineRule="exact"/>
              <w:ind w:left="119"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1、近一年(______年__月__ 日以来)，有无被交通运输部、浙江省交通运输厅、浙江省发展和改革委员会三部门以外的省级及以上单位(部门)书面通报，被限制投标，并在处罚期内的；</w:t>
            </w:r>
          </w:p>
          <w:p>
            <w:pPr>
              <w:keepNext w:val="0"/>
              <w:keepLines w:val="0"/>
              <w:pageBreakBefore w:val="0"/>
              <w:widowControl/>
              <w:kinsoku w:val="0"/>
              <w:wordWrap/>
              <w:overflowPunct/>
              <w:topLinePunct w:val="0"/>
              <w:autoSpaceDE w:val="0"/>
              <w:autoSpaceDN w:val="0"/>
              <w:bidi w:val="0"/>
              <w:adjustRightInd w:val="0"/>
              <w:snapToGrid w:val="0"/>
              <w:spacing w:before="32" w:line="400" w:lineRule="exact"/>
              <w:ind w:left="119"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2、近三年(______年__月__ 日以来)，投标人或拟委任的项目经理在工程建设领域中，有无行贿行为构成犯罪 (以检察机关职务犯罪预防部门的查询结果为准)或未构成犯罪的；</w:t>
            </w:r>
          </w:p>
          <w:p>
            <w:pPr>
              <w:keepNext w:val="0"/>
              <w:keepLines w:val="0"/>
              <w:pageBreakBefore w:val="0"/>
              <w:widowControl/>
              <w:kinsoku w:val="0"/>
              <w:wordWrap/>
              <w:overflowPunct/>
              <w:topLinePunct w:val="0"/>
              <w:autoSpaceDE w:val="0"/>
              <w:autoSpaceDN w:val="0"/>
              <w:bidi w:val="0"/>
              <w:adjustRightInd w:val="0"/>
              <w:snapToGrid w:val="0"/>
              <w:spacing w:before="32" w:line="400" w:lineRule="exact"/>
              <w:ind w:left="119" w:firstLine="420" w:firstLineChars="200"/>
              <w:textAlignment w:val="baseline"/>
              <w:rPr>
                <w:rFonts w:hint="eastAsia" w:ascii="宋体" w:hAnsi="宋体" w:eastAsia="宋体" w:cs="宋体"/>
                <w:color w:val="auto"/>
                <w:spacing w:val="0"/>
                <w:position w:val="0"/>
                <w:sz w:val="21"/>
                <w:szCs w:val="21"/>
                <w:highlight w:val="none"/>
                <w:lang w:eastAsia="zh-CN"/>
              </w:rPr>
            </w:pPr>
            <w:r>
              <w:rPr>
                <w:rFonts w:hint="eastAsia" w:ascii="宋体" w:hAnsi="宋体" w:eastAsia="宋体" w:cs="宋体"/>
                <w:color w:val="auto"/>
                <w:spacing w:val="0"/>
                <w:position w:val="0"/>
                <w:sz w:val="21"/>
                <w:szCs w:val="21"/>
                <w:highlight w:val="none"/>
              </w:rPr>
              <w:t>3、投标人</w:t>
            </w:r>
            <w:r>
              <w:rPr>
                <w:rFonts w:hint="eastAsia" w:ascii="宋体" w:hAnsi="宋体" w:eastAsia="宋体" w:cs="宋体"/>
                <w:color w:val="auto"/>
                <w:spacing w:val="0"/>
                <w:position w:val="0"/>
                <w:sz w:val="21"/>
                <w:szCs w:val="21"/>
                <w:highlight w:val="none"/>
                <w:lang w:val="en-US" w:eastAsia="zh-CN"/>
              </w:rPr>
              <w:t>是否被</w:t>
            </w:r>
            <w:r>
              <w:rPr>
                <w:rFonts w:hint="eastAsia" w:ascii="宋体" w:hAnsi="宋体" w:eastAsia="宋体" w:cs="宋体"/>
                <w:color w:val="auto"/>
                <w:spacing w:val="0"/>
                <w:position w:val="0"/>
                <w:sz w:val="21"/>
                <w:szCs w:val="21"/>
                <w:highlight w:val="none"/>
              </w:rPr>
              <w:t xml:space="preserve">列入失信黑名单( 以“信用中国” (http://www.creditchina.gov.cn/)联合惩戒栏目中失信人黑名单查询结果为准) </w:t>
            </w:r>
            <w:r>
              <w:rPr>
                <w:rFonts w:hint="eastAsia" w:ascii="宋体" w:hAnsi="宋体" w:eastAsia="宋体" w:cs="宋体"/>
                <w:color w:val="auto"/>
                <w:spacing w:val="0"/>
                <w:position w:val="0"/>
                <w:sz w:val="21"/>
                <w:szCs w:val="21"/>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before="32" w:line="400" w:lineRule="exact"/>
              <w:ind w:left="119"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0"/>
                <w:position w:val="0"/>
                <w:sz w:val="21"/>
                <w:szCs w:val="21"/>
                <w:highlight w:val="none"/>
              </w:rPr>
              <w:t>4、有无存在投标人须知第 1.4.3 、1.4.4 情形。</w:t>
            </w:r>
          </w:p>
        </w:tc>
        <w:tc>
          <w:tcPr>
            <w:tcW w:w="4507" w:type="dxa"/>
            <w:tcBorders>
              <w:right w:val="single" w:color="000000" w:sz="10" w:space="0"/>
            </w:tcBorders>
            <w:vAlign w:val="top"/>
          </w:tcPr>
          <w:p>
            <w:pPr>
              <w:rPr>
                <w:rFonts w:hint="eastAsia" w:ascii="宋体" w:hAnsi="宋体" w:eastAsia="宋体" w:cs="宋体"/>
                <w:color w:val="auto"/>
                <w:sz w:val="21"/>
                <w:szCs w:val="21"/>
                <w:highlight w:val="none"/>
              </w:rPr>
            </w:pPr>
          </w:p>
        </w:tc>
      </w:tr>
    </w:tbl>
    <w:p>
      <w:pPr>
        <w:spacing w:line="272" w:lineRule="auto"/>
        <w:rPr>
          <w:rFonts w:hint="eastAsia" w:ascii="宋体" w:hAnsi="宋体" w:eastAsia="宋体" w:cs="宋体"/>
          <w:color w:val="auto"/>
          <w:sz w:val="22"/>
          <w:szCs w:val="22"/>
          <w:highlight w:val="none"/>
        </w:rPr>
      </w:pPr>
    </w:p>
    <w:p>
      <w:pPr>
        <w:spacing w:line="273" w:lineRule="auto"/>
        <w:rPr>
          <w:rFonts w:hint="eastAsia" w:ascii="宋体" w:hAnsi="宋体" w:eastAsia="宋体" w:cs="宋体"/>
          <w:color w:val="auto"/>
          <w:sz w:val="22"/>
          <w:szCs w:val="22"/>
          <w:highlight w:val="none"/>
        </w:rPr>
      </w:pPr>
    </w:p>
    <w:p>
      <w:pPr>
        <w:spacing w:line="273" w:lineRule="auto"/>
        <w:rPr>
          <w:rFonts w:hint="eastAsia" w:ascii="宋体" w:hAnsi="宋体" w:eastAsia="宋体" w:cs="宋体"/>
          <w:color w:val="auto"/>
          <w:sz w:val="22"/>
          <w:szCs w:val="22"/>
          <w:highlight w:val="none"/>
        </w:rPr>
      </w:pPr>
    </w:p>
    <w:p>
      <w:pPr>
        <w:rPr>
          <w:color w:val="auto"/>
          <w:highlight w:val="none"/>
        </w:rPr>
        <w:sectPr>
          <w:pgSz w:w="11900" w:h="16840"/>
          <w:pgMar w:top="1160" w:right="1337" w:bottom="1448" w:left="1348" w:header="883" w:footer="1234" w:gutter="0"/>
          <w:pgNumType w:fmt="decimal"/>
          <w:cols w:space="720" w:num="1"/>
        </w:sectPr>
      </w:pPr>
    </w:p>
    <w:p>
      <w:pPr>
        <w:spacing w:before="269" w:line="223" w:lineRule="auto"/>
        <w:ind w:left="3715"/>
        <w:outlineLvl w:val="2"/>
        <w:rPr>
          <w:rFonts w:ascii="黑体" w:hAnsi="黑体" w:eastAsia="黑体" w:cs="黑体"/>
          <w:color w:val="auto"/>
          <w:sz w:val="36"/>
          <w:szCs w:val="36"/>
          <w:highlight w:val="none"/>
        </w:rPr>
      </w:pPr>
      <w:bookmarkStart w:id="762" w:name="_Toc19491"/>
      <w:r>
        <w:rPr>
          <w:rFonts w:hint="eastAsia" w:ascii="黑体" w:hAnsi="黑体" w:eastAsia="黑体" w:cs="黑体"/>
          <w:color w:val="auto"/>
          <w:spacing w:val="-33"/>
          <w:sz w:val="36"/>
          <w:szCs w:val="36"/>
          <w:highlight w:val="none"/>
          <w:lang w:val="en-US" w:eastAsia="zh-CN"/>
        </w:rPr>
        <w:t>八</w:t>
      </w:r>
      <w:r>
        <w:rPr>
          <w:rFonts w:ascii="黑体" w:hAnsi="黑体" w:eastAsia="黑体" w:cs="黑体"/>
          <w:color w:val="auto"/>
          <w:spacing w:val="-33"/>
          <w:sz w:val="36"/>
          <w:szCs w:val="36"/>
          <w:highlight w:val="none"/>
        </w:rPr>
        <w:t xml:space="preserve">、 </w:t>
      </w:r>
      <w:r>
        <w:rPr>
          <w:rFonts w:hint="eastAsia" w:ascii="黑体" w:hAnsi="黑体" w:eastAsia="黑体" w:cs="黑体"/>
          <w:color w:val="auto"/>
          <w:spacing w:val="-2"/>
          <w:sz w:val="36"/>
          <w:szCs w:val="36"/>
          <w:highlight w:val="none"/>
          <w:lang w:val="en-US" w:eastAsia="zh-CN"/>
        </w:rPr>
        <w:t>承诺函</w:t>
      </w:r>
      <w:bookmarkEnd w:id="762"/>
    </w:p>
    <w:p>
      <w:pPr>
        <w:spacing w:line="280" w:lineRule="auto"/>
        <w:rPr>
          <w:rFonts w:ascii="Arial"/>
          <w:color w:val="auto"/>
          <w:sz w:val="21"/>
          <w:highlight w:val="none"/>
        </w:rPr>
      </w:pPr>
    </w:p>
    <w:p>
      <w:pPr>
        <w:keepNext w:val="0"/>
        <w:keepLines w:val="0"/>
        <w:pageBreakBefore w:val="0"/>
        <w:kinsoku w:val="0"/>
        <w:wordWrap/>
        <w:overflowPunct/>
        <w:topLinePunct w:val="0"/>
        <w:autoSpaceDE w:val="0"/>
        <w:autoSpaceDN w:val="0"/>
        <w:bidi w:val="0"/>
        <w:adjustRightInd w:val="0"/>
        <w:snapToGrid w:val="0"/>
        <w:spacing w:before="65" w:line="440" w:lineRule="exact"/>
        <w:textAlignment w:val="baseline"/>
        <w:rPr>
          <w:rFonts w:hint="eastAsia" w:ascii="宋体" w:hAnsi="宋体" w:eastAsia="宋体" w:cs="宋体"/>
          <w:color w:val="auto"/>
          <w:spacing w:val="0"/>
          <w:position w:val="0"/>
          <w:sz w:val="22"/>
          <w:szCs w:val="22"/>
          <w:highlight w:val="none"/>
        </w:rPr>
      </w:pP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u w:val="single" w:color="auto"/>
          <w:lang w:val="en-US" w:eastAsia="zh-CN"/>
        </w:rPr>
        <w:t xml:space="preserve">    </w:t>
      </w:r>
      <w:r>
        <w:rPr>
          <w:rFonts w:hint="eastAsia" w:ascii="宋体" w:hAnsi="宋体" w:eastAsia="宋体" w:cs="宋体"/>
          <w:color w:val="auto"/>
          <w:spacing w:val="0"/>
          <w:position w:val="0"/>
          <w:sz w:val="22"/>
          <w:szCs w:val="22"/>
          <w:highlight w:val="none"/>
        </w:rPr>
        <w:t>(招标人名称) ：</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40" w:firstLineChars="200"/>
        <w:textAlignment w:val="baseline"/>
        <w:rPr>
          <w:rFonts w:hint="eastAsia" w:ascii="宋体" w:hAnsi="宋体" w:eastAsia="宋体" w:cs="宋体"/>
          <w:color w:val="auto"/>
          <w:spacing w:val="0"/>
          <w:position w:val="0"/>
          <w:sz w:val="22"/>
          <w:szCs w:val="22"/>
          <w:highlight w:val="none"/>
        </w:rPr>
      </w:pPr>
      <w:r>
        <w:rPr>
          <w:rFonts w:hint="eastAsia" w:ascii="宋体" w:hAnsi="宋体" w:eastAsia="宋体" w:cs="宋体"/>
          <w:color w:val="auto"/>
          <w:spacing w:val="0"/>
          <w:position w:val="0"/>
          <w:sz w:val="22"/>
          <w:szCs w:val="22"/>
          <w:highlight w:val="none"/>
        </w:rPr>
        <w:t>我方参加了</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u w:val="single" w:color="auto"/>
          <w:lang w:val="en-US" w:eastAsia="zh-CN"/>
        </w:rPr>
        <w:t xml:space="preserve">   </w:t>
      </w:r>
      <w:r>
        <w:rPr>
          <w:rFonts w:hint="eastAsia" w:ascii="宋体" w:hAnsi="宋体" w:eastAsia="宋体" w:cs="宋体"/>
          <w:color w:val="auto"/>
          <w:spacing w:val="0"/>
          <w:position w:val="0"/>
          <w:sz w:val="22"/>
          <w:szCs w:val="22"/>
          <w:highlight w:val="none"/>
        </w:rPr>
        <w:t xml:space="preserve">(项目名称) </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2"/>
          <w:szCs w:val="22"/>
          <w:highlight w:val="none"/>
        </w:rPr>
        <w:t>标段施工投标，若我方中标，我方在此承诺：</w:t>
      </w:r>
    </w:p>
    <w:p>
      <w:pPr>
        <w:keepNext w:val="0"/>
        <w:keepLines w:val="0"/>
        <w:pageBreakBefore w:val="0"/>
        <w:widowControl/>
        <w:kinsoku w:val="0"/>
        <w:wordWrap/>
        <w:overflowPunct/>
        <w:topLinePunct w:val="0"/>
        <w:autoSpaceDE w:val="0"/>
        <w:autoSpaceDN w:val="0"/>
        <w:bidi w:val="0"/>
        <w:adjustRightInd w:val="0"/>
        <w:snapToGrid w:val="0"/>
        <w:spacing w:line="400" w:lineRule="exact"/>
        <w:ind w:right="70" w:firstLine="440" w:firstLineChars="200"/>
        <w:textAlignment w:val="baseline"/>
        <w:rPr>
          <w:rFonts w:hint="eastAsia" w:ascii="宋体" w:hAnsi="宋体" w:eastAsia="宋体" w:cs="宋体"/>
          <w:color w:val="auto"/>
          <w:spacing w:val="0"/>
          <w:position w:val="0"/>
          <w:sz w:val="22"/>
          <w:szCs w:val="22"/>
          <w:highlight w:val="none"/>
        </w:rPr>
      </w:pPr>
      <w:r>
        <w:rPr>
          <w:rFonts w:hint="eastAsia" w:ascii="宋体" w:hAnsi="宋体" w:eastAsia="宋体" w:cs="宋体"/>
          <w:color w:val="auto"/>
          <w:spacing w:val="0"/>
          <w:position w:val="0"/>
          <w:sz w:val="22"/>
          <w:szCs w:val="22"/>
          <w:highlight w:val="none"/>
        </w:rPr>
        <w:t>若本项目招标文件未要求我方在投标文件中填报派驻本标段的其他主要管理人员和技术人员及主要机械设备和试验检测设备，在招标人向我方发出中标通知书之前，我方将按照合同附件提出的最低要求填报派驻本标段的其他主要管理人员和技术人员 (并按要求提供社保证明) 及主要机械设备和试验检测设备，在经招标人审批后作为派驻本标段的项目管理机构主要人员和主要设备且不进行更换。</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40" w:firstLineChars="200"/>
        <w:textAlignment w:val="baseline"/>
        <w:rPr>
          <w:rFonts w:hint="eastAsia" w:ascii="宋体" w:hAnsi="宋体" w:eastAsia="宋体" w:cs="宋体"/>
          <w:color w:val="auto"/>
          <w:spacing w:val="0"/>
          <w:position w:val="0"/>
          <w:sz w:val="22"/>
          <w:szCs w:val="22"/>
          <w:highlight w:val="none"/>
        </w:rPr>
      </w:pPr>
      <w:r>
        <w:rPr>
          <w:rFonts w:hint="eastAsia" w:ascii="宋体" w:hAnsi="宋体" w:eastAsia="宋体" w:cs="宋体"/>
          <w:color w:val="auto"/>
          <w:spacing w:val="0"/>
          <w:position w:val="0"/>
          <w:sz w:val="22"/>
          <w:szCs w:val="22"/>
          <w:highlight w:val="none"/>
        </w:rPr>
        <w:t>我方承诺：在招标人发出中标通知书前接受明显不平衡报价的修正。</w:t>
      </w:r>
    </w:p>
    <w:p>
      <w:pPr>
        <w:keepNext w:val="0"/>
        <w:keepLines w:val="0"/>
        <w:pageBreakBefore w:val="0"/>
        <w:widowControl/>
        <w:kinsoku w:val="0"/>
        <w:wordWrap/>
        <w:overflowPunct/>
        <w:topLinePunct w:val="0"/>
        <w:autoSpaceDE w:val="0"/>
        <w:autoSpaceDN w:val="0"/>
        <w:bidi w:val="0"/>
        <w:adjustRightInd w:val="0"/>
        <w:snapToGrid w:val="0"/>
        <w:spacing w:line="400" w:lineRule="exact"/>
        <w:ind w:right="87" w:firstLine="440" w:firstLineChars="200"/>
        <w:textAlignment w:val="baseline"/>
        <w:rPr>
          <w:rFonts w:hint="eastAsia" w:ascii="宋体" w:hAnsi="宋体" w:eastAsia="宋体" w:cs="宋体"/>
          <w:color w:val="auto"/>
          <w:spacing w:val="0"/>
          <w:position w:val="0"/>
          <w:sz w:val="22"/>
          <w:szCs w:val="22"/>
          <w:highlight w:val="none"/>
        </w:rPr>
      </w:pPr>
      <w:r>
        <w:rPr>
          <w:rFonts w:hint="eastAsia" w:ascii="宋体" w:hAnsi="宋体" w:eastAsia="宋体" w:cs="宋体"/>
          <w:color w:val="auto"/>
          <w:spacing w:val="0"/>
          <w:position w:val="0"/>
          <w:sz w:val="22"/>
          <w:szCs w:val="22"/>
          <w:highlight w:val="none"/>
        </w:rPr>
        <w:t>如我方违背了上述承诺，本项目招标人有权取消我方的中标资格，并由招标人将我方的违约行为上报省级交通主管部门，作为不良记录纳入浙江省交通运输信用综合管理服务系统。</w:t>
      </w:r>
    </w:p>
    <w:p>
      <w:pPr>
        <w:keepNext w:val="0"/>
        <w:keepLines w:val="0"/>
        <w:pageBreakBefore w:val="0"/>
        <w:widowControl/>
        <w:kinsoku w:val="0"/>
        <w:wordWrap/>
        <w:overflowPunct/>
        <w:topLinePunct w:val="0"/>
        <w:autoSpaceDE w:val="0"/>
        <w:autoSpaceDN w:val="0"/>
        <w:bidi w:val="0"/>
        <w:adjustRightInd w:val="0"/>
        <w:snapToGrid w:val="0"/>
        <w:spacing w:line="400" w:lineRule="exact"/>
        <w:ind w:right="85" w:firstLine="440" w:firstLineChars="200"/>
        <w:textAlignment w:val="baseline"/>
        <w:rPr>
          <w:rFonts w:hint="eastAsia" w:ascii="宋体" w:hAnsi="宋体" w:eastAsia="宋体" w:cs="宋体"/>
          <w:color w:val="auto"/>
          <w:spacing w:val="0"/>
          <w:position w:val="0"/>
          <w:sz w:val="22"/>
          <w:szCs w:val="22"/>
          <w:highlight w:val="none"/>
        </w:rPr>
      </w:pPr>
      <w:r>
        <w:rPr>
          <w:rFonts w:hint="eastAsia" w:ascii="宋体" w:hAnsi="宋体" w:eastAsia="宋体" w:cs="宋体"/>
          <w:color w:val="auto"/>
          <w:spacing w:val="0"/>
          <w:position w:val="0"/>
          <w:sz w:val="22"/>
          <w:szCs w:val="22"/>
          <w:highlight w:val="none"/>
        </w:rPr>
        <w:t>我方同时承诺，不通过互联网与任何单位和个人进行与本项目有关图纸资料交换传递，不通过任何途径向本项目无关方泄露和传播本项目有关图纸资料。</w:t>
      </w:r>
    </w:p>
    <w:p>
      <w:pPr>
        <w:keepNext w:val="0"/>
        <w:keepLines w:val="0"/>
        <w:pageBreakBefore w:val="0"/>
        <w:widowControl/>
        <w:kinsoku w:val="0"/>
        <w:wordWrap/>
        <w:overflowPunct/>
        <w:topLinePunct w:val="0"/>
        <w:autoSpaceDE w:val="0"/>
        <w:autoSpaceDN w:val="0"/>
        <w:bidi w:val="0"/>
        <w:adjustRightInd w:val="0"/>
        <w:snapToGrid w:val="0"/>
        <w:spacing w:line="400" w:lineRule="exact"/>
        <w:ind w:right="73" w:firstLine="440" w:firstLineChars="200"/>
        <w:textAlignment w:val="baseline"/>
        <w:rPr>
          <w:rFonts w:hint="eastAsia" w:ascii="宋体" w:hAnsi="宋体" w:eastAsia="宋体" w:cs="宋体"/>
          <w:color w:val="auto"/>
          <w:spacing w:val="0"/>
          <w:position w:val="0"/>
          <w:sz w:val="22"/>
          <w:szCs w:val="22"/>
          <w:highlight w:val="none"/>
        </w:rPr>
      </w:pPr>
      <w:r>
        <w:rPr>
          <w:rFonts w:hint="eastAsia" w:ascii="宋体" w:hAnsi="宋体" w:eastAsia="宋体" w:cs="宋体"/>
          <w:color w:val="auto"/>
          <w:spacing w:val="0"/>
          <w:position w:val="0"/>
          <w:sz w:val="22"/>
          <w:szCs w:val="22"/>
          <w:highlight w:val="none"/>
        </w:rPr>
        <w:t>我方承诺本项目拟任项目经理在投标截止日无在其他任何在建合同工程上担任项目负责人的情形。在建合同工程的开始时间为合同工程中标通知书发出日期 (不通过招标方式的，开始时间为合同签订日期)，结束时间为该合同通过合同验收或合同解除日期。</w:t>
      </w:r>
    </w:p>
    <w:p>
      <w:pPr>
        <w:keepNext w:val="0"/>
        <w:keepLines w:val="0"/>
        <w:pageBreakBefore w:val="0"/>
        <w:widowControl/>
        <w:kinsoku w:val="0"/>
        <w:wordWrap/>
        <w:overflowPunct/>
        <w:topLinePunct w:val="0"/>
        <w:autoSpaceDE w:val="0"/>
        <w:autoSpaceDN w:val="0"/>
        <w:bidi w:val="0"/>
        <w:adjustRightInd w:val="0"/>
        <w:snapToGrid w:val="0"/>
        <w:spacing w:line="400" w:lineRule="exact"/>
        <w:ind w:right="85" w:firstLine="440" w:firstLineChars="200"/>
        <w:textAlignment w:val="baseline"/>
        <w:rPr>
          <w:rFonts w:hint="eastAsia" w:ascii="宋体" w:hAnsi="宋体" w:eastAsia="宋体" w:cs="宋体"/>
          <w:color w:val="auto"/>
          <w:spacing w:val="0"/>
          <w:position w:val="0"/>
          <w:sz w:val="22"/>
          <w:szCs w:val="22"/>
          <w:highlight w:val="none"/>
        </w:rPr>
      </w:pPr>
      <w:r>
        <w:rPr>
          <w:rFonts w:hint="eastAsia" w:ascii="宋体" w:hAnsi="宋体" w:eastAsia="宋体" w:cs="宋体"/>
          <w:color w:val="auto"/>
          <w:spacing w:val="0"/>
          <w:position w:val="0"/>
          <w:sz w:val="22"/>
          <w:szCs w:val="22"/>
          <w:highlight w:val="none"/>
        </w:rPr>
        <w:t>以上承诺如有虚假，愿意接受投标保证金不予退还的处罚。给招标人造成损失的，愿意依法承担赔偿责任。如已中标，同意招标人取消我方中标资格的处理。</w:t>
      </w:r>
    </w:p>
    <w:p>
      <w:pPr>
        <w:pStyle w:val="2"/>
        <w:keepNext w:val="0"/>
        <w:keepLines w:val="0"/>
        <w:pageBreakBefore w:val="0"/>
        <w:kinsoku w:val="0"/>
        <w:wordWrap/>
        <w:overflowPunct/>
        <w:topLinePunct w:val="0"/>
        <w:autoSpaceDE w:val="0"/>
        <w:autoSpaceDN w:val="0"/>
        <w:bidi w:val="0"/>
        <w:adjustRightInd w:val="0"/>
        <w:snapToGrid w:val="0"/>
        <w:spacing w:line="440" w:lineRule="exact"/>
        <w:ind w:left="0" w:leftChars="0" w:firstLine="0" w:firstLineChars="0"/>
        <w:textAlignment w:val="baseline"/>
        <w:rPr>
          <w:rFonts w:hint="eastAsia"/>
          <w:color w:val="auto"/>
          <w:highlight w:val="none"/>
        </w:rPr>
      </w:pPr>
    </w:p>
    <w:p>
      <w:pPr>
        <w:keepNext w:val="0"/>
        <w:keepLines w:val="0"/>
        <w:pageBreakBefore w:val="0"/>
        <w:kinsoku w:val="0"/>
        <w:wordWrap/>
        <w:overflowPunct/>
        <w:topLinePunct w:val="0"/>
        <w:autoSpaceDE w:val="0"/>
        <w:autoSpaceDN w:val="0"/>
        <w:bidi w:val="0"/>
        <w:adjustRightInd w:val="0"/>
        <w:snapToGrid w:val="0"/>
        <w:spacing w:before="66" w:line="440" w:lineRule="exact"/>
        <w:ind w:left="3973" w:leftChars="1892" w:firstLine="0" w:firstLineChars="0"/>
        <w:textAlignment w:val="baseline"/>
        <w:rPr>
          <w:rFonts w:hint="eastAsia" w:ascii="宋体" w:hAnsi="宋体" w:eastAsia="宋体" w:cs="宋体"/>
          <w:color w:val="auto"/>
          <w:spacing w:val="0"/>
          <w:position w:val="0"/>
          <w:sz w:val="22"/>
          <w:szCs w:val="22"/>
          <w:highlight w:val="none"/>
        </w:rPr>
      </w:pPr>
      <w:r>
        <w:rPr>
          <w:rFonts w:hint="eastAsia" w:ascii="宋体" w:hAnsi="宋体" w:eastAsia="宋体" w:cs="宋体"/>
          <w:color w:val="auto"/>
          <w:spacing w:val="0"/>
          <w:position w:val="0"/>
          <w:sz w:val="22"/>
          <w:szCs w:val="22"/>
          <w:highlight w:val="none"/>
        </w:rPr>
        <w:t xml:space="preserve">投标人： </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1"/>
          <w:szCs w:val="21"/>
          <w:highlight w:val="none"/>
          <w:u w:val="single" w:color="auto"/>
          <w:lang w:val="en-US" w:eastAsia="zh-CN"/>
        </w:rPr>
        <w:t xml:space="preserve">   </w:t>
      </w:r>
      <w:r>
        <w:rPr>
          <w:rFonts w:hint="eastAsia" w:ascii="宋体" w:hAnsi="宋体" w:eastAsia="宋体" w:cs="宋体"/>
          <w:color w:val="auto"/>
          <w:spacing w:val="0"/>
          <w:position w:val="0"/>
          <w:sz w:val="22"/>
          <w:szCs w:val="22"/>
          <w:highlight w:val="none"/>
        </w:rPr>
        <w:t>（盖单位电子公章）  法定代表人或其委托代理人：</w:t>
      </w:r>
      <w:r>
        <w:rPr>
          <w:rFonts w:hint="eastAsia" w:ascii="宋体" w:hAnsi="宋体" w:eastAsia="宋体" w:cs="宋体"/>
          <w:color w:val="auto"/>
          <w:spacing w:val="0"/>
          <w:position w:val="0"/>
          <w:sz w:val="21"/>
          <w:szCs w:val="21"/>
          <w:highlight w:val="none"/>
          <w:u w:val="single" w:color="auto"/>
        </w:rPr>
        <w:t xml:space="preserve"> （盖法定代表人电子章）</w:t>
      </w:r>
    </w:p>
    <w:p>
      <w:pPr>
        <w:keepNext w:val="0"/>
        <w:keepLines w:val="0"/>
        <w:pageBreakBefore w:val="0"/>
        <w:kinsoku w:val="0"/>
        <w:wordWrap/>
        <w:overflowPunct/>
        <w:topLinePunct w:val="0"/>
        <w:autoSpaceDE w:val="0"/>
        <w:autoSpaceDN w:val="0"/>
        <w:bidi w:val="0"/>
        <w:adjustRightInd w:val="0"/>
        <w:snapToGrid w:val="0"/>
        <w:spacing w:before="66" w:line="440" w:lineRule="exact"/>
        <w:ind w:left="3973" w:leftChars="1892" w:firstLine="0" w:firstLineChars="0"/>
        <w:textAlignment w:val="baseline"/>
        <w:rPr>
          <w:rFonts w:hint="eastAsia" w:ascii="宋体" w:hAnsi="宋体" w:eastAsia="宋体" w:cs="宋体"/>
          <w:color w:val="auto"/>
          <w:spacing w:val="0"/>
          <w:position w:val="0"/>
          <w:sz w:val="22"/>
          <w:szCs w:val="22"/>
          <w:highlight w:val="none"/>
        </w:rPr>
      </w:pP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2"/>
          <w:szCs w:val="22"/>
          <w:highlight w:val="none"/>
        </w:rPr>
        <w:t>年</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2"/>
          <w:szCs w:val="22"/>
          <w:highlight w:val="none"/>
        </w:rPr>
        <w:t>月</w:t>
      </w:r>
      <w:r>
        <w:rPr>
          <w:rFonts w:hint="eastAsia" w:ascii="宋体" w:hAnsi="宋体" w:eastAsia="宋体" w:cs="宋体"/>
          <w:color w:val="auto"/>
          <w:spacing w:val="0"/>
          <w:position w:val="0"/>
          <w:sz w:val="21"/>
          <w:szCs w:val="21"/>
          <w:highlight w:val="none"/>
          <w:u w:val="single" w:color="auto"/>
        </w:rPr>
        <w:t xml:space="preserve">    </w:t>
      </w:r>
      <w:r>
        <w:rPr>
          <w:rFonts w:hint="eastAsia" w:ascii="宋体" w:hAnsi="宋体" w:eastAsia="宋体" w:cs="宋体"/>
          <w:color w:val="auto"/>
          <w:spacing w:val="0"/>
          <w:position w:val="0"/>
          <w:sz w:val="22"/>
          <w:szCs w:val="22"/>
          <w:highlight w:val="none"/>
        </w:rPr>
        <w:t>日</w:t>
      </w:r>
    </w:p>
    <w:p>
      <w:pPr>
        <w:spacing w:line="248" w:lineRule="auto"/>
        <w:rPr>
          <w:color w:val="auto"/>
          <w:highlight w:val="none"/>
        </w:rPr>
        <w:sectPr>
          <w:pgSz w:w="11900" w:h="16840"/>
          <w:pgMar w:top="1160" w:right="1269" w:bottom="1448" w:left="1359" w:header="883" w:footer="1234" w:gutter="0"/>
          <w:pgNumType w:fmt="decimal"/>
          <w:cols w:space="720" w:num="1"/>
        </w:sectPr>
      </w:pPr>
      <w:r>
        <w:rPr>
          <w:rFonts w:hint="default" w:ascii="黑体" w:hAnsi="黑体" w:eastAsia="黑体" w:cs="黑体"/>
          <w:color w:val="auto"/>
          <w:spacing w:val="-33"/>
          <w:sz w:val="36"/>
          <w:szCs w:val="36"/>
          <w:highlight w:val="none"/>
          <w:lang w:val="en-US"/>
        </w:rPr>
        <mc:AlternateContent>
          <mc:Choice Requires="wps">
            <w:drawing>
              <wp:anchor distT="0" distB="0" distL="114300" distR="114300" simplePos="0" relativeHeight="251667456" behindDoc="0" locked="0" layoutInCell="0" allowOverlap="1">
                <wp:simplePos x="0" y="0"/>
                <wp:positionH relativeFrom="page">
                  <wp:posOffset>875030</wp:posOffset>
                </wp:positionH>
                <wp:positionV relativeFrom="page">
                  <wp:posOffset>8895715</wp:posOffset>
                </wp:positionV>
                <wp:extent cx="1828800" cy="1905"/>
                <wp:effectExtent l="0" t="0" r="0" b="0"/>
                <wp:wrapNone/>
                <wp:docPr id="12" name="任意多边形 12"/>
                <wp:cNvGraphicFramePr/>
                <a:graphic xmlns:a="http://schemas.openxmlformats.org/drawingml/2006/main">
                  <a:graphicData uri="http://schemas.microsoft.com/office/word/2010/wordprocessingShape">
                    <wps:wsp>
                      <wps:cNvSpPr/>
                      <wps:spPr>
                        <a:xfrm>
                          <a:off x="0" y="0"/>
                          <a:ext cx="1828800" cy="1905"/>
                        </a:xfrm>
                        <a:custGeom>
                          <a:avLst/>
                          <a:gdLst/>
                          <a:ahLst/>
                          <a:cxnLst/>
                          <a:pathLst>
                            <a:path w="2880" h="3">
                              <a:moveTo>
                                <a:pt x="0" y="1"/>
                              </a:moveTo>
                              <a:lnTo>
                                <a:pt x="2880" y="1"/>
                              </a:lnTo>
                            </a:path>
                          </a:pathLst>
                        </a:custGeom>
                        <a:noFill/>
                        <a:ln w="1524" cap="flat" cmpd="sng">
                          <a:no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68.9pt;margin-top:700.45pt;height:0.15pt;width:144pt;mso-position-horizontal-relative:page;mso-position-vertical-relative:page;z-index:251667456;mso-width-relative:page;mso-height-relative:page;" filled="f" stroked="f" coordsize="2880,3" o:allowincell="f" o:gfxdata="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M3sd89wAAAANAQAADwAAAAAAAAABACAAAAAiAAAAZHJzL2Rvd25yZXYueG1s&#10;UEsBAhQAFAAAAAgAh07iQP1ziNgtAgAAfAQAAA4AAAAAAAAAAQAgAAAAKwEAAGRycy9lMm9Eb2Mu&#10;eG1sUEsFBgAAAAAGAAYAWQEAAMoFAAAAAA==&#10;" path="m0,1l2880,1e">
                <v:fill on="f" focussize="0,0"/>
                <v:stroke on="f" weight="0.12pt" miterlimit="10" joinstyle="miter"/>
                <v:imagedata o:title=""/>
                <o:lock v:ext="edit" aspectratio="f"/>
              </v:shape>
            </w:pict>
          </mc:Fallback>
        </mc:AlternateContent>
      </w:r>
    </w:p>
    <w:p>
      <w:pPr>
        <w:tabs>
          <w:tab w:val="left" w:pos="2646"/>
        </w:tabs>
        <w:spacing w:before="117" w:line="221" w:lineRule="auto"/>
        <w:jc w:val="center"/>
        <w:outlineLvl w:val="2"/>
        <w:rPr>
          <w:rFonts w:hint="eastAsia" w:ascii="黑体" w:hAnsi="黑体" w:eastAsia="黑体" w:cs="黑体"/>
          <w:color w:val="auto"/>
          <w:spacing w:val="-2"/>
          <w:sz w:val="24"/>
          <w:szCs w:val="24"/>
          <w:highlight w:val="none"/>
          <w:lang w:val="en-US" w:eastAsia="zh-CN"/>
        </w:rPr>
      </w:pPr>
      <w:bookmarkStart w:id="763" w:name="_Toc17764"/>
    </w:p>
    <w:p>
      <w:pPr>
        <w:tabs>
          <w:tab w:val="left" w:pos="2646"/>
        </w:tabs>
        <w:spacing w:before="117" w:line="221" w:lineRule="auto"/>
        <w:jc w:val="center"/>
        <w:outlineLvl w:val="2"/>
        <w:rPr>
          <w:rFonts w:hint="eastAsia" w:ascii="黑体" w:hAnsi="黑体" w:eastAsia="黑体" w:cs="黑体"/>
          <w:color w:val="auto"/>
          <w:spacing w:val="-2"/>
          <w:sz w:val="36"/>
          <w:szCs w:val="36"/>
          <w:highlight w:val="none"/>
          <w:lang w:val="en-US" w:eastAsia="zh-CN"/>
        </w:rPr>
      </w:pPr>
      <w:r>
        <w:rPr>
          <w:rFonts w:hint="eastAsia" w:ascii="黑体" w:hAnsi="黑体" w:eastAsia="黑体" w:cs="黑体"/>
          <w:color w:val="auto"/>
          <w:spacing w:val="-2"/>
          <w:sz w:val="36"/>
          <w:szCs w:val="36"/>
          <w:highlight w:val="none"/>
          <w:lang w:val="en-US" w:eastAsia="zh-CN"/>
        </w:rPr>
        <w:t>九、网上查询凭证</w:t>
      </w:r>
      <w:bookmarkEnd w:id="763"/>
    </w:p>
    <w:p>
      <w:pPr>
        <w:tabs>
          <w:tab w:val="left" w:pos="2646"/>
        </w:tabs>
        <w:spacing w:before="117" w:line="221" w:lineRule="auto"/>
        <w:ind w:left="268"/>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(查询时间从公告发布之日起至投标截止之日止)</w:t>
      </w:r>
    </w:p>
    <w:p>
      <w:pPr>
        <w:spacing w:line="280" w:lineRule="auto"/>
        <w:jc w:val="center"/>
        <w:rPr>
          <w:rFonts w:hint="eastAsia" w:ascii="宋体" w:hAnsi="宋体" w:eastAsia="宋体" w:cs="宋体"/>
          <w:color w:val="auto"/>
          <w:sz w:val="22"/>
          <w:szCs w:val="22"/>
          <w:highlight w:val="none"/>
          <w:lang w:val="en-US" w:eastAsia="zh-CN"/>
        </w:rPr>
      </w:pPr>
    </w:p>
    <w:p>
      <w:pPr>
        <w:spacing w:line="280" w:lineRule="auto"/>
        <w:jc w:val="center"/>
        <w:rPr>
          <w:rFonts w:hint="eastAsia" w:ascii="宋体" w:hAnsi="宋体" w:eastAsia="宋体" w:cs="宋体"/>
          <w:color w:val="auto"/>
          <w:sz w:val="22"/>
          <w:szCs w:val="22"/>
          <w:highlight w:val="none"/>
          <w:lang w:val="en-US" w:eastAsia="zh-CN"/>
        </w:rPr>
      </w:pPr>
    </w:p>
    <w:p>
      <w:pPr>
        <w:numPr>
          <w:ilvl w:val="0"/>
          <w:numId w:val="12"/>
        </w:numPr>
        <w:spacing w:line="340" w:lineRule="exact"/>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sz w:val="22"/>
          <w:szCs w:val="22"/>
          <w:highlight w:val="none"/>
        </w:rPr>
        <w:t>企业</w:t>
      </w:r>
      <w:r>
        <w:rPr>
          <w:rFonts w:hint="eastAsia" w:ascii="宋体" w:hAnsi="宋体" w:eastAsia="宋体" w:cs="宋体"/>
          <w:snapToGrid w:val="0"/>
          <w:color w:val="auto"/>
          <w:sz w:val="22"/>
          <w:szCs w:val="22"/>
          <w:highlight w:val="none"/>
          <w:lang w:val="en-US" w:eastAsia="zh-CN"/>
        </w:rPr>
        <w:t>、</w:t>
      </w:r>
      <w:r>
        <w:rPr>
          <w:rFonts w:hint="eastAsia" w:ascii="宋体" w:hAnsi="宋体" w:eastAsia="宋体" w:cs="宋体"/>
          <w:snapToGrid w:val="0"/>
          <w:color w:val="auto"/>
          <w:sz w:val="22"/>
          <w:szCs w:val="22"/>
          <w:highlight w:val="none"/>
        </w:rPr>
        <w:t>法定代表人</w:t>
      </w:r>
      <w:r>
        <w:rPr>
          <w:rFonts w:hint="eastAsia" w:ascii="宋体" w:hAnsi="宋体" w:eastAsia="宋体" w:cs="宋体"/>
          <w:snapToGrid w:val="0"/>
          <w:color w:val="auto"/>
          <w:sz w:val="22"/>
          <w:szCs w:val="22"/>
          <w:highlight w:val="none"/>
          <w:lang w:val="en-US" w:eastAsia="zh-CN"/>
        </w:rPr>
        <w:t>、</w:t>
      </w:r>
      <w:r>
        <w:rPr>
          <w:rFonts w:hint="eastAsia" w:ascii="宋体" w:hAnsi="宋体" w:eastAsia="宋体" w:cs="宋体"/>
          <w:snapToGrid w:val="0"/>
          <w:color w:val="auto"/>
          <w:sz w:val="22"/>
          <w:szCs w:val="22"/>
          <w:highlight w:val="none"/>
        </w:rPr>
        <w:t>项目负责人三年内无行贿犯罪记录证明</w:t>
      </w:r>
    </w:p>
    <w:p>
      <w:pPr>
        <w:numPr>
          <w:ilvl w:val="0"/>
          <w:numId w:val="0"/>
        </w:numPr>
        <w:spacing w:line="34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(以“中国裁判文书网”查询为准)。</w:t>
      </w:r>
    </w:p>
    <w:p>
      <w:pPr>
        <w:spacing w:line="340" w:lineRule="exact"/>
        <w:rPr>
          <w:rFonts w:hint="eastAsia" w:ascii="宋体" w:hAnsi="宋体" w:eastAsia="宋体" w:cs="宋体"/>
          <w:color w:val="auto"/>
          <w:sz w:val="22"/>
          <w:szCs w:val="22"/>
          <w:highlight w:val="none"/>
        </w:rPr>
      </w:pPr>
    </w:p>
    <w:p>
      <w:pPr>
        <w:spacing w:line="340" w:lineRule="exact"/>
        <w:rPr>
          <w:rFonts w:hint="eastAsia" w:ascii="宋体" w:hAnsi="宋体" w:eastAsia="宋体" w:cs="宋体"/>
          <w:color w:val="auto"/>
          <w:sz w:val="22"/>
          <w:szCs w:val="22"/>
          <w:highlight w:val="none"/>
        </w:rPr>
      </w:pPr>
    </w:p>
    <w:p>
      <w:pPr>
        <w:spacing w:line="340" w:lineRule="exact"/>
        <w:rPr>
          <w:rFonts w:hint="eastAsia" w:ascii="宋体" w:hAnsi="宋体" w:eastAsia="宋体" w:cs="宋体"/>
          <w:color w:val="auto"/>
          <w:sz w:val="22"/>
          <w:szCs w:val="22"/>
          <w:highlight w:val="none"/>
        </w:rPr>
      </w:pPr>
    </w:p>
    <w:p>
      <w:pPr>
        <w:spacing w:line="340" w:lineRule="exact"/>
        <w:rPr>
          <w:rFonts w:hint="eastAsia" w:ascii="宋体" w:hAnsi="宋体" w:eastAsia="宋体" w:cs="宋体"/>
          <w:color w:val="auto"/>
          <w:sz w:val="22"/>
          <w:szCs w:val="22"/>
          <w:highlight w:val="none"/>
        </w:rPr>
      </w:pPr>
    </w:p>
    <w:p>
      <w:pPr>
        <w:spacing w:line="34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凭证粘贴处</w:t>
      </w:r>
    </w:p>
    <w:p>
      <w:pPr>
        <w:spacing w:line="340" w:lineRule="exact"/>
        <w:rPr>
          <w:rFonts w:hint="eastAsia" w:ascii="宋体" w:hAnsi="宋体" w:eastAsia="宋体" w:cs="宋体"/>
          <w:color w:val="auto"/>
          <w:sz w:val="22"/>
          <w:szCs w:val="22"/>
          <w:highlight w:val="none"/>
        </w:rPr>
      </w:pPr>
    </w:p>
    <w:p>
      <w:pPr>
        <w:spacing w:line="340" w:lineRule="exact"/>
        <w:rPr>
          <w:rFonts w:hint="eastAsia" w:ascii="宋体" w:hAnsi="宋体" w:eastAsia="宋体" w:cs="宋体"/>
          <w:color w:val="auto"/>
          <w:sz w:val="22"/>
          <w:szCs w:val="22"/>
          <w:highlight w:val="none"/>
        </w:rPr>
      </w:pPr>
    </w:p>
    <w:p>
      <w:pPr>
        <w:spacing w:line="340" w:lineRule="exact"/>
        <w:rPr>
          <w:rFonts w:hint="eastAsia" w:ascii="宋体" w:hAnsi="宋体" w:eastAsia="宋体" w:cs="宋体"/>
          <w:color w:val="auto"/>
          <w:sz w:val="22"/>
          <w:szCs w:val="22"/>
          <w:highlight w:val="none"/>
        </w:rPr>
      </w:pPr>
    </w:p>
    <w:p>
      <w:pPr>
        <w:spacing w:line="340" w:lineRule="exact"/>
        <w:jc w:val="center"/>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1"/>
          <w:szCs w:val="21"/>
          <w:highlight w:val="none"/>
          <w:lang w:val="en-US" w:eastAsia="zh-CN"/>
        </w:rPr>
        <w:t>2、投标人未</w:t>
      </w:r>
      <w:r>
        <w:rPr>
          <w:rFonts w:hint="eastAsia" w:ascii="宋体" w:hAnsi="宋体" w:eastAsia="宋体" w:cs="宋体"/>
          <w:color w:val="auto"/>
          <w:sz w:val="21"/>
          <w:szCs w:val="21"/>
          <w:highlight w:val="none"/>
        </w:rPr>
        <w:t>被列入严重违法失信企业</w:t>
      </w:r>
      <w:r>
        <w:rPr>
          <w:rFonts w:hint="eastAsia" w:ascii="宋体" w:hAnsi="宋体" w:eastAsia="宋体" w:cs="宋体"/>
          <w:color w:val="auto"/>
          <w:sz w:val="21"/>
          <w:szCs w:val="21"/>
          <w:highlight w:val="none"/>
          <w:lang w:val="en-US" w:eastAsia="zh-CN"/>
        </w:rPr>
        <w:t>证明</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以“</w:t>
      </w:r>
      <w:r>
        <w:rPr>
          <w:rFonts w:hint="eastAsia" w:ascii="宋体" w:hAnsi="宋体" w:eastAsia="宋体" w:cs="宋体"/>
          <w:color w:val="auto"/>
          <w:sz w:val="21"/>
          <w:szCs w:val="21"/>
          <w:highlight w:val="none"/>
        </w:rPr>
        <w:t>国家企业信用信息公示系统(</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"http://www.gsxt.gov.cn"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http://www.gsxt.gov.cn</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w:t>
      </w:r>
      <w:r>
        <w:rPr>
          <w:rFonts w:hint="eastAsia" w:ascii="宋体" w:hAnsi="宋体" w:eastAsia="宋体" w:cs="宋体"/>
          <w:color w:val="auto"/>
          <w:sz w:val="22"/>
          <w:szCs w:val="22"/>
          <w:highlight w:val="none"/>
        </w:rPr>
        <w:t>”查询为准</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p>
    <w:p>
      <w:pPr>
        <w:spacing w:line="340" w:lineRule="exact"/>
        <w:rPr>
          <w:rFonts w:hint="eastAsia" w:ascii="宋体" w:hAnsi="宋体" w:eastAsia="宋体" w:cs="宋体"/>
          <w:color w:val="auto"/>
          <w:sz w:val="22"/>
          <w:szCs w:val="22"/>
          <w:highlight w:val="none"/>
        </w:rPr>
      </w:pPr>
    </w:p>
    <w:p>
      <w:pPr>
        <w:spacing w:line="340" w:lineRule="exact"/>
        <w:rPr>
          <w:rFonts w:hint="eastAsia" w:ascii="宋体" w:hAnsi="宋体" w:eastAsia="宋体" w:cs="宋体"/>
          <w:color w:val="auto"/>
          <w:sz w:val="22"/>
          <w:szCs w:val="22"/>
          <w:highlight w:val="none"/>
        </w:rPr>
      </w:pPr>
    </w:p>
    <w:p>
      <w:pPr>
        <w:spacing w:line="340" w:lineRule="exact"/>
        <w:rPr>
          <w:rFonts w:hint="eastAsia" w:ascii="宋体" w:hAnsi="宋体" w:eastAsia="宋体" w:cs="宋体"/>
          <w:color w:val="auto"/>
          <w:sz w:val="22"/>
          <w:szCs w:val="22"/>
          <w:highlight w:val="none"/>
        </w:rPr>
      </w:pPr>
    </w:p>
    <w:p>
      <w:pPr>
        <w:spacing w:line="340" w:lineRule="exact"/>
        <w:rPr>
          <w:rFonts w:hint="eastAsia" w:ascii="宋体" w:hAnsi="宋体" w:eastAsia="宋体" w:cs="宋体"/>
          <w:color w:val="auto"/>
          <w:sz w:val="22"/>
          <w:szCs w:val="22"/>
          <w:highlight w:val="none"/>
        </w:rPr>
      </w:pPr>
    </w:p>
    <w:p>
      <w:pPr>
        <w:spacing w:line="34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凭证粘贴处</w:t>
      </w:r>
    </w:p>
    <w:p>
      <w:pPr>
        <w:spacing w:line="340" w:lineRule="exact"/>
        <w:rPr>
          <w:rFonts w:hint="eastAsia" w:ascii="宋体" w:hAnsi="宋体" w:eastAsia="宋体" w:cs="宋体"/>
          <w:color w:val="auto"/>
          <w:sz w:val="22"/>
          <w:szCs w:val="22"/>
          <w:highlight w:val="none"/>
        </w:rPr>
      </w:pPr>
    </w:p>
    <w:p>
      <w:pPr>
        <w:spacing w:line="340" w:lineRule="exact"/>
        <w:rPr>
          <w:rFonts w:hint="eastAsia" w:ascii="宋体" w:hAnsi="宋体" w:eastAsia="宋体" w:cs="宋体"/>
          <w:color w:val="auto"/>
          <w:sz w:val="22"/>
          <w:szCs w:val="22"/>
          <w:highlight w:val="none"/>
        </w:rPr>
      </w:pPr>
    </w:p>
    <w:p>
      <w:pPr>
        <w:spacing w:line="340" w:lineRule="exact"/>
        <w:rPr>
          <w:rFonts w:hint="eastAsia" w:ascii="宋体" w:hAnsi="宋体" w:eastAsia="宋体" w:cs="宋体"/>
          <w:color w:val="auto"/>
          <w:sz w:val="22"/>
          <w:szCs w:val="22"/>
          <w:highlight w:val="none"/>
        </w:rPr>
      </w:pPr>
    </w:p>
    <w:p>
      <w:pPr>
        <w:numPr>
          <w:ilvl w:val="0"/>
          <w:numId w:val="0"/>
        </w:numPr>
        <w:spacing w:line="300" w:lineRule="exact"/>
        <w:ind w:leftChars="0"/>
        <w:jc w:val="center"/>
        <w:rPr>
          <w:rFonts w:hint="eastAsia" w:ascii="宋体" w:hAnsi="宋体" w:eastAsia="宋体" w:cs="宋体"/>
          <w:color w:val="auto"/>
          <w:spacing w:val="0"/>
          <w:position w:val="0"/>
          <w:sz w:val="21"/>
          <w:szCs w:val="21"/>
          <w:highlight w:val="none"/>
          <w:lang w:val="en-US" w:eastAsia="zh-CN"/>
        </w:rPr>
      </w:pPr>
      <w:r>
        <w:rPr>
          <w:rFonts w:hint="eastAsia" w:ascii="宋体" w:hAnsi="宋体" w:eastAsia="宋体" w:cs="宋体"/>
          <w:snapToGrid w:val="0"/>
          <w:color w:val="auto"/>
          <w:sz w:val="22"/>
          <w:szCs w:val="22"/>
          <w:highlight w:val="none"/>
          <w:lang w:val="en-US" w:eastAsia="zh-CN"/>
        </w:rPr>
        <w:t>3、投标人未</w:t>
      </w:r>
      <w:r>
        <w:rPr>
          <w:rFonts w:hint="eastAsia" w:ascii="宋体" w:hAnsi="宋体" w:eastAsia="宋体" w:cs="宋体"/>
          <w:color w:val="auto"/>
          <w:spacing w:val="0"/>
          <w:position w:val="0"/>
          <w:sz w:val="21"/>
          <w:szCs w:val="21"/>
          <w:highlight w:val="none"/>
        </w:rPr>
        <w:t>被列入失信被执行人</w:t>
      </w:r>
      <w:r>
        <w:rPr>
          <w:rFonts w:hint="eastAsia" w:ascii="宋体" w:hAnsi="宋体" w:eastAsia="宋体" w:cs="宋体"/>
          <w:color w:val="auto"/>
          <w:spacing w:val="0"/>
          <w:position w:val="0"/>
          <w:sz w:val="21"/>
          <w:szCs w:val="21"/>
          <w:highlight w:val="none"/>
          <w:lang w:val="en-US" w:eastAsia="zh-CN"/>
        </w:rPr>
        <w:t>证明</w:t>
      </w:r>
    </w:p>
    <w:p>
      <w:pPr>
        <w:numPr>
          <w:ilvl w:val="0"/>
          <w:numId w:val="0"/>
        </w:numPr>
        <w:spacing w:line="300" w:lineRule="exact"/>
        <w:ind w:leftChars="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（以“信用中国”网站(http://www.creditchina.gov.cn/) 查询为准）</w:t>
      </w:r>
    </w:p>
    <w:p>
      <w:pPr>
        <w:pStyle w:val="2"/>
        <w:rPr>
          <w:rFonts w:hint="eastAsia" w:ascii="宋体" w:hAnsi="宋体" w:eastAsia="宋体" w:cs="宋体"/>
          <w:color w:val="auto"/>
          <w:sz w:val="22"/>
          <w:szCs w:val="22"/>
          <w:highlight w:val="none"/>
          <w:lang w:val="en-US" w:eastAsia="zh-CN"/>
        </w:rPr>
      </w:pPr>
    </w:p>
    <w:p>
      <w:pPr>
        <w:pStyle w:val="2"/>
        <w:rPr>
          <w:rFonts w:hint="eastAsia" w:ascii="宋体" w:hAnsi="宋体" w:eastAsia="宋体" w:cs="宋体"/>
          <w:color w:val="auto"/>
          <w:sz w:val="22"/>
          <w:szCs w:val="22"/>
          <w:highlight w:val="none"/>
          <w:lang w:val="en-US" w:eastAsia="zh-CN"/>
        </w:rPr>
      </w:pPr>
    </w:p>
    <w:p>
      <w:pPr>
        <w:pStyle w:val="2"/>
        <w:rPr>
          <w:rFonts w:hint="eastAsia" w:ascii="宋体" w:hAnsi="宋体" w:eastAsia="宋体" w:cs="宋体"/>
          <w:color w:val="auto"/>
          <w:sz w:val="22"/>
          <w:szCs w:val="22"/>
          <w:highlight w:val="none"/>
          <w:lang w:val="en-US" w:eastAsia="zh-CN"/>
        </w:rPr>
      </w:pPr>
    </w:p>
    <w:p>
      <w:pPr>
        <w:pStyle w:val="2"/>
        <w:rPr>
          <w:rFonts w:hint="eastAsia" w:ascii="宋体" w:hAnsi="宋体" w:eastAsia="宋体" w:cs="宋体"/>
          <w:color w:val="auto"/>
          <w:sz w:val="22"/>
          <w:szCs w:val="22"/>
          <w:highlight w:val="none"/>
          <w:lang w:val="en-US" w:eastAsia="zh-CN"/>
        </w:rPr>
      </w:pPr>
    </w:p>
    <w:p>
      <w:pPr>
        <w:pStyle w:val="2"/>
        <w:rPr>
          <w:rFonts w:hint="eastAsia" w:ascii="宋体" w:hAnsi="宋体" w:eastAsia="宋体" w:cs="宋体"/>
          <w:color w:val="auto"/>
          <w:sz w:val="22"/>
          <w:szCs w:val="22"/>
          <w:highlight w:val="none"/>
          <w:lang w:val="en-US" w:eastAsia="zh-CN"/>
        </w:rPr>
      </w:pPr>
    </w:p>
    <w:p>
      <w:pPr>
        <w:spacing w:line="34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凭证粘贴处</w:t>
      </w:r>
    </w:p>
    <w:p>
      <w:pPr>
        <w:pStyle w:val="2"/>
        <w:rPr>
          <w:rFonts w:hint="eastAsia" w:ascii="Arial"/>
          <w:color w:val="auto"/>
          <w:sz w:val="21"/>
          <w:highlight w:val="none"/>
          <w:lang w:val="en-US" w:eastAsia="zh-CN"/>
        </w:rPr>
      </w:pPr>
    </w:p>
    <w:p>
      <w:pPr>
        <w:numPr>
          <w:ilvl w:val="0"/>
          <w:numId w:val="0"/>
        </w:numPr>
        <w:spacing w:before="117" w:line="222" w:lineRule="auto"/>
        <w:rPr>
          <w:rFonts w:hint="default" w:ascii="黑体" w:hAnsi="黑体" w:eastAsia="黑体" w:cs="黑体"/>
          <w:color w:val="auto"/>
          <w:spacing w:val="-28"/>
          <w:sz w:val="36"/>
          <w:szCs w:val="36"/>
          <w:highlight w:val="none"/>
          <w:lang w:val="en-US" w:eastAsia="zh-CN"/>
        </w:rPr>
      </w:pPr>
    </w:p>
    <w:p>
      <w:pPr>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ind w:left="0" w:leftChars="0" w:firstLine="0" w:firstLineChars="0"/>
        <w:rPr>
          <w:color w:val="auto"/>
          <w:highlight w:val="none"/>
        </w:rPr>
      </w:pPr>
    </w:p>
    <w:p>
      <w:pPr>
        <w:spacing w:before="269" w:line="223" w:lineRule="auto"/>
        <w:ind w:left="3715"/>
        <w:outlineLvl w:val="2"/>
        <w:rPr>
          <w:rFonts w:hint="eastAsia" w:ascii="黑体" w:hAnsi="黑体" w:eastAsia="黑体" w:cs="黑体"/>
          <w:color w:val="auto"/>
          <w:spacing w:val="-33"/>
          <w:sz w:val="24"/>
          <w:szCs w:val="24"/>
          <w:highlight w:val="none"/>
          <w:lang w:val="en-US" w:eastAsia="zh-CN"/>
        </w:rPr>
      </w:pPr>
      <w:bookmarkStart w:id="764" w:name="_Toc20343"/>
    </w:p>
    <w:p>
      <w:pPr>
        <w:spacing w:before="269" w:line="223" w:lineRule="auto"/>
        <w:ind w:left="3715"/>
        <w:outlineLvl w:val="2"/>
        <w:rPr>
          <w:rFonts w:hint="eastAsia" w:ascii="黑体" w:hAnsi="黑体" w:eastAsia="黑体" w:cs="黑体"/>
          <w:color w:val="auto"/>
          <w:spacing w:val="-2"/>
          <w:sz w:val="36"/>
          <w:szCs w:val="36"/>
          <w:highlight w:val="none"/>
          <w:lang w:val="en-US" w:eastAsia="zh-CN"/>
        </w:rPr>
      </w:pPr>
      <w:r>
        <w:rPr>
          <w:rFonts w:hint="eastAsia" w:ascii="黑体" w:hAnsi="黑体" w:eastAsia="黑体" w:cs="黑体"/>
          <w:color w:val="auto"/>
          <w:spacing w:val="-33"/>
          <w:sz w:val="36"/>
          <w:szCs w:val="36"/>
          <w:highlight w:val="none"/>
          <w:lang w:val="en-US" w:eastAsia="zh-CN"/>
        </w:rPr>
        <w:t>十、</w:t>
      </w:r>
      <w:r>
        <w:rPr>
          <w:rFonts w:hint="eastAsia" w:ascii="黑体" w:hAnsi="黑体" w:eastAsia="黑体" w:cs="黑体"/>
          <w:color w:val="auto"/>
          <w:spacing w:val="-2"/>
          <w:sz w:val="36"/>
          <w:szCs w:val="36"/>
          <w:highlight w:val="none"/>
          <w:lang w:val="en-US" w:eastAsia="zh-CN"/>
        </w:rPr>
        <w:t>其他材料</w:t>
      </w:r>
      <w:bookmarkEnd w:id="764"/>
    </w:p>
    <w:p>
      <w:pPr>
        <w:pStyle w:val="2"/>
        <w:rPr>
          <w:color w:val="auto"/>
          <w:highlight w:val="none"/>
        </w:rPr>
        <w:sectPr>
          <w:pgSz w:w="11900" w:h="16840"/>
          <w:pgMar w:top="1160" w:right="1354" w:bottom="1448" w:left="1363" w:header="883" w:footer="1234" w:gutter="0"/>
          <w:pgNumType w:fmt="decimal"/>
          <w:cols w:space="720" w:num="1"/>
        </w:sectPr>
      </w:pPr>
    </w:p>
    <w:p>
      <w:pPr>
        <w:spacing w:line="243" w:lineRule="auto"/>
        <w:rPr>
          <w:rFonts w:ascii="Arial"/>
          <w:color w:val="auto"/>
          <w:sz w:val="21"/>
          <w:highlight w:val="none"/>
        </w:rPr>
      </w:pPr>
    </w:p>
    <w:p>
      <w:pPr>
        <w:spacing w:line="244" w:lineRule="auto"/>
        <w:rPr>
          <w:rFonts w:ascii="Arial"/>
          <w:color w:val="auto"/>
          <w:sz w:val="21"/>
          <w:highlight w:val="none"/>
        </w:rPr>
      </w:pPr>
    </w:p>
    <w:p>
      <w:pPr>
        <w:spacing w:line="244" w:lineRule="auto"/>
        <w:rPr>
          <w:rFonts w:ascii="Arial"/>
          <w:color w:val="auto"/>
          <w:sz w:val="21"/>
          <w:highlight w:val="none"/>
        </w:rPr>
      </w:pPr>
    </w:p>
    <w:p>
      <w:pPr>
        <w:spacing w:line="244" w:lineRule="auto"/>
        <w:rPr>
          <w:rFonts w:ascii="Arial"/>
          <w:color w:val="auto"/>
          <w:sz w:val="21"/>
          <w:highlight w:val="none"/>
        </w:rPr>
      </w:pPr>
    </w:p>
    <w:p>
      <w:pPr>
        <w:spacing w:line="255" w:lineRule="auto"/>
        <w:rPr>
          <w:rFonts w:ascii="Arial"/>
          <w:color w:val="auto"/>
          <w:sz w:val="21"/>
          <w:highlight w:val="none"/>
        </w:rPr>
      </w:pPr>
    </w:p>
    <w:p>
      <w:pPr>
        <w:spacing w:line="255" w:lineRule="auto"/>
        <w:rPr>
          <w:rFonts w:ascii="Arial"/>
          <w:color w:val="auto"/>
          <w:sz w:val="21"/>
          <w:highlight w:val="none"/>
        </w:rPr>
      </w:pPr>
    </w:p>
    <w:p>
      <w:pPr>
        <w:spacing w:line="255" w:lineRule="auto"/>
        <w:rPr>
          <w:rFonts w:ascii="Arial"/>
          <w:color w:val="auto"/>
          <w:sz w:val="21"/>
          <w:highlight w:val="none"/>
        </w:rPr>
      </w:pPr>
    </w:p>
    <w:p>
      <w:pPr>
        <w:tabs>
          <w:tab w:val="left" w:pos="2646"/>
        </w:tabs>
        <w:spacing w:before="117" w:line="221" w:lineRule="auto"/>
        <w:ind w:left="268"/>
        <w:rPr>
          <w:rFonts w:ascii="黑体" w:hAnsi="黑体" w:eastAsia="黑体" w:cs="黑体"/>
          <w:color w:val="auto"/>
          <w:sz w:val="36"/>
          <w:szCs w:val="36"/>
          <w:highlight w:val="none"/>
        </w:rPr>
      </w:pPr>
      <w:r>
        <w:rPr>
          <w:rFonts w:ascii="黑体" w:hAnsi="黑体" w:eastAsia="黑体" w:cs="黑体"/>
          <w:color w:val="auto"/>
          <w:sz w:val="36"/>
          <w:szCs w:val="36"/>
          <w:highlight w:val="none"/>
          <w:u w:val="single" w:color="auto"/>
        </w:rPr>
        <w:tab/>
      </w:r>
      <w:r>
        <w:rPr>
          <w:rFonts w:ascii="黑体" w:hAnsi="黑体" w:eastAsia="黑体" w:cs="黑体"/>
          <w:color w:val="auto"/>
          <w:spacing w:val="-2"/>
          <w:sz w:val="36"/>
          <w:szCs w:val="36"/>
          <w:highlight w:val="none"/>
        </w:rPr>
        <w:t>(项目名称)</w:t>
      </w:r>
      <w:r>
        <w:rPr>
          <w:rFonts w:ascii="黑体" w:hAnsi="黑体" w:eastAsia="黑体" w:cs="黑体"/>
          <w:color w:val="auto"/>
          <w:spacing w:val="-2"/>
          <w:sz w:val="36"/>
          <w:szCs w:val="36"/>
          <w:highlight w:val="none"/>
          <w:u w:val="single" w:color="auto"/>
        </w:rPr>
        <w:t xml:space="preserve">      </w:t>
      </w:r>
      <w:r>
        <w:rPr>
          <w:rFonts w:ascii="黑体" w:hAnsi="黑体" w:eastAsia="黑体" w:cs="黑体"/>
          <w:color w:val="auto"/>
          <w:spacing w:val="-1"/>
          <w:sz w:val="36"/>
          <w:szCs w:val="36"/>
          <w:highlight w:val="none"/>
          <w:u w:val="single" w:color="auto"/>
        </w:rPr>
        <w:t xml:space="preserve">       </w:t>
      </w:r>
      <w:r>
        <w:rPr>
          <w:rFonts w:ascii="黑体" w:hAnsi="黑体" w:eastAsia="黑体" w:cs="黑体"/>
          <w:color w:val="auto"/>
          <w:spacing w:val="-1"/>
          <w:sz w:val="36"/>
          <w:szCs w:val="36"/>
          <w:highlight w:val="none"/>
        </w:rPr>
        <w:t>标段施工招标</w:t>
      </w:r>
    </w:p>
    <w:p>
      <w:pPr>
        <w:rPr>
          <w:rFonts w:ascii="Arial"/>
          <w:color w:val="auto"/>
          <w:sz w:val="21"/>
          <w:highlight w:val="none"/>
        </w:rPr>
      </w:pPr>
    </w:p>
    <w:p>
      <w:pPr>
        <w:rPr>
          <w:rFonts w:ascii="Arial"/>
          <w:color w:val="auto"/>
          <w:sz w:val="21"/>
          <w:highlight w:val="none"/>
        </w:rPr>
      </w:pPr>
    </w:p>
    <w:p>
      <w:pPr>
        <w:rPr>
          <w:rFonts w:ascii="Arial"/>
          <w:color w:val="auto"/>
          <w:sz w:val="21"/>
          <w:highlight w:val="none"/>
        </w:rPr>
      </w:pPr>
    </w:p>
    <w:p>
      <w:pPr>
        <w:rPr>
          <w:rFonts w:ascii="Arial"/>
          <w:color w:val="auto"/>
          <w:sz w:val="21"/>
          <w:highlight w:val="none"/>
        </w:rPr>
      </w:pPr>
    </w:p>
    <w:p>
      <w:pPr>
        <w:rPr>
          <w:rFonts w:ascii="Arial"/>
          <w:color w:val="auto"/>
          <w:sz w:val="21"/>
          <w:highlight w:val="none"/>
        </w:rPr>
      </w:pPr>
    </w:p>
    <w:p>
      <w:pPr>
        <w:pStyle w:val="2"/>
        <w:rPr>
          <w:color w:val="auto"/>
          <w:highlight w:val="none"/>
        </w:rPr>
      </w:pPr>
    </w:p>
    <w:p>
      <w:pPr>
        <w:rPr>
          <w:rFonts w:ascii="Arial"/>
          <w:color w:val="auto"/>
          <w:sz w:val="21"/>
          <w:highlight w:val="none"/>
        </w:rPr>
      </w:pPr>
    </w:p>
    <w:p>
      <w:pPr>
        <w:spacing w:before="273" w:line="223" w:lineRule="auto"/>
        <w:ind w:left="2306"/>
        <w:rPr>
          <w:rFonts w:ascii="黑体" w:hAnsi="黑体" w:eastAsia="黑体" w:cs="黑体"/>
          <w:color w:val="auto"/>
          <w:sz w:val="84"/>
          <w:szCs w:val="84"/>
          <w:highlight w:val="none"/>
        </w:rPr>
      </w:pPr>
      <w:r>
        <w:rPr>
          <w:rFonts w:ascii="黑体" w:hAnsi="黑体" w:eastAsia="黑体" w:cs="黑体"/>
          <w:color w:val="auto"/>
          <w:sz w:val="84"/>
          <w:szCs w:val="84"/>
          <w:highlight w:val="none"/>
        </w:rPr>
        <w:t>投 标 文 件</w:t>
      </w:r>
    </w:p>
    <w:p>
      <w:pPr>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line="241" w:lineRule="auto"/>
        <w:rPr>
          <w:rFonts w:ascii="Arial"/>
          <w:color w:val="auto"/>
          <w:sz w:val="21"/>
          <w:highlight w:val="none"/>
        </w:rPr>
      </w:pPr>
    </w:p>
    <w:p>
      <w:pPr>
        <w:spacing w:before="117" w:line="222" w:lineRule="auto"/>
        <w:ind w:left="2622"/>
        <w:outlineLvl w:val="2"/>
        <w:rPr>
          <w:rFonts w:ascii="黑体" w:hAnsi="黑体" w:eastAsia="黑体" w:cs="黑体"/>
          <w:color w:val="auto"/>
          <w:sz w:val="36"/>
          <w:szCs w:val="36"/>
          <w:highlight w:val="none"/>
        </w:rPr>
      </w:pPr>
      <w:bookmarkStart w:id="765" w:name="_Toc16872"/>
      <w:r>
        <w:rPr>
          <w:rFonts w:ascii="黑体" w:hAnsi="黑体" w:eastAsia="黑体" w:cs="黑体"/>
          <w:color w:val="auto"/>
          <w:spacing w:val="-6"/>
          <w:sz w:val="36"/>
          <w:szCs w:val="36"/>
          <w:highlight w:val="none"/>
        </w:rPr>
        <w:t>第二</w:t>
      </w:r>
      <w:r>
        <w:rPr>
          <w:rFonts w:ascii="黑体" w:hAnsi="黑体" w:eastAsia="黑体" w:cs="黑体"/>
          <w:color w:val="auto"/>
          <w:spacing w:val="-5"/>
          <w:sz w:val="36"/>
          <w:szCs w:val="36"/>
          <w:highlight w:val="none"/>
        </w:rPr>
        <w:t>个</w:t>
      </w:r>
      <w:r>
        <w:rPr>
          <w:rFonts w:ascii="黑体" w:hAnsi="黑体" w:eastAsia="黑体" w:cs="黑体"/>
          <w:color w:val="auto"/>
          <w:spacing w:val="-3"/>
          <w:sz w:val="36"/>
          <w:szCs w:val="36"/>
          <w:highlight w:val="none"/>
        </w:rPr>
        <w:t>信封 (报价文件)</w:t>
      </w:r>
      <w:bookmarkEnd w:id="765"/>
    </w:p>
    <w:p>
      <w:pPr>
        <w:spacing w:line="248" w:lineRule="auto"/>
        <w:rPr>
          <w:rFonts w:ascii="Arial"/>
          <w:color w:val="auto"/>
          <w:sz w:val="21"/>
          <w:highlight w:val="none"/>
        </w:rPr>
      </w:pPr>
    </w:p>
    <w:p>
      <w:pPr>
        <w:spacing w:line="248" w:lineRule="auto"/>
        <w:rPr>
          <w:rFonts w:ascii="Arial"/>
          <w:color w:val="auto"/>
          <w:sz w:val="21"/>
          <w:highlight w:val="none"/>
        </w:rPr>
      </w:pPr>
    </w:p>
    <w:p>
      <w:pPr>
        <w:spacing w:line="248" w:lineRule="auto"/>
        <w:rPr>
          <w:rFonts w:ascii="Arial"/>
          <w:color w:val="auto"/>
          <w:sz w:val="21"/>
          <w:highlight w:val="none"/>
        </w:rPr>
      </w:pPr>
    </w:p>
    <w:p>
      <w:pPr>
        <w:spacing w:line="248" w:lineRule="auto"/>
        <w:rPr>
          <w:rFonts w:ascii="Arial"/>
          <w:color w:val="auto"/>
          <w:sz w:val="21"/>
          <w:highlight w:val="none"/>
        </w:rPr>
      </w:pPr>
    </w:p>
    <w:p>
      <w:pPr>
        <w:spacing w:line="249" w:lineRule="auto"/>
        <w:rPr>
          <w:rFonts w:ascii="Arial"/>
          <w:color w:val="auto"/>
          <w:sz w:val="21"/>
          <w:highlight w:val="none"/>
        </w:rPr>
      </w:pPr>
    </w:p>
    <w:p>
      <w:pPr>
        <w:spacing w:line="249" w:lineRule="auto"/>
        <w:rPr>
          <w:rFonts w:ascii="Arial"/>
          <w:color w:val="auto"/>
          <w:sz w:val="21"/>
          <w:highlight w:val="none"/>
        </w:rPr>
      </w:pPr>
    </w:p>
    <w:p>
      <w:pPr>
        <w:spacing w:line="249" w:lineRule="auto"/>
        <w:rPr>
          <w:rFonts w:ascii="Arial"/>
          <w:color w:val="auto"/>
          <w:sz w:val="21"/>
          <w:highlight w:val="none"/>
        </w:rPr>
      </w:pPr>
    </w:p>
    <w:p>
      <w:pPr>
        <w:spacing w:line="249" w:lineRule="auto"/>
        <w:rPr>
          <w:rFonts w:ascii="Arial"/>
          <w:color w:val="auto"/>
          <w:sz w:val="21"/>
          <w:highlight w:val="none"/>
        </w:rPr>
      </w:pPr>
    </w:p>
    <w:p>
      <w:pPr>
        <w:spacing w:line="249" w:lineRule="auto"/>
        <w:rPr>
          <w:rFonts w:ascii="Arial"/>
          <w:color w:val="auto"/>
          <w:sz w:val="21"/>
          <w:highlight w:val="none"/>
        </w:rPr>
      </w:pPr>
    </w:p>
    <w:p>
      <w:pPr>
        <w:spacing w:line="249" w:lineRule="auto"/>
        <w:rPr>
          <w:rFonts w:ascii="Arial"/>
          <w:color w:val="auto"/>
          <w:sz w:val="21"/>
          <w:highlight w:val="none"/>
        </w:rPr>
      </w:pPr>
    </w:p>
    <w:p>
      <w:pPr>
        <w:spacing w:line="249" w:lineRule="auto"/>
        <w:rPr>
          <w:rFonts w:ascii="Arial"/>
          <w:color w:val="auto"/>
          <w:sz w:val="21"/>
          <w:highlight w:val="none"/>
        </w:rPr>
      </w:pPr>
    </w:p>
    <w:p>
      <w:pPr>
        <w:spacing w:line="249" w:lineRule="auto"/>
        <w:rPr>
          <w:rFonts w:ascii="Arial"/>
          <w:color w:val="auto"/>
          <w:sz w:val="21"/>
          <w:highlight w:val="none"/>
        </w:rPr>
      </w:pPr>
    </w:p>
    <w:p>
      <w:pPr>
        <w:spacing w:line="249" w:lineRule="auto"/>
        <w:rPr>
          <w:rFonts w:ascii="Arial"/>
          <w:color w:val="auto"/>
          <w:sz w:val="21"/>
          <w:highlight w:val="none"/>
        </w:rPr>
      </w:pPr>
    </w:p>
    <w:p>
      <w:pPr>
        <w:spacing w:line="249" w:lineRule="auto"/>
        <w:rPr>
          <w:rFonts w:ascii="Arial"/>
          <w:color w:val="auto"/>
          <w:sz w:val="21"/>
          <w:highlight w:val="none"/>
        </w:rPr>
      </w:pPr>
    </w:p>
    <w:p>
      <w:pPr>
        <w:spacing w:line="249" w:lineRule="auto"/>
        <w:rPr>
          <w:rFonts w:ascii="Arial"/>
          <w:color w:val="auto"/>
          <w:sz w:val="21"/>
          <w:highlight w:val="none"/>
        </w:rPr>
      </w:pPr>
    </w:p>
    <w:p>
      <w:pPr>
        <w:spacing w:line="249" w:lineRule="auto"/>
        <w:rPr>
          <w:rFonts w:ascii="Arial"/>
          <w:color w:val="auto"/>
          <w:sz w:val="21"/>
          <w:highlight w:val="none"/>
        </w:rPr>
      </w:pPr>
    </w:p>
    <w:p>
      <w:pPr>
        <w:spacing w:line="249" w:lineRule="auto"/>
        <w:rPr>
          <w:rFonts w:ascii="Arial"/>
          <w:color w:val="auto"/>
          <w:sz w:val="21"/>
          <w:highlight w:val="none"/>
        </w:rPr>
      </w:pPr>
    </w:p>
    <w:p>
      <w:pPr>
        <w:tabs>
          <w:tab w:val="left" w:pos="3621"/>
        </w:tabs>
        <w:spacing w:before="91" w:line="368" w:lineRule="auto"/>
        <w:ind w:left="2488" w:right="701" w:hanging="1810"/>
        <w:rPr>
          <w:rFonts w:ascii="黑体" w:hAnsi="黑体" w:eastAsia="黑体" w:cs="黑体"/>
          <w:color w:val="auto"/>
          <w:spacing w:val="-1"/>
          <w:sz w:val="28"/>
          <w:szCs w:val="28"/>
          <w:highlight w:val="none"/>
        </w:rPr>
      </w:pPr>
      <w:r>
        <w:rPr>
          <w:rFonts w:ascii="黑体" w:hAnsi="黑体" w:eastAsia="黑体" w:cs="黑体"/>
          <w:color w:val="auto"/>
          <w:spacing w:val="-4"/>
          <w:sz w:val="28"/>
          <w:szCs w:val="28"/>
          <w:highlight w:val="none"/>
        </w:rPr>
        <w:t>投标人：</w:t>
      </w:r>
      <w:r>
        <w:rPr>
          <w:rFonts w:ascii="黑体" w:hAnsi="黑体" w:eastAsia="黑体" w:cs="黑体"/>
          <w:color w:val="auto"/>
          <w:spacing w:val="-4"/>
          <w:sz w:val="28"/>
          <w:szCs w:val="28"/>
          <w:highlight w:val="none"/>
          <w:u w:val="single" w:color="auto"/>
        </w:rPr>
        <w:t xml:space="preserve">                              </w:t>
      </w:r>
      <w:r>
        <w:rPr>
          <w:rFonts w:hint="eastAsia" w:ascii="黑体" w:hAnsi="黑体" w:eastAsia="黑体" w:cs="黑体"/>
          <w:color w:val="auto"/>
          <w:spacing w:val="-4"/>
          <w:sz w:val="28"/>
          <w:szCs w:val="28"/>
          <w:highlight w:val="none"/>
        </w:rPr>
        <w:t>（盖单位电子公章）</w:t>
      </w:r>
    </w:p>
    <w:p>
      <w:pPr>
        <w:tabs>
          <w:tab w:val="left" w:pos="3621"/>
        </w:tabs>
        <w:spacing w:before="91" w:line="368" w:lineRule="auto"/>
        <w:ind w:left="2458" w:leftChars="824" w:right="701" w:hanging="728" w:hangingChars="260"/>
        <w:rPr>
          <w:rFonts w:ascii="黑体" w:hAnsi="黑体" w:eastAsia="黑体" w:cs="黑体"/>
          <w:color w:val="auto"/>
          <w:sz w:val="28"/>
          <w:szCs w:val="28"/>
          <w:highlight w:val="none"/>
        </w:rPr>
      </w:pPr>
      <w:r>
        <w:rPr>
          <w:rFonts w:ascii="黑体" w:hAnsi="黑体" w:eastAsia="黑体" w:cs="黑体"/>
          <w:color w:val="auto"/>
          <w:sz w:val="28"/>
          <w:szCs w:val="28"/>
          <w:highlight w:val="none"/>
        </w:rPr>
        <w:t xml:space="preserve"> </w:t>
      </w:r>
      <w:r>
        <w:rPr>
          <w:rFonts w:hint="eastAsia" w:ascii="黑体" w:hAnsi="黑体" w:eastAsia="黑体" w:cs="黑体"/>
          <w:color w:val="auto"/>
          <w:sz w:val="28"/>
          <w:szCs w:val="28"/>
          <w:highlight w:val="none"/>
          <w:lang w:val="en-US" w:eastAsia="zh-CN"/>
        </w:rPr>
        <w:t xml:space="preserve"> </w:t>
      </w:r>
      <w:r>
        <w:rPr>
          <w:rFonts w:ascii="黑体" w:hAnsi="黑体" w:eastAsia="黑体" w:cs="黑体"/>
          <w:color w:val="auto"/>
          <w:sz w:val="28"/>
          <w:szCs w:val="28"/>
          <w:highlight w:val="none"/>
          <w:u w:val="single" w:color="auto"/>
        </w:rPr>
        <w:tab/>
      </w:r>
      <w:r>
        <w:rPr>
          <w:rFonts w:hint="eastAsia" w:ascii="黑体" w:hAnsi="黑体" w:eastAsia="黑体" w:cs="黑体"/>
          <w:color w:val="auto"/>
          <w:sz w:val="28"/>
          <w:szCs w:val="28"/>
          <w:highlight w:val="none"/>
          <w:u w:val="single" w:color="auto"/>
          <w:lang w:val="en-US" w:eastAsia="zh-CN"/>
        </w:rPr>
        <w:t xml:space="preserve">  </w:t>
      </w:r>
      <w:r>
        <w:rPr>
          <w:rFonts w:ascii="黑体" w:hAnsi="黑体" w:eastAsia="黑体" w:cs="黑体"/>
          <w:color w:val="auto"/>
          <w:spacing w:val="4"/>
          <w:sz w:val="28"/>
          <w:szCs w:val="28"/>
          <w:highlight w:val="none"/>
        </w:rPr>
        <w:t>年</w:t>
      </w:r>
      <w:r>
        <w:rPr>
          <w:rFonts w:ascii="黑体" w:hAnsi="黑体" w:eastAsia="黑体" w:cs="黑体"/>
          <w:color w:val="auto"/>
          <w:spacing w:val="4"/>
          <w:sz w:val="28"/>
          <w:szCs w:val="28"/>
          <w:highlight w:val="none"/>
          <w:u w:val="single" w:color="auto"/>
        </w:rPr>
        <w:t xml:space="preserve">  </w:t>
      </w:r>
      <w:r>
        <w:rPr>
          <w:rFonts w:ascii="黑体" w:hAnsi="黑体" w:eastAsia="黑体" w:cs="黑体"/>
          <w:color w:val="auto"/>
          <w:spacing w:val="2"/>
          <w:sz w:val="28"/>
          <w:szCs w:val="28"/>
          <w:highlight w:val="none"/>
          <w:u w:val="single" w:color="auto"/>
        </w:rPr>
        <w:t xml:space="preserve">      </w:t>
      </w:r>
      <w:r>
        <w:rPr>
          <w:rFonts w:ascii="黑体" w:hAnsi="黑体" w:eastAsia="黑体" w:cs="黑体"/>
          <w:color w:val="auto"/>
          <w:spacing w:val="2"/>
          <w:sz w:val="28"/>
          <w:szCs w:val="28"/>
          <w:highlight w:val="none"/>
        </w:rPr>
        <w:t>月</w:t>
      </w:r>
      <w:r>
        <w:rPr>
          <w:rFonts w:ascii="黑体" w:hAnsi="黑体" w:eastAsia="黑体" w:cs="黑体"/>
          <w:color w:val="auto"/>
          <w:spacing w:val="2"/>
          <w:sz w:val="28"/>
          <w:szCs w:val="28"/>
          <w:highlight w:val="none"/>
          <w:u w:val="single" w:color="auto"/>
        </w:rPr>
        <w:t xml:space="preserve">        </w:t>
      </w:r>
      <w:r>
        <w:rPr>
          <w:rFonts w:ascii="黑体" w:hAnsi="黑体" w:eastAsia="黑体" w:cs="黑体"/>
          <w:color w:val="auto"/>
          <w:spacing w:val="2"/>
          <w:sz w:val="28"/>
          <w:szCs w:val="28"/>
          <w:highlight w:val="none"/>
        </w:rPr>
        <w:t>日</w:t>
      </w:r>
    </w:p>
    <w:p>
      <w:pPr>
        <w:rPr>
          <w:color w:val="auto"/>
          <w:highlight w:val="none"/>
        </w:rPr>
        <w:sectPr>
          <w:pgSz w:w="11900" w:h="16840"/>
          <w:pgMar w:top="1160" w:right="1354" w:bottom="1448" w:left="1363" w:header="883" w:footer="1234" w:gutter="0"/>
          <w:pgNumType w:fmt="decimal"/>
          <w:cols w:space="720" w:num="1"/>
        </w:sectPr>
      </w:pPr>
    </w:p>
    <w:p>
      <w:pPr>
        <w:spacing w:before="281" w:line="222" w:lineRule="auto"/>
        <w:ind w:left="4287"/>
        <w:outlineLvl w:val="2"/>
        <w:rPr>
          <w:rFonts w:ascii="黑体" w:hAnsi="黑体" w:eastAsia="黑体" w:cs="黑体"/>
          <w:color w:val="auto"/>
          <w:sz w:val="36"/>
          <w:szCs w:val="36"/>
          <w:highlight w:val="none"/>
        </w:rPr>
      </w:pPr>
      <w:bookmarkStart w:id="766" w:name="_Toc8707"/>
      <w:r>
        <w:rPr>
          <w:rFonts w:ascii="黑体" w:hAnsi="黑体" w:eastAsia="黑体" w:cs="黑体"/>
          <w:color w:val="auto"/>
          <w:spacing w:val="-31"/>
          <w:sz w:val="36"/>
          <w:szCs w:val="36"/>
          <w:highlight w:val="none"/>
        </w:rPr>
        <w:t>目</w:t>
      </w:r>
      <w:r>
        <w:rPr>
          <w:rFonts w:ascii="黑体" w:hAnsi="黑体" w:eastAsia="黑体" w:cs="黑体"/>
          <w:color w:val="auto"/>
          <w:spacing w:val="-29"/>
          <w:sz w:val="36"/>
          <w:szCs w:val="36"/>
          <w:highlight w:val="none"/>
        </w:rPr>
        <w:t>录</w:t>
      </w:r>
      <w:bookmarkEnd w:id="766"/>
    </w:p>
    <w:p>
      <w:pPr>
        <w:spacing w:line="321" w:lineRule="auto"/>
        <w:rPr>
          <w:rFonts w:ascii="Arial"/>
          <w:color w:val="auto"/>
          <w:sz w:val="21"/>
          <w:highlight w:val="none"/>
        </w:rPr>
      </w:pPr>
    </w:p>
    <w:p>
      <w:pPr>
        <w:spacing w:line="321" w:lineRule="auto"/>
        <w:rPr>
          <w:rFonts w:ascii="Arial"/>
          <w:color w:val="auto"/>
          <w:sz w:val="21"/>
          <w:highlight w:val="none"/>
        </w:rPr>
      </w:pPr>
    </w:p>
    <w:p>
      <w:pPr>
        <w:numPr>
          <w:ilvl w:val="0"/>
          <w:numId w:val="13"/>
        </w:numPr>
        <w:spacing w:before="65" w:line="344" w:lineRule="exact"/>
        <w:ind w:left="9"/>
        <w:rPr>
          <w:rFonts w:ascii="宋体" w:hAnsi="宋体" w:eastAsia="宋体" w:cs="宋体"/>
          <w:color w:val="auto"/>
          <w:spacing w:val="7"/>
          <w:position w:val="2"/>
          <w:sz w:val="22"/>
          <w:szCs w:val="22"/>
          <w:highlight w:val="none"/>
        </w:rPr>
      </w:pPr>
      <w:r>
        <w:rPr>
          <w:rFonts w:ascii="宋体" w:hAnsi="宋体" w:eastAsia="宋体" w:cs="宋体"/>
          <w:color w:val="auto"/>
          <w:spacing w:val="7"/>
          <w:position w:val="2"/>
          <w:sz w:val="22"/>
          <w:szCs w:val="22"/>
          <w:highlight w:val="none"/>
        </w:rPr>
        <w:t>投标函</w:t>
      </w:r>
    </w:p>
    <w:p>
      <w:pPr>
        <w:numPr>
          <w:ilvl w:val="0"/>
          <w:numId w:val="13"/>
        </w:numPr>
        <w:spacing w:before="65" w:line="344" w:lineRule="exact"/>
        <w:ind w:left="9" w:leftChars="0" w:firstLine="0" w:firstLineChars="0"/>
        <w:rPr>
          <w:rFonts w:ascii="宋体" w:hAnsi="宋体" w:eastAsia="宋体" w:cs="宋体"/>
          <w:color w:val="auto"/>
          <w:spacing w:val="8"/>
          <w:position w:val="1"/>
          <w:sz w:val="22"/>
          <w:szCs w:val="22"/>
          <w:highlight w:val="none"/>
        </w:rPr>
      </w:pPr>
      <w:r>
        <w:rPr>
          <w:rFonts w:ascii="宋体" w:hAnsi="宋体" w:eastAsia="宋体" w:cs="宋体"/>
          <w:color w:val="auto"/>
          <w:spacing w:val="8"/>
          <w:position w:val="1"/>
          <w:sz w:val="22"/>
          <w:szCs w:val="22"/>
          <w:highlight w:val="none"/>
        </w:rPr>
        <w:t>已标价工程量清单</w:t>
      </w:r>
    </w:p>
    <w:p>
      <w:pPr>
        <w:numPr>
          <w:ilvl w:val="0"/>
          <w:numId w:val="0"/>
        </w:numPr>
        <w:spacing w:before="65" w:line="344" w:lineRule="exact"/>
        <w:ind w:left="9" w:leftChars="0"/>
        <w:rPr>
          <w:rFonts w:ascii="宋体" w:hAnsi="宋体" w:eastAsia="宋体" w:cs="宋体"/>
          <w:color w:val="auto"/>
          <w:sz w:val="22"/>
          <w:szCs w:val="22"/>
          <w:highlight w:val="none"/>
        </w:rPr>
      </w:pPr>
      <w:r>
        <w:rPr>
          <w:rFonts w:ascii="宋体" w:hAnsi="宋体" w:eastAsia="宋体" w:cs="宋体"/>
          <w:color w:val="auto"/>
          <w:spacing w:val="9"/>
          <w:sz w:val="22"/>
          <w:szCs w:val="22"/>
          <w:highlight w:val="none"/>
        </w:rPr>
        <w:t>三、合同用款估算</w:t>
      </w:r>
      <w:r>
        <w:rPr>
          <w:rFonts w:ascii="宋体" w:hAnsi="宋体" w:eastAsia="宋体" w:cs="宋体"/>
          <w:color w:val="auto"/>
          <w:spacing w:val="8"/>
          <w:sz w:val="22"/>
          <w:szCs w:val="22"/>
          <w:highlight w:val="none"/>
        </w:rPr>
        <w:t>表</w:t>
      </w:r>
    </w:p>
    <w:p>
      <w:pPr>
        <w:rPr>
          <w:color w:val="auto"/>
          <w:highlight w:val="none"/>
        </w:rPr>
        <w:sectPr>
          <w:pgSz w:w="11900" w:h="16840"/>
          <w:pgMar w:top="1160" w:right="1354" w:bottom="1448" w:left="1363" w:header="883" w:footer="1234" w:gutter="0"/>
          <w:pgNumType w:fmt="decimal"/>
          <w:cols w:space="720" w:num="1"/>
        </w:sectPr>
      </w:pPr>
    </w:p>
    <w:p>
      <w:pPr>
        <w:spacing w:line="305" w:lineRule="auto"/>
        <w:rPr>
          <w:rFonts w:ascii="Arial"/>
          <w:color w:val="auto"/>
          <w:sz w:val="21"/>
          <w:highlight w:val="none"/>
        </w:rPr>
      </w:pPr>
    </w:p>
    <w:p>
      <w:pPr>
        <w:spacing w:before="117" w:line="223" w:lineRule="auto"/>
        <w:ind w:left="3712"/>
        <w:outlineLvl w:val="2"/>
        <w:rPr>
          <w:rFonts w:ascii="黑体" w:hAnsi="黑体" w:eastAsia="黑体" w:cs="黑体"/>
          <w:color w:val="auto"/>
          <w:sz w:val="36"/>
          <w:szCs w:val="36"/>
          <w:highlight w:val="none"/>
        </w:rPr>
      </w:pPr>
      <w:bookmarkStart w:id="767" w:name="_Toc24347"/>
      <w:r>
        <w:rPr>
          <w:rFonts w:ascii="黑体" w:hAnsi="黑体" w:eastAsia="黑体" w:cs="黑体"/>
          <w:color w:val="auto"/>
          <w:spacing w:val="-4"/>
          <w:sz w:val="36"/>
          <w:szCs w:val="36"/>
          <w:highlight w:val="none"/>
        </w:rPr>
        <w:t>一、投标函</w:t>
      </w:r>
      <w:bookmarkEnd w:id="767"/>
    </w:p>
    <w:p>
      <w:pPr>
        <w:spacing w:line="304" w:lineRule="auto"/>
        <w:rPr>
          <w:rFonts w:ascii="Arial"/>
          <w:color w:val="auto"/>
          <w:sz w:val="21"/>
          <w:highlight w:val="none"/>
        </w:rPr>
      </w:pPr>
    </w:p>
    <w:p>
      <w:pPr>
        <w:spacing w:line="304" w:lineRule="auto"/>
        <w:rPr>
          <w:rFonts w:ascii="Arial"/>
          <w:color w:val="auto"/>
          <w:sz w:val="21"/>
          <w:highlight w:val="none"/>
        </w:rPr>
      </w:pPr>
    </w:p>
    <w:p>
      <w:pPr>
        <w:keepNext w:val="0"/>
        <w:keepLines w:val="0"/>
        <w:pageBreakBefore w:val="0"/>
        <w:widowControl/>
        <w:tabs>
          <w:tab w:val="left" w:pos="2521"/>
        </w:tabs>
        <w:kinsoku w:val="0"/>
        <w:wordWrap/>
        <w:overflowPunct/>
        <w:topLinePunct w:val="0"/>
        <w:autoSpaceDE w:val="0"/>
        <w:autoSpaceDN w:val="0"/>
        <w:bidi w:val="0"/>
        <w:adjustRightInd w:val="0"/>
        <w:snapToGrid w:val="0"/>
        <w:spacing w:before="65" w:line="440" w:lineRule="exact"/>
        <w:ind w:left="1"/>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u w:val="single" w:color="auto"/>
        </w:rPr>
        <w:tab/>
      </w:r>
      <w:r>
        <w:rPr>
          <w:rFonts w:hint="eastAsia" w:ascii="宋体" w:hAnsi="宋体" w:eastAsia="宋体" w:cs="宋体"/>
          <w:color w:val="auto"/>
          <w:spacing w:val="0"/>
          <w:sz w:val="21"/>
          <w:szCs w:val="21"/>
          <w:highlight w:val="none"/>
        </w:rPr>
        <w:t xml:space="preserve"> (招标人名称) ：</w:t>
      </w:r>
    </w:p>
    <w:p>
      <w:pPr>
        <w:keepNext w:val="0"/>
        <w:keepLines w:val="0"/>
        <w:pageBreakBefore w:val="0"/>
        <w:widowControl/>
        <w:kinsoku w:val="0"/>
        <w:wordWrap/>
        <w:overflowPunct/>
        <w:topLinePunct w:val="0"/>
        <w:autoSpaceDE w:val="0"/>
        <w:autoSpaceDN w:val="0"/>
        <w:bidi w:val="0"/>
        <w:adjustRightInd w:val="0"/>
        <w:snapToGrid w:val="0"/>
        <w:spacing w:before="160" w:line="440" w:lineRule="exact"/>
        <w:ind w:right="48" w:firstLine="445"/>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1</w:t>
      </w:r>
      <w:r>
        <w:rPr>
          <w:rFonts w:hint="eastAsia" w:ascii="宋体" w:hAnsi="宋体" w:eastAsia="宋体" w:cs="宋体"/>
          <w:color w:val="auto"/>
          <w:spacing w:val="0"/>
          <w:sz w:val="21"/>
          <w:szCs w:val="21"/>
          <w:highlight w:val="none"/>
          <w:lang w:val="en-US" w:eastAsia="zh-CN"/>
        </w:rPr>
        <w:t>.</w:t>
      </w:r>
      <w:r>
        <w:rPr>
          <w:rFonts w:hint="eastAsia" w:ascii="宋体" w:hAnsi="宋体" w:eastAsia="宋体" w:cs="宋体"/>
          <w:color w:val="auto"/>
          <w:spacing w:val="0"/>
          <w:sz w:val="21"/>
          <w:szCs w:val="21"/>
          <w:highlight w:val="none"/>
        </w:rPr>
        <w:t>我方已仔细研究了</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(项目名称)</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标段施工招标文件的全部内容 (含补遗书第 ____号至第____号) ，在考察工程现场后，愿意以人民币 (大写)</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元 (¥</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 的投标报价(或根据招标文件规定修正核实后确定的另一金额，其中，増值税税率为______ ) ，按合同约定实施和完成承包工程，修补工程中的任何缺陷。</w:t>
      </w:r>
    </w:p>
    <w:p>
      <w:pPr>
        <w:keepNext w:val="0"/>
        <w:keepLines w:val="0"/>
        <w:pageBreakBefore w:val="0"/>
        <w:widowControl/>
        <w:kinsoku w:val="0"/>
        <w:wordWrap/>
        <w:overflowPunct/>
        <w:topLinePunct w:val="0"/>
        <w:autoSpaceDE w:val="0"/>
        <w:autoSpaceDN w:val="0"/>
        <w:bidi w:val="0"/>
        <w:adjustRightInd w:val="0"/>
        <w:snapToGrid w:val="0"/>
        <w:spacing w:before="1" w:line="440" w:lineRule="exact"/>
        <w:ind w:left="8" w:right="97" w:firstLine="417"/>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w:t>
      </w:r>
      <w:r>
        <w:rPr>
          <w:rFonts w:hint="eastAsia" w:ascii="宋体" w:hAnsi="宋体" w:eastAsia="宋体" w:cs="宋体"/>
          <w:color w:val="auto"/>
          <w:spacing w:val="0"/>
          <w:sz w:val="21"/>
          <w:szCs w:val="21"/>
          <w:highlight w:val="none"/>
          <w:lang w:val="en-US" w:eastAsia="zh-CN"/>
        </w:rPr>
        <w:t>.</w:t>
      </w:r>
      <w:r>
        <w:rPr>
          <w:rFonts w:hint="eastAsia" w:ascii="宋体" w:hAnsi="宋体" w:eastAsia="宋体" w:cs="宋体"/>
          <w:color w:val="auto"/>
          <w:spacing w:val="0"/>
          <w:sz w:val="21"/>
          <w:szCs w:val="21"/>
          <w:highlight w:val="none"/>
        </w:rPr>
        <w:t>在合同协议书正式签署生效之前，本投标函连同你方的中标通知书将构成我们双方之间共同 遵守的文件，对双方具有约束力。</w:t>
      </w:r>
    </w:p>
    <w:p>
      <w:pPr>
        <w:keepNext w:val="0"/>
        <w:keepLines w:val="0"/>
        <w:pageBreakBefore w:val="0"/>
        <w:widowControl/>
        <w:kinsoku w:val="0"/>
        <w:wordWrap/>
        <w:overflowPunct/>
        <w:topLinePunct w:val="0"/>
        <w:autoSpaceDE w:val="0"/>
        <w:autoSpaceDN w:val="0"/>
        <w:bidi w:val="0"/>
        <w:adjustRightInd w:val="0"/>
        <w:snapToGrid w:val="0"/>
        <w:spacing w:before="1" w:line="440" w:lineRule="exact"/>
        <w:ind w:left="8" w:right="97" w:firstLine="417"/>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3.</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(其他补充说明)。</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olor w:val="auto"/>
          <w:spacing w:val="0"/>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40" w:lineRule="exact"/>
        <w:ind w:left="3684" w:firstLine="2"/>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投 标 人：</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u w:val="single" w:color="auto"/>
          <w:lang w:val="en-US" w:eastAsia="zh-CN"/>
        </w:rPr>
        <w:t xml:space="preserve">  </w:t>
      </w:r>
      <w:r>
        <w:rPr>
          <w:rFonts w:hint="eastAsia" w:ascii="宋体" w:hAnsi="宋体" w:eastAsia="宋体" w:cs="宋体"/>
          <w:color w:val="auto"/>
          <w:spacing w:val="0"/>
          <w:sz w:val="21"/>
          <w:szCs w:val="21"/>
          <w:highlight w:val="none"/>
          <w:u w:val="none" w:color="auto"/>
        </w:rPr>
        <w:t>（盖单位电子公章）</w:t>
      </w:r>
      <w:r>
        <w:rPr>
          <w:rFonts w:hint="eastAsia" w:ascii="宋体" w:hAnsi="宋体" w:eastAsia="宋体" w:cs="宋体"/>
          <w:color w:val="auto"/>
          <w:spacing w:val="0"/>
          <w:sz w:val="21"/>
          <w:szCs w:val="21"/>
          <w:highlight w:val="none"/>
        </w:rPr>
        <w:t xml:space="preserve">    </w:t>
      </w:r>
    </w:p>
    <w:p>
      <w:pPr>
        <w:keepNext w:val="0"/>
        <w:keepLines w:val="0"/>
        <w:pageBreakBefore w:val="0"/>
        <w:widowControl/>
        <w:kinsoku w:val="0"/>
        <w:wordWrap/>
        <w:overflowPunct/>
        <w:topLinePunct w:val="0"/>
        <w:autoSpaceDE w:val="0"/>
        <w:autoSpaceDN w:val="0"/>
        <w:bidi w:val="0"/>
        <w:adjustRightInd w:val="0"/>
        <w:snapToGrid w:val="0"/>
        <w:spacing w:before="65" w:line="440" w:lineRule="exact"/>
        <w:ind w:left="3684" w:firstLine="2"/>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法定代表人或其委托代理人：</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u w:val="none" w:color="auto"/>
          <w:lang w:val="en-US" w:eastAsia="zh-CN"/>
        </w:rPr>
        <w:t>（盖法定代表人电子章）</w:t>
      </w:r>
    </w:p>
    <w:p>
      <w:pPr>
        <w:keepNext w:val="0"/>
        <w:keepLines w:val="0"/>
        <w:pageBreakBefore w:val="0"/>
        <w:widowControl/>
        <w:kinsoku w:val="0"/>
        <w:wordWrap/>
        <w:overflowPunct/>
        <w:topLinePunct w:val="0"/>
        <w:autoSpaceDE w:val="0"/>
        <w:autoSpaceDN w:val="0"/>
        <w:bidi w:val="0"/>
        <w:adjustRightInd w:val="0"/>
        <w:snapToGrid w:val="0"/>
        <w:spacing w:before="65" w:line="440" w:lineRule="exact"/>
        <w:ind w:firstLine="3780" w:firstLineChars="180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地址：</w:t>
      </w:r>
      <w:r>
        <w:rPr>
          <w:rFonts w:hint="eastAsia" w:ascii="宋体" w:hAnsi="宋体" w:eastAsia="宋体" w:cs="宋体"/>
          <w:color w:val="auto"/>
          <w:spacing w:val="0"/>
          <w:sz w:val="21"/>
          <w:szCs w:val="21"/>
          <w:highlight w:val="none"/>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before="1" w:line="440" w:lineRule="exact"/>
        <w:ind w:left="3682" w:right="1078" w:firstLine="26"/>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电话：</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 xml:space="preserve"> 传真：</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 xml:space="preserve"> 邮政编码：</w:t>
      </w:r>
      <w:r>
        <w:rPr>
          <w:rFonts w:hint="eastAsia" w:ascii="宋体" w:hAnsi="宋体" w:eastAsia="宋体" w:cs="宋体"/>
          <w:color w:val="auto"/>
          <w:spacing w:val="0"/>
          <w:sz w:val="21"/>
          <w:szCs w:val="21"/>
          <w:highlight w:val="none"/>
          <w:u w:val="single" w:color="auto"/>
        </w:rPr>
        <w:t xml:space="preserve">                                    </w:t>
      </w:r>
    </w:p>
    <w:p>
      <w:pPr>
        <w:keepNext w:val="0"/>
        <w:keepLines w:val="0"/>
        <w:pageBreakBefore w:val="0"/>
        <w:widowControl/>
        <w:tabs>
          <w:tab w:val="left" w:pos="5575"/>
        </w:tabs>
        <w:kinsoku w:val="0"/>
        <w:wordWrap/>
        <w:overflowPunct/>
        <w:topLinePunct w:val="0"/>
        <w:autoSpaceDE w:val="0"/>
        <w:autoSpaceDN w:val="0"/>
        <w:bidi w:val="0"/>
        <w:adjustRightInd w:val="0"/>
        <w:snapToGrid w:val="0"/>
        <w:spacing w:line="440" w:lineRule="exact"/>
        <w:ind w:left="4727"/>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u w:val="single" w:color="auto"/>
        </w:rPr>
        <w:tab/>
      </w:r>
      <w:r>
        <w:rPr>
          <w:rFonts w:hint="eastAsia" w:ascii="宋体" w:hAnsi="宋体" w:eastAsia="宋体" w:cs="宋体"/>
          <w:color w:val="auto"/>
          <w:spacing w:val="0"/>
          <w:sz w:val="21"/>
          <w:szCs w:val="21"/>
          <w:highlight w:val="none"/>
        </w:rPr>
        <w:t>年</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月</w:t>
      </w:r>
      <w:r>
        <w:rPr>
          <w:rFonts w:hint="eastAsia" w:ascii="宋体" w:hAnsi="宋体" w:eastAsia="宋体" w:cs="宋体"/>
          <w:color w:val="auto"/>
          <w:spacing w:val="0"/>
          <w:sz w:val="21"/>
          <w:szCs w:val="21"/>
          <w:highlight w:val="none"/>
          <w:u w:val="single" w:color="auto"/>
        </w:rPr>
        <w:t xml:space="preserve">        </w:t>
      </w:r>
      <w:r>
        <w:rPr>
          <w:rFonts w:hint="eastAsia" w:ascii="宋体" w:hAnsi="宋体" w:eastAsia="宋体" w:cs="宋体"/>
          <w:color w:val="auto"/>
          <w:spacing w:val="0"/>
          <w:sz w:val="21"/>
          <w:szCs w:val="21"/>
          <w:highlight w:val="none"/>
        </w:rPr>
        <w:t>日</w:t>
      </w:r>
    </w:p>
    <w:p>
      <w:pPr>
        <w:rPr>
          <w:color w:val="auto"/>
          <w:highlight w:val="none"/>
        </w:rPr>
        <w:sectPr>
          <w:pgSz w:w="11900" w:h="16840"/>
          <w:pgMar w:top="1160" w:right="1269" w:bottom="1448" w:left="1359" w:header="883" w:footer="1234" w:gutter="0"/>
          <w:pgNumType w:fmt="decimal"/>
          <w:cols w:space="720" w:num="1"/>
        </w:sectPr>
      </w:pPr>
    </w:p>
    <w:p>
      <w:pPr>
        <w:spacing w:before="281" w:line="222" w:lineRule="auto"/>
        <w:ind w:left="2808"/>
        <w:outlineLvl w:val="2"/>
        <w:rPr>
          <w:rFonts w:ascii="黑体" w:hAnsi="黑体" w:eastAsia="黑体" w:cs="黑体"/>
          <w:color w:val="auto"/>
          <w:sz w:val="36"/>
          <w:szCs w:val="36"/>
          <w:highlight w:val="none"/>
        </w:rPr>
      </w:pPr>
      <w:bookmarkStart w:id="768" w:name="_Toc17546"/>
      <w:r>
        <w:rPr>
          <w:rFonts w:ascii="黑体" w:hAnsi="黑体" w:eastAsia="黑体" w:cs="黑体"/>
          <w:color w:val="auto"/>
          <w:spacing w:val="-20"/>
          <w:sz w:val="36"/>
          <w:szCs w:val="36"/>
          <w:highlight w:val="none"/>
        </w:rPr>
        <w:t>二</w:t>
      </w:r>
      <w:r>
        <w:rPr>
          <w:rFonts w:ascii="黑体" w:hAnsi="黑体" w:eastAsia="黑体" w:cs="黑体"/>
          <w:color w:val="auto"/>
          <w:spacing w:val="-18"/>
          <w:sz w:val="36"/>
          <w:szCs w:val="36"/>
          <w:highlight w:val="none"/>
        </w:rPr>
        <w:t>、 已标价工程量清单</w:t>
      </w:r>
      <w:bookmarkEnd w:id="768"/>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ascii="Arial"/>
          <w:color w:val="auto"/>
          <w:spacing w:val="0"/>
          <w:sz w:val="21"/>
          <w:highlight w:val="none"/>
        </w:rPr>
      </w:pPr>
    </w:p>
    <w:p>
      <w:pPr>
        <w:keepNext w:val="0"/>
        <w:keepLines w:val="0"/>
        <w:pageBreakBefore w:val="0"/>
        <w:widowControl/>
        <w:kinsoku w:val="0"/>
        <w:wordWrap/>
        <w:overflowPunct/>
        <w:topLinePunct w:val="0"/>
        <w:autoSpaceDE w:val="0"/>
        <w:autoSpaceDN w:val="0"/>
        <w:bidi w:val="0"/>
        <w:adjustRightInd w:val="0"/>
        <w:snapToGrid w:val="0"/>
        <w:spacing w:before="65" w:line="440" w:lineRule="exact"/>
        <w:ind w:left="8" w:firstLine="42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投标人应按照第五章“工程量清单”的要求逐项填报工程量清单，包括工程量清单说明、投标报价说明、计日工说明、其他说明及工程量清单各项表格 (工程量清单表___、表___ 、 …… )。</w:t>
      </w:r>
    </w:p>
    <w:p>
      <w:pPr>
        <w:rPr>
          <w:color w:val="auto"/>
          <w:highlight w:val="none"/>
        </w:rPr>
        <w:sectPr>
          <w:pgSz w:w="11900" w:h="16840"/>
          <w:pgMar w:top="1160" w:right="1354" w:bottom="1448" w:left="1363" w:header="883" w:footer="1234" w:gutter="0"/>
          <w:pgNumType w:fmt="decimal"/>
          <w:cols w:space="720" w:num="1"/>
        </w:sectPr>
      </w:pPr>
    </w:p>
    <w:p>
      <w:pPr>
        <w:spacing w:before="268" w:line="222" w:lineRule="auto"/>
        <w:ind w:left="3112"/>
        <w:outlineLvl w:val="2"/>
        <w:rPr>
          <w:rFonts w:ascii="黑体" w:hAnsi="黑体" w:eastAsia="黑体" w:cs="黑体"/>
          <w:color w:val="auto"/>
          <w:sz w:val="36"/>
          <w:szCs w:val="36"/>
          <w:highlight w:val="none"/>
        </w:rPr>
      </w:pPr>
      <w:bookmarkStart w:id="769" w:name="_Toc24393"/>
      <w:r>
        <w:rPr>
          <w:rFonts w:ascii="黑体" w:hAnsi="黑体" w:eastAsia="黑体" w:cs="黑体"/>
          <w:color w:val="auto"/>
          <w:spacing w:val="-4"/>
          <w:sz w:val="36"/>
          <w:szCs w:val="36"/>
          <w:highlight w:val="none"/>
        </w:rPr>
        <w:t>三、</w:t>
      </w:r>
      <w:r>
        <w:rPr>
          <w:rFonts w:ascii="黑体" w:hAnsi="黑体" w:eastAsia="黑体" w:cs="黑体"/>
          <w:color w:val="auto"/>
          <w:spacing w:val="-2"/>
          <w:sz w:val="36"/>
          <w:szCs w:val="36"/>
          <w:highlight w:val="none"/>
        </w:rPr>
        <w:t>合同用款估算表</w:t>
      </w:r>
      <w:bookmarkEnd w:id="769"/>
    </w:p>
    <w:p>
      <w:pPr>
        <w:rPr>
          <w:color w:val="auto"/>
          <w:highlight w:val="none"/>
        </w:rPr>
      </w:pPr>
    </w:p>
    <w:p>
      <w:pPr>
        <w:spacing w:line="113" w:lineRule="exact"/>
        <w:rPr>
          <w:color w:val="auto"/>
          <w:highlight w:val="none"/>
        </w:rPr>
      </w:pPr>
    </w:p>
    <w:tbl>
      <w:tblPr>
        <w:tblStyle w:val="26"/>
        <w:tblW w:w="971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81"/>
        <w:gridCol w:w="1833"/>
        <w:gridCol w:w="1831"/>
        <w:gridCol w:w="1831"/>
        <w:gridCol w:w="184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2381" w:type="dxa"/>
            <w:vMerge w:val="restart"/>
            <w:tcBorders>
              <w:left w:val="single" w:color="000000" w:sz="10" w:space="0"/>
              <w:bottom w:val="nil"/>
              <w:right w:val="single" w:color="000000" w:sz="4" w:space="0"/>
            </w:tcBorders>
            <w:vAlign w:val="top"/>
          </w:tcPr>
          <w:p>
            <w:pPr>
              <w:spacing w:line="282" w:lineRule="auto"/>
              <w:rPr>
                <w:rFonts w:hint="eastAsia" w:ascii="宋体" w:hAnsi="宋体" w:eastAsia="宋体" w:cs="宋体"/>
                <w:color w:val="auto"/>
                <w:sz w:val="21"/>
                <w:szCs w:val="21"/>
                <w:highlight w:val="none"/>
              </w:rPr>
            </w:pPr>
          </w:p>
          <w:p>
            <w:pPr>
              <w:spacing w:line="283" w:lineRule="auto"/>
              <w:rPr>
                <w:rFonts w:hint="eastAsia" w:ascii="宋体" w:hAnsi="宋体" w:eastAsia="宋体" w:cs="宋体"/>
                <w:color w:val="auto"/>
                <w:sz w:val="21"/>
                <w:szCs w:val="21"/>
                <w:highlight w:val="none"/>
              </w:rPr>
            </w:pPr>
          </w:p>
          <w:p>
            <w:pPr>
              <w:spacing w:before="66" w:line="228" w:lineRule="auto"/>
              <w:ind w:left="187"/>
              <w:rPr>
                <w:rFonts w:hint="eastAsia" w:ascii="宋体" w:hAnsi="宋体" w:eastAsia="宋体" w:cs="宋体"/>
                <w:color w:val="auto"/>
                <w:sz w:val="21"/>
                <w:szCs w:val="21"/>
                <w:highlight w:val="none"/>
              </w:rPr>
            </w:pPr>
            <w:r>
              <w:rPr>
                <w:rFonts w:hint="eastAsia" w:ascii="宋体" w:hAnsi="宋体" w:eastAsia="宋体" w:cs="宋体"/>
                <w:color w:val="auto"/>
                <w:spacing w:val="14"/>
                <w:sz w:val="21"/>
                <w:szCs w:val="21"/>
                <w:highlight w:val="none"/>
              </w:rPr>
              <w:t>从</w:t>
            </w:r>
            <w:r>
              <w:rPr>
                <w:rFonts w:hint="eastAsia" w:ascii="宋体" w:hAnsi="宋体" w:eastAsia="宋体" w:cs="宋体"/>
                <w:color w:val="auto"/>
                <w:spacing w:val="8"/>
                <w:sz w:val="21"/>
                <w:szCs w:val="21"/>
                <w:highlight w:val="none"/>
              </w:rPr>
              <w:t>开工月算起的时间</w:t>
            </w:r>
            <w:r>
              <w:rPr>
                <w:rFonts w:hint="eastAsia" w:ascii="宋体" w:hAnsi="宋体" w:eastAsia="宋体" w:cs="宋体"/>
                <w:color w:val="auto"/>
                <w:spacing w:val="33"/>
                <w:sz w:val="21"/>
                <w:szCs w:val="21"/>
                <w:highlight w:val="none"/>
              </w:rPr>
              <w:t>(月)</w:t>
            </w:r>
          </w:p>
        </w:tc>
        <w:tc>
          <w:tcPr>
            <w:tcW w:w="7338" w:type="dxa"/>
            <w:gridSpan w:val="4"/>
            <w:tcBorders>
              <w:left w:val="single" w:color="000000" w:sz="4" w:space="0"/>
              <w:right w:val="single" w:color="000000" w:sz="10" w:space="0"/>
            </w:tcBorders>
            <w:vAlign w:val="top"/>
          </w:tcPr>
          <w:p>
            <w:pPr>
              <w:spacing w:before="103" w:line="227" w:lineRule="auto"/>
              <w:ind w:left="2877"/>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投标人的估</w:t>
            </w:r>
            <w:r>
              <w:rPr>
                <w:rFonts w:hint="eastAsia" w:ascii="宋体" w:hAnsi="宋体" w:eastAsia="宋体" w:cs="宋体"/>
                <w:color w:val="auto"/>
                <w:spacing w:val="6"/>
                <w:sz w:val="21"/>
                <w:szCs w:val="21"/>
                <w:highlight w:val="none"/>
              </w:rPr>
              <w:t>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2381" w:type="dxa"/>
            <w:vMerge w:val="continue"/>
            <w:tcBorders>
              <w:top w:val="nil"/>
              <w:left w:val="single" w:color="000000" w:sz="10" w:space="0"/>
              <w:bottom w:val="nil"/>
              <w:right w:val="single" w:color="000000" w:sz="4" w:space="0"/>
            </w:tcBorders>
            <w:vAlign w:val="top"/>
          </w:tcPr>
          <w:p>
            <w:pPr>
              <w:rPr>
                <w:rFonts w:hint="eastAsia" w:ascii="宋体" w:hAnsi="宋体" w:eastAsia="宋体" w:cs="宋体"/>
                <w:color w:val="auto"/>
                <w:sz w:val="21"/>
                <w:szCs w:val="21"/>
                <w:highlight w:val="none"/>
              </w:rPr>
            </w:pPr>
          </w:p>
        </w:tc>
        <w:tc>
          <w:tcPr>
            <w:tcW w:w="3664" w:type="dxa"/>
            <w:gridSpan w:val="2"/>
            <w:tcBorders>
              <w:left w:val="single" w:color="000000" w:sz="4" w:space="0"/>
              <w:right w:val="single" w:color="000000" w:sz="4" w:space="0"/>
            </w:tcBorders>
            <w:vAlign w:val="top"/>
          </w:tcPr>
          <w:p>
            <w:pPr>
              <w:spacing w:before="67" w:line="229" w:lineRule="auto"/>
              <w:ind w:left="1439"/>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分  期</w:t>
            </w:r>
          </w:p>
        </w:tc>
        <w:tc>
          <w:tcPr>
            <w:tcW w:w="3674" w:type="dxa"/>
            <w:gridSpan w:val="2"/>
            <w:tcBorders>
              <w:left w:val="single" w:color="000000" w:sz="4" w:space="0"/>
              <w:right w:val="single" w:color="000000" w:sz="10" w:space="0"/>
            </w:tcBorders>
            <w:vAlign w:val="top"/>
          </w:tcPr>
          <w:p>
            <w:pPr>
              <w:spacing w:before="67" w:line="230" w:lineRule="auto"/>
              <w:ind w:left="1451"/>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累  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trPr>
        <w:tc>
          <w:tcPr>
            <w:tcW w:w="2381" w:type="dxa"/>
            <w:vMerge w:val="continue"/>
            <w:tcBorders>
              <w:top w:val="nil"/>
              <w:left w:val="single" w:color="000000" w:sz="10" w:space="0"/>
              <w:right w:val="single" w:color="000000" w:sz="4" w:space="0"/>
            </w:tcBorders>
            <w:vAlign w:val="top"/>
          </w:tcPr>
          <w:p>
            <w:pPr>
              <w:rPr>
                <w:rFonts w:hint="eastAsia" w:ascii="宋体" w:hAnsi="宋体" w:eastAsia="宋体" w:cs="宋体"/>
                <w:color w:val="auto"/>
                <w:sz w:val="21"/>
                <w:szCs w:val="21"/>
                <w:highlight w:val="none"/>
              </w:rPr>
            </w:pPr>
          </w:p>
        </w:tc>
        <w:tc>
          <w:tcPr>
            <w:tcW w:w="1833" w:type="dxa"/>
            <w:tcBorders>
              <w:left w:val="single" w:color="000000" w:sz="4" w:space="0"/>
              <w:right w:val="single" w:color="000000" w:sz="4" w:space="0"/>
            </w:tcBorders>
            <w:vAlign w:val="top"/>
          </w:tcPr>
          <w:p>
            <w:pPr>
              <w:spacing w:before="305" w:line="227" w:lineRule="auto"/>
              <w:ind w:left="351"/>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金</w:t>
            </w:r>
            <w:r>
              <w:rPr>
                <w:rFonts w:hint="eastAsia" w:ascii="宋体" w:hAnsi="宋体" w:eastAsia="宋体" w:cs="宋体"/>
                <w:color w:val="auto"/>
                <w:spacing w:val="4"/>
                <w:sz w:val="21"/>
                <w:szCs w:val="21"/>
                <w:highlight w:val="none"/>
              </w:rPr>
              <w:t>额 (元)</w:t>
            </w:r>
          </w:p>
        </w:tc>
        <w:tc>
          <w:tcPr>
            <w:tcW w:w="1831" w:type="dxa"/>
            <w:tcBorders>
              <w:left w:val="single" w:color="000000" w:sz="4" w:space="0"/>
              <w:right w:val="single" w:color="000000" w:sz="4" w:space="0"/>
            </w:tcBorders>
            <w:vAlign w:val="top"/>
          </w:tcPr>
          <w:p>
            <w:pPr>
              <w:spacing w:before="274" w:line="274" w:lineRule="exact"/>
              <w:ind w:left="590"/>
              <w:rPr>
                <w:rFonts w:hint="eastAsia" w:ascii="宋体" w:hAnsi="宋体" w:eastAsia="宋体" w:cs="宋体"/>
                <w:color w:val="auto"/>
                <w:sz w:val="21"/>
                <w:szCs w:val="21"/>
                <w:highlight w:val="none"/>
              </w:rPr>
            </w:pPr>
            <w:r>
              <w:rPr>
                <w:rFonts w:hint="eastAsia" w:ascii="宋体" w:hAnsi="宋体" w:eastAsia="宋体" w:cs="宋体"/>
                <w:color w:val="auto"/>
                <w:spacing w:val="33"/>
                <w:position w:val="1"/>
                <w:sz w:val="21"/>
                <w:szCs w:val="21"/>
                <w:highlight w:val="none"/>
              </w:rPr>
              <w:t>(</w:t>
            </w:r>
            <w:r>
              <w:rPr>
                <w:rFonts w:hint="eastAsia" w:ascii="宋体" w:hAnsi="宋体" w:eastAsia="宋体" w:cs="宋体"/>
                <w:color w:val="auto"/>
                <w:spacing w:val="32"/>
                <w:position w:val="1"/>
                <w:sz w:val="21"/>
                <w:szCs w:val="21"/>
                <w:highlight w:val="none"/>
              </w:rPr>
              <w:t>%)</w:t>
            </w:r>
          </w:p>
        </w:tc>
        <w:tc>
          <w:tcPr>
            <w:tcW w:w="1831" w:type="dxa"/>
            <w:tcBorders>
              <w:left w:val="single" w:color="000000" w:sz="4" w:space="0"/>
              <w:right w:val="single" w:color="000000" w:sz="4" w:space="0"/>
            </w:tcBorders>
            <w:vAlign w:val="top"/>
          </w:tcPr>
          <w:p>
            <w:pPr>
              <w:spacing w:before="305" w:line="227" w:lineRule="auto"/>
              <w:ind w:left="358"/>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金</w:t>
            </w:r>
            <w:r>
              <w:rPr>
                <w:rFonts w:hint="eastAsia" w:ascii="宋体" w:hAnsi="宋体" w:eastAsia="宋体" w:cs="宋体"/>
                <w:color w:val="auto"/>
                <w:spacing w:val="4"/>
                <w:sz w:val="21"/>
                <w:szCs w:val="21"/>
                <w:highlight w:val="none"/>
              </w:rPr>
              <w:t>额 (元)</w:t>
            </w:r>
          </w:p>
        </w:tc>
        <w:tc>
          <w:tcPr>
            <w:tcW w:w="1843" w:type="dxa"/>
            <w:tcBorders>
              <w:left w:val="single" w:color="000000" w:sz="4" w:space="0"/>
              <w:right w:val="single" w:color="000000" w:sz="10" w:space="0"/>
            </w:tcBorders>
            <w:vAlign w:val="top"/>
          </w:tcPr>
          <w:p>
            <w:pPr>
              <w:spacing w:before="274" w:line="274" w:lineRule="exact"/>
              <w:ind w:left="599"/>
              <w:rPr>
                <w:rFonts w:hint="eastAsia" w:ascii="宋体" w:hAnsi="宋体" w:eastAsia="宋体" w:cs="宋体"/>
                <w:color w:val="auto"/>
                <w:sz w:val="21"/>
                <w:szCs w:val="21"/>
                <w:highlight w:val="none"/>
              </w:rPr>
            </w:pPr>
            <w:r>
              <w:rPr>
                <w:rFonts w:hint="eastAsia" w:ascii="宋体" w:hAnsi="宋体" w:eastAsia="宋体" w:cs="宋体"/>
                <w:color w:val="auto"/>
                <w:spacing w:val="33"/>
                <w:position w:val="1"/>
                <w:sz w:val="21"/>
                <w:szCs w:val="21"/>
                <w:highlight w:val="none"/>
              </w:rPr>
              <w:t>(</w:t>
            </w:r>
            <w:r>
              <w:rPr>
                <w:rFonts w:hint="eastAsia" w:ascii="宋体" w:hAnsi="宋体" w:eastAsia="宋体" w:cs="宋体"/>
                <w:color w:val="auto"/>
                <w:spacing w:val="32"/>
                <w:position w:val="1"/>
                <w:sz w:val="21"/>
                <w:szCs w:val="21"/>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2381" w:type="dxa"/>
            <w:tcBorders>
              <w:left w:val="single" w:color="000000" w:sz="10" w:space="0"/>
              <w:right w:val="single" w:color="000000" w:sz="4" w:space="0"/>
            </w:tcBorders>
            <w:vAlign w:val="top"/>
          </w:tcPr>
          <w:p>
            <w:pPr>
              <w:spacing w:before="69" w:line="228" w:lineRule="auto"/>
              <w:ind w:left="103"/>
              <w:rPr>
                <w:rFonts w:hint="eastAsia" w:ascii="宋体" w:hAnsi="宋体" w:eastAsia="宋体" w:cs="宋体"/>
                <w:color w:val="auto"/>
                <w:sz w:val="21"/>
                <w:szCs w:val="21"/>
                <w:highlight w:val="none"/>
              </w:rPr>
            </w:pPr>
            <w:r>
              <w:rPr>
                <w:rFonts w:hint="eastAsia" w:ascii="宋体" w:hAnsi="宋体" w:eastAsia="宋体" w:cs="宋体"/>
                <w:color w:val="auto"/>
                <w:spacing w:val="13"/>
                <w:sz w:val="21"/>
                <w:szCs w:val="21"/>
                <w:highlight w:val="none"/>
              </w:rPr>
              <w:t>第</w:t>
            </w:r>
            <w:r>
              <w:rPr>
                <w:rFonts w:hint="eastAsia" w:ascii="宋体" w:hAnsi="宋体" w:eastAsia="宋体" w:cs="宋体"/>
                <w:color w:val="auto"/>
                <w:spacing w:val="8"/>
                <w:sz w:val="21"/>
                <w:szCs w:val="21"/>
                <w:highlight w:val="none"/>
              </w:rPr>
              <w:t>一次开工预付款</w:t>
            </w:r>
          </w:p>
        </w:tc>
        <w:tc>
          <w:tcPr>
            <w:tcW w:w="1833"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31"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31"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43"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2381" w:type="dxa"/>
            <w:tcBorders>
              <w:left w:val="single" w:color="000000" w:sz="10" w:space="0"/>
              <w:right w:val="single" w:color="000000" w:sz="4" w:space="0"/>
            </w:tcBorders>
            <w:vAlign w:val="top"/>
          </w:tcPr>
          <w:p>
            <w:pPr>
              <w:spacing w:before="67" w:line="265" w:lineRule="exact"/>
              <w:ind w:left="119"/>
              <w:rPr>
                <w:rFonts w:hint="eastAsia" w:ascii="宋体" w:hAnsi="宋体" w:eastAsia="宋体" w:cs="宋体"/>
                <w:color w:val="auto"/>
                <w:sz w:val="21"/>
                <w:szCs w:val="21"/>
                <w:highlight w:val="none"/>
              </w:rPr>
            </w:pPr>
            <w:r>
              <w:rPr>
                <w:rFonts w:hint="eastAsia" w:ascii="宋体" w:hAnsi="宋体" w:eastAsia="宋体" w:cs="宋体"/>
                <w:color w:val="auto"/>
                <w:spacing w:val="32"/>
                <w:sz w:val="21"/>
                <w:szCs w:val="21"/>
                <w:highlight w:val="none"/>
              </w:rPr>
              <w:t>1</w:t>
            </w:r>
            <w:r>
              <w:rPr>
                <w:rFonts w:hint="eastAsia" w:ascii="宋体" w:hAnsi="宋体" w:eastAsia="宋体" w:cs="宋体"/>
                <w:color w:val="auto"/>
                <w:spacing w:val="31"/>
                <w:sz w:val="21"/>
                <w:szCs w:val="21"/>
                <w:highlight w:val="none"/>
              </w:rPr>
              <w:t>~3</w:t>
            </w:r>
          </w:p>
        </w:tc>
        <w:tc>
          <w:tcPr>
            <w:tcW w:w="1833"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31"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31"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43"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2381" w:type="dxa"/>
            <w:tcBorders>
              <w:left w:val="single" w:color="000000" w:sz="10" w:space="0"/>
              <w:right w:val="single" w:color="000000" w:sz="4" w:space="0"/>
            </w:tcBorders>
            <w:vAlign w:val="top"/>
          </w:tcPr>
          <w:p>
            <w:pPr>
              <w:spacing w:before="74" w:line="266" w:lineRule="exact"/>
              <w:ind w:left="98"/>
              <w:rPr>
                <w:rFonts w:hint="eastAsia" w:ascii="宋体" w:hAnsi="宋体" w:eastAsia="宋体" w:cs="宋体"/>
                <w:color w:val="auto"/>
                <w:sz w:val="21"/>
                <w:szCs w:val="21"/>
                <w:highlight w:val="none"/>
              </w:rPr>
            </w:pPr>
            <w:r>
              <w:rPr>
                <w:rFonts w:hint="eastAsia" w:ascii="宋体" w:hAnsi="宋体" w:eastAsia="宋体" w:cs="宋体"/>
                <w:color w:val="auto"/>
                <w:spacing w:val="39"/>
                <w:sz w:val="21"/>
                <w:szCs w:val="21"/>
                <w:highlight w:val="none"/>
              </w:rPr>
              <w:t>4</w:t>
            </w:r>
            <w:r>
              <w:rPr>
                <w:rFonts w:hint="eastAsia" w:ascii="宋体" w:hAnsi="宋体" w:eastAsia="宋体" w:cs="宋体"/>
                <w:color w:val="auto"/>
                <w:spacing w:val="38"/>
                <w:sz w:val="21"/>
                <w:szCs w:val="21"/>
                <w:highlight w:val="none"/>
              </w:rPr>
              <w:t>~6</w:t>
            </w:r>
          </w:p>
        </w:tc>
        <w:tc>
          <w:tcPr>
            <w:tcW w:w="1833"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31"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31"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43"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2381" w:type="dxa"/>
            <w:tcBorders>
              <w:left w:val="single" w:color="000000" w:sz="10" w:space="0"/>
              <w:right w:val="single" w:color="000000" w:sz="4" w:space="0"/>
            </w:tcBorders>
            <w:vAlign w:val="top"/>
          </w:tcPr>
          <w:p>
            <w:pPr>
              <w:spacing w:before="68" w:line="265" w:lineRule="exact"/>
              <w:ind w:left="102"/>
              <w:rPr>
                <w:rFonts w:hint="eastAsia" w:ascii="宋体" w:hAnsi="宋体" w:eastAsia="宋体" w:cs="宋体"/>
                <w:color w:val="auto"/>
                <w:sz w:val="21"/>
                <w:szCs w:val="21"/>
                <w:highlight w:val="none"/>
              </w:rPr>
            </w:pPr>
            <w:r>
              <w:rPr>
                <w:rFonts w:hint="eastAsia" w:ascii="宋体" w:hAnsi="宋体" w:eastAsia="宋体" w:cs="宋体"/>
                <w:color w:val="auto"/>
                <w:spacing w:val="37"/>
                <w:sz w:val="21"/>
                <w:szCs w:val="21"/>
                <w:highlight w:val="none"/>
              </w:rPr>
              <w:t>7~9</w:t>
            </w:r>
          </w:p>
        </w:tc>
        <w:tc>
          <w:tcPr>
            <w:tcW w:w="1833"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31"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31"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43"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2381" w:type="dxa"/>
            <w:tcBorders>
              <w:left w:val="single" w:color="000000" w:sz="10" w:space="0"/>
              <w:right w:val="single" w:color="000000" w:sz="4" w:space="0"/>
            </w:tcBorders>
            <w:vAlign w:val="top"/>
          </w:tcPr>
          <w:p>
            <w:pPr>
              <w:spacing w:before="71" w:line="265" w:lineRule="exact"/>
              <w:ind w:left="119"/>
              <w:rPr>
                <w:rFonts w:hint="eastAsia" w:ascii="宋体" w:hAnsi="宋体" w:eastAsia="宋体" w:cs="宋体"/>
                <w:color w:val="auto"/>
                <w:sz w:val="21"/>
                <w:szCs w:val="21"/>
                <w:highlight w:val="none"/>
              </w:rPr>
            </w:pPr>
            <w:r>
              <w:rPr>
                <w:rFonts w:hint="eastAsia" w:ascii="宋体" w:hAnsi="宋体" w:eastAsia="宋体" w:cs="宋体"/>
                <w:color w:val="auto"/>
                <w:spacing w:val="21"/>
                <w:sz w:val="21"/>
                <w:szCs w:val="21"/>
                <w:highlight w:val="none"/>
              </w:rPr>
              <w:t>10~12</w:t>
            </w:r>
          </w:p>
        </w:tc>
        <w:tc>
          <w:tcPr>
            <w:tcW w:w="1833"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31"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31"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43"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2381" w:type="dxa"/>
            <w:tcBorders>
              <w:left w:val="single" w:color="000000" w:sz="10" w:space="0"/>
              <w:right w:val="single" w:color="000000" w:sz="4" w:space="0"/>
            </w:tcBorders>
            <w:vAlign w:val="top"/>
          </w:tcPr>
          <w:p>
            <w:pPr>
              <w:spacing w:before="68" w:line="265" w:lineRule="exact"/>
              <w:ind w:left="119"/>
              <w:rPr>
                <w:rFonts w:hint="eastAsia" w:ascii="宋体" w:hAnsi="宋体" w:eastAsia="宋体" w:cs="宋体"/>
                <w:color w:val="auto"/>
                <w:sz w:val="21"/>
                <w:szCs w:val="21"/>
                <w:highlight w:val="none"/>
              </w:rPr>
            </w:pPr>
            <w:r>
              <w:rPr>
                <w:rFonts w:hint="eastAsia" w:ascii="宋体" w:hAnsi="宋体" w:eastAsia="宋体" w:cs="宋体"/>
                <w:color w:val="auto"/>
                <w:spacing w:val="21"/>
                <w:sz w:val="21"/>
                <w:szCs w:val="21"/>
                <w:highlight w:val="none"/>
              </w:rPr>
              <w:t>13~15</w:t>
            </w:r>
          </w:p>
        </w:tc>
        <w:tc>
          <w:tcPr>
            <w:tcW w:w="1833"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31"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31"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43"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2381" w:type="dxa"/>
            <w:tcBorders>
              <w:left w:val="single" w:color="000000" w:sz="10" w:space="0"/>
              <w:right w:val="single" w:color="000000" w:sz="4" w:space="0"/>
            </w:tcBorders>
            <w:vAlign w:val="top"/>
          </w:tcPr>
          <w:p>
            <w:pPr>
              <w:spacing w:before="237" w:line="64" w:lineRule="exact"/>
              <w:ind w:left="118"/>
              <w:rPr>
                <w:rFonts w:hint="eastAsia" w:ascii="宋体" w:hAnsi="宋体" w:eastAsia="宋体" w:cs="宋体"/>
                <w:color w:val="auto"/>
                <w:sz w:val="21"/>
                <w:szCs w:val="21"/>
                <w:highlight w:val="none"/>
              </w:rPr>
            </w:pPr>
            <w:r>
              <w:rPr>
                <w:rFonts w:hint="eastAsia" w:ascii="宋体" w:hAnsi="宋体" w:eastAsia="宋体" w:cs="宋体"/>
                <w:color w:val="auto"/>
                <w:spacing w:val="-12"/>
                <w:position w:val="1"/>
                <w:sz w:val="21"/>
                <w:szCs w:val="21"/>
                <w:highlight w:val="none"/>
              </w:rPr>
              <w:t>…</w:t>
            </w:r>
            <w:r>
              <w:rPr>
                <w:rFonts w:hint="eastAsia" w:ascii="宋体" w:hAnsi="宋体" w:eastAsia="宋体" w:cs="宋体"/>
                <w:color w:val="auto"/>
                <w:spacing w:val="-9"/>
                <w:position w:val="1"/>
                <w:sz w:val="21"/>
                <w:szCs w:val="21"/>
                <w:highlight w:val="none"/>
              </w:rPr>
              <w:t>… .</w:t>
            </w:r>
          </w:p>
        </w:tc>
        <w:tc>
          <w:tcPr>
            <w:tcW w:w="1833"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31"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31"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43"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2381" w:type="dxa"/>
            <w:tcBorders>
              <w:left w:val="single" w:color="000000" w:sz="10" w:space="0"/>
              <w:right w:val="single" w:color="000000" w:sz="4" w:space="0"/>
            </w:tcBorders>
            <w:vAlign w:val="top"/>
          </w:tcPr>
          <w:p>
            <w:pPr>
              <w:spacing w:before="68" w:line="226" w:lineRule="auto"/>
              <w:ind w:left="103"/>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缺陷责任期</w:t>
            </w:r>
          </w:p>
        </w:tc>
        <w:tc>
          <w:tcPr>
            <w:tcW w:w="1833"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31"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31"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43"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2381" w:type="dxa"/>
            <w:tcBorders>
              <w:left w:val="single" w:color="000000" w:sz="10" w:space="0"/>
              <w:right w:val="single" w:color="000000" w:sz="4" w:space="0"/>
            </w:tcBorders>
            <w:vAlign w:val="top"/>
          </w:tcPr>
          <w:p>
            <w:pPr>
              <w:spacing w:before="71" w:line="230" w:lineRule="auto"/>
              <w:ind w:left="108"/>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小</w:t>
            </w:r>
            <w:r>
              <w:rPr>
                <w:rFonts w:hint="eastAsia" w:ascii="宋体" w:hAnsi="宋体" w:eastAsia="宋体" w:cs="宋体"/>
                <w:color w:val="auto"/>
                <w:spacing w:val="1"/>
                <w:sz w:val="21"/>
                <w:szCs w:val="21"/>
                <w:highlight w:val="none"/>
              </w:rPr>
              <w:t>计</w:t>
            </w:r>
          </w:p>
        </w:tc>
        <w:tc>
          <w:tcPr>
            <w:tcW w:w="1833"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31" w:type="dxa"/>
            <w:tcBorders>
              <w:left w:val="single" w:color="000000" w:sz="4" w:space="0"/>
              <w:right w:val="single" w:color="000000" w:sz="4" w:space="0"/>
            </w:tcBorders>
            <w:vAlign w:val="top"/>
          </w:tcPr>
          <w:p>
            <w:pPr>
              <w:spacing w:before="117" w:line="193" w:lineRule="auto"/>
              <w:ind w:left="123"/>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100.0</w:t>
            </w:r>
            <w:r>
              <w:rPr>
                <w:rFonts w:hint="eastAsia" w:ascii="宋体" w:hAnsi="宋体" w:eastAsia="宋体" w:cs="宋体"/>
                <w:color w:val="auto"/>
                <w:sz w:val="21"/>
                <w:szCs w:val="21"/>
                <w:highlight w:val="none"/>
              </w:rPr>
              <w:t>0</w:t>
            </w:r>
          </w:p>
        </w:tc>
        <w:tc>
          <w:tcPr>
            <w:tcW w:w="1831" w:type="dxa"/>
            <w:tcBorders>
              <w:left w:val="single" w:color="000000" w:sz="4" w:space="0"/>
              <w:right w:val="single" w:color="000000" w:sz="4" w:space="0"/>
            </w:tcBorders>
            <w:vAlign w:val="top"/>
          </w:tcPr>
          <w:p>
            <w:pPr>
              <w:rPr>
                <w:rFonts w:hint="eastAsia" w:ascii="宋体" w:hAnsi="宋体" w:eastAsia="宋体" w:cs="宋体"/>
                <w:color w:val="auto"/>
                <w:sz w:val="21"/>
                <w:szCs w:val="21"/>
                <w:highlight w:val="none"/>
              </w:rPr>
            </w:pPr>
          </w:p>
        </w:tc>
        <w:tc>
          <w:tcPr>
            <w:tcW w:w="1843" w:type="dxa"/>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2381" w:type="dxa"/>
            <w:tcBorders>
              <w:left w:val="single" w:color="000000" w:sz="10" w:space="0"/>
              <w:right w:val="single" w:color="000000" w:sz="4" w:space="0"/>
            </w:tcBorders>
            <w:vAlign w:val="top"/>
          </w:tcPr>
          <w:p>
            <w:pPr>
              <w:spacing w:before="69" w:line="227" w:lineRule="auto"/>
              <w:ind w:left="105"/>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投</w:t>
            </w:r>
            <w:r>
              <w:rPr>
                <w:rFonts w:hint="eastAsia" w:ascii="宋体" w:hAnsi="宋体" w:eastAsia="宋体" w:cs="宋体"/>
                <w:color w:val="auto"/>
                <w:spacing w:val="4"/>
                <w:sz w:val="21"/>
                <w:szCs w:val="21"/>
                <w:highlight w:val="none"/>
              </w:rPr>
              <w:t>标价：</w:t>
            </w:r>
          </w:p>
        </w:tc>
        <w:tc>
          <w:tcPr>
            <w:tcW w:w="7338" w:type="dxa"/>
            <w:gridSpan w:val="4"/>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8" w:hRule="atLeast"/>
        </w:trPr>
        <w:tc>
          <w:tcPr>
            <w:tcW w:w="2381" w:type="dxa"/>
            <w:tcBorders>
              <w:left w:val="single" w:color="000000" w:sz="10" w:space="0"/>
              <w:right w:val="single" w:color="000000" w:sz="4" w:space="0"/>
            </w:tcBorders>
            <w:vAlign w:val="top"/>
          </w:tcPr>
          <w:p>
            <w:pPr>
              <w:spacing w:line="254" w:lineRule="auto"/>
              <w:rPr>
                <w:rFonts w:hint="eastAsia" w:ascii="宋体" w:hAnsi="宋体" w:eastAsia="宋体" w:cs="宋体"/>
                <w:color w:val="auto"/>
                <w:sz w:val="21"/>
                <w:szCs w:val="21"/>
                <w:highlight w:val="none"/>
              </w:rPr>
            </w:pPr>
          </w:p>
          <w:p>
            <w:pPr>
              <w:spacing w:line="255" w:lineRule="auto"/>
              <w:rPr>
                <w:rFonts w:hint="eastAsia" w:ascii="宋体" w:hAnsi="宋体" w:eastAsia="宋体" w:cs="宋体"/>
                <w:color w:val="auto"/>
                <w:sz w:val="21"/>
                <w:szCs w:val="21"/>
                <w:highlight w:val="none"/>
              </w:rPr>
            </w:pPr>
          </w:p>
          <w:p>
            <w:pPr>
              <w:spacing w:line="255" w:lineRule="auto"/>
              <w:rPr>
                <w:rFonts w:hint="eastAsia" w:ascii="宋体" w:hAnsi="宋体" w:eastAsia="宋体" w:cs="宋体"/>
                <w:color w:val="auto"/>
                <w:sz w:val="21"/>
                <w:szCs w:val="21"/>
                <w:highlight w:val="none"/>
              </w:rPr>
            </w:pPr>
          </w:p>
          <w:p>
            <w:pPr>
              <w:spacing w:line="255" w:lineRule="auto"/>
              <w:rPr>
                <w:rFonts w:hint="eastAsia" w:ascii="宋体" w:hAnsi="宋体" w:eastAsia="宋体" w:cs="宋体"/>
                <w:color w:val="auto"/>
                <w:sz w:val="21"/>
                <w:szCs w:val="21"/>
                <w:highlight w:val="none"/>
              </w:rPr>
            </w:pPr>
          </w:p>
          <w:p>
            <w:pPr>
              <w:spacing w:before="65" w:line="228" w:lineRule="auto"/>
              <w:ind w:left="105"/>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说明</w:t>
            </w:r>
          </w:p>
        </w:tc>
        <w:tc>
          <w:tcPr>
            <w:tcW w:w="7338" w:type="dxa"/>
            <w:gridSpan w:val="4"/>
            <w:tcBorders>
              <w:left w:val="single" w:color="000000" w:sz="4" w:space="0"/>
              <w:right w:val="single" w:color="000000" w:sz="10" w:space="0"/>
            </w:tcBorders>
            <w:vAlign w:val="top"/>
          </w:tcPr>
          <w:p>
            <w:pPr>
              <w:rPr>
                <w:rFonts w:hint="eastAsia" w:ascii="宋体" w:hAnsi="宋体" w:eastAsia="宋体" w:cs="宋体"/>
                <w:color w:val="auto"/>
                <w:sz w:val="21"/>
                <w:szCs w:val="21"/>
                <w:highlight w:val="none"/>
              </w:rPr>
            </w:pPr>
          </w:p>
        </w:tc>
      </w:tr>
    </w:tbl>
    <w:p>
      <w:pPr>
        <w:spacing w:before="29" w:line="228" w:lineRule="auto"/>
        <w:ind w:left="128"/>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注：1.投标人可按施工组织设计附表一的工程进度估算并填写本表。</w:t>
      </w:r>
    </w:p>
    <w:p>
      <w:pPr>
        <w:spacing w:before="161" w:line="385" w:lineRule="auto"/>
        <w:ind w:left="145" w:right="9" w:firstLine="399"/>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2.用款额按所报单价和总额价估算，不包括价格调整和暂列金额、暂估价，但应考虑开工预付款的扣回、质量保证金的扣留以及签发付款证书后到实际支付的时间间隔。</w:t>
      </w:r>
    </w:p>
    <w:p>
      <w:pPr>
        <w:rPr>
          <w:color w:val="auto"/>
          <w:highlight w:val="none"/>
        </w:rPr>
      </w:pPr>
    </w:p>
    <w:p>
      <w:pPr>
        <w:spacing w:before="161" w:line="385" w:lineRule="auto"/>
        <w:ind w:left="145" w:right="9" w:firstLine="399"/>
        <w:rPr>
          <w:rFonts w:ascii="宋体" w:hAnsi="宋体" w:eastAsia="宋体" w:cs="宋体"/>
          <w:color w:val="auto"/>
          <w:sz w:val="20"/>
          <w:szCs w:val="20"/>
          <w:highlight w:val="none"/>
        </w:rPr>
      </w:pPr>
    </w:p>
    <w:p>
      <w:pPr>
        <w:spacing w:before="161" w:line="385" w:lineRule="auto"/>
        <w:ind w:left="145" w:right="9" w:firstLine="399"/>
        <w:rPr>
          <w:rFonts w:ascii="宋体" w:hAnsi="宋体" w:eastAsia="宋体" w:cs="宋体"/>
          <w:color w:val="auto"/>
          <w:sz w:val="20"/>
          <w:szCs w:val="20"/>
          <w:highlight w:val="none"/>
        </w:rPr>
      </w:pPr>
    </w:p>
    <w:sectPr>
      <w:pgSz w:w="11900" w:h="16840"/>
      <w:pgMar w:top="1160" w:right="1400" w:bottom="1162" w:left="840" w:header="883" w:footer="1234"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宋">
    <w:altName w:val="黑体"/>
    <w:panose1 w:val="00000000000000000000"/>
    <w:charset w:val="86"/>
    <w:family w:val="auto"/>
    <w:pitch w:val="default"/>
    <w:sig w:usb0="00000000" w:usb1="00000000" w:usb2="0000001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Arial Narrow">
    <w:altName w:val="Arial"/>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rPr>
        <w:rFonts w:hint="default" w:eastAsia="宋体"/>
        <w:lang w:val="en-US" w:eastAsia="zh-CN"/>
      </w:rPr>
    </w:pPr>
    <w:r>
      <w:rPr>
        <w:rFonts w:hint="eastAsia" w:eastAsia="宋体"/>
        <w:lang w:val="en-US" w:eastAsia="zh-CN"/>
      </w:rPr>
      <w:t>浙江华耀建设咨询有限公司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rPr>
        <w:rFonts w:hint="default" w:eastAsia="宋体"/>
        <w:lang w:val="en-US" w:eastAsia="zh-CN"/>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73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73</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75</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75</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78</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78</w:t>
                    </w:r>
                    <w:r>
                      <w:fldChar w:fldCharType="end"/>
                    </w:r>
                    <w:r>
                      <w:t xml:space="preserve"> —</w:t>
                    </w:r>
                  </w:p>
                </w:txbxContent>
              </v:textbox>
            </v:shape>
          </w:pict>
        </mc:Fallback>
      </mc:AlternateContent>
    </w:r>
    <w:r>
      <w:rPr>
        <w:rFonts w:hint="eastAsia" w:eastAsia="宋体"/>
        <w:lang w:val="en-US" w:eastAsia="zh-CN"/>
      </w:rPr>
      <w:t>浙江华耀建设咨询有限公司</w:t>
    </w:r>
  </w:p>
  <w:bookmarkEnd w:id="770"/>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rPr>
        <w:rFonts w:ascii="Times New Roman" w:hAnsi="Times New Roman" w:eastAsia="Times New Roman" w:cs="Times New Roman"/>
        <w:sz w:val="24"/>
        <w:szCs w:val="24"/>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97</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97</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98</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98</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99</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99</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100</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100</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436"/>
      <w:rPr>
        <w:rFonts w:ascii="Times New Roman" w:hAnsi="Times New Roman" w:eastAsia="Times New Roman" w:cs="Times New Roman"/>
        <w:sz w:val="24"/>
        <w:szCs w:val="24"/>
      </w:rPr>
    </w:pPr>
    <w:r>
      <w:rPr>
        <w:sz w:val="24"/>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ascii="Times New Roman" w:hAnsi="Times New Roman" w:eastAsia="Times New Roman" w:cs="Times New Roman"/>
        <w:spacing w:val="-7"/>
        <w:sz w:val="24"/>
        <w:szCs w:val="24"/>
      </w:rPr>
      <w:t>1</w:t>
    </w:r>
    <w:r>
      <w:rPr>
        <w:rFonts w:ascii="Times New Roman" w:hAnsi="Times New Roman" w:eastAsia="Times New Roman" w:cs="Times New Roman"/>
        <w:spacing w:val="-6"/>
        <w:sz w:val="24"/>
        <w:szCs w:val="24"/>
      </w:rPr>
      <w:t>35</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102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102</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106</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106</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108</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108</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109</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109</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111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111</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113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113</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114</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114</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115</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115</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116</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116</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rPr>
        <w:rFonts w:ascii="Times New Roman" w:hAnsi="Times New Roman" w:eastAsia="Times New Roman" w:cs="Times New Roman"/>
        <w:sz w:val="24"/>
        <w:szCs w:val="24"/>
      </w:rP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119</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119</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121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121</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128</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128</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130</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130</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132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132</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133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133</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134</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134</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135</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135</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138</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138</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142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142</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4" w:space="0"/>
      </w:pBdr>
      <w:spacing w:line="14" w:lineRule="auto"/>
      <w:rPr>
        <w:rFonts w:ascii="Arial"/>
        <w:sz w:val="2"/>
      </w:rPr>
    </w:pPr>
    <w:r>
      <w:rPr>
        <w:sz w:val="2"/>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151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151</w:t>
                    </w:r>
                    <w:r>
                      <w:fldChar w:fldCharType="end"/>
                    </w:r>
                    <w:r>
                      <w:t xml:space="preserve"> —</w:t>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153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153</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154</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154</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155</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155</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157</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157</w:t>
                    </w:r>
                    <w:r>
                      <w:fldChar w:fldCharType="end"/>
                    </w:r>
                    <w:r>
                      <w:t xml:space="preserve"> —</w:t>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158</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158</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159</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159</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160</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160</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161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161</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162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162</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single" w:color="auto" w:sz="4" w:space="0"/>
      </w:pBdr>
      <w:tabs>
        <w:tab w:val="clear" w:pos="4153"/>
      </w:tabs>
      <w:jc w:val="both"/>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164</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164</w:t>
                    </w:r>
                    <w:r>
                      <w:fldChar w:fldCharType="end"/>
                    </w:r>
                    <w:r>
                      <w:t xml:space="preserve"> —</w:t>
                    </w:r>
                  </w:p>
                </w:txbxContent>
              </v:textbox>
            </v:shape>
          </w:pict>
        </mc:Fallback>
      </mc:AlternateContent>
    </w:r>
    <w:r>
      <w:rPr>
        <w:rFonts w:hint="eastAsia" w:eastAsia="宋体"/>
        <w:lang w:val="en-US" w:eastAsia="zh-CN"/>
      </w:rPr>
      <w:t>浙江华耀建设咨询有限公司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single" w:color="auto" w:sz="4" w:space="1"/>
      </w:pBdr>
    </w:pPr>
    <w:r>
      <w:rPr>
        <w:rFonts w:hint="eastAsia"/>
      </w:rPr>
      <w:t>嵊州市三溪水库配套工程（上竹线楼家-三溪段道路</w:t>
    </w:r>
    <w:r>
      <w:rPr>
        <w:rFonts w:hint="eastAsia" w:eastAsia="宋体"/>
        <w:lang w:val="en-US" w:eastAsia="zh-CN"/>
      </w:rPr>
      <w:t>改建</w:t>
    </w:r>
    <w:r>
      <w:rPr>
        <w:rFonts w:hint="eastAsia"/>
      </w:rPr>
      <w:t>工程）</w:t>
    </w:r>
    <w:r>
      <w:rPr>
        <w:rFonts w:hint="eastAsia" w:eastAsia="宋体"/>
        <w:lang w:val="en-US" w:eastAsia="zh-CN"/>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single" w:color="auto" w:sz="4" w:space="1"/>
      </w:pBdr>
    </w:pPr>
    <w:r>
      <w:rPr>
        <w:rFonts w:hint="eastAsia" w:eastAsia="宋体"/>
        <w:lang w:eastAsia="zh-CN"/>
      </w:rPr>
      <w:t>嵊州市三溪水库配套工程（上竹线楼家-三溪段道路改建工程）</w:t>
    </w:r>
    <w:r>
      <w:rPr>
        <w:rFonts w:hint="eastAsia" w:eastAsia="宋体"/>
        <w:lang w:val="en-US" w:eastAsia="zh-CN"/>
      </w:rPr>
      <w:t>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single" w:color="auto" w:sz="4" w:space="1"/>
      </w:pBdr>
    </w:pPr>
    <w:bookmarkStart w:id="770" w:name="_bookmark52"/>
    <w:r>
      <w:rPr>
        <w:rFonts w:hint="eastAsia" w:eastAsia="宋体"/>
        <w:lang w:eastAsia="zh-CN"/>
      </w:rPr>
      <w:t>嵊州市三溪水库配套工程（上竹线楼家-三溪段道路改建工程）</w:t>
    </w:r>
    <w:r>
      <w:rPr>
        <w:rFonts w:hint="eastAsia" w:eastAsia="宋体"/>
        <w:lang w:val="en-US" w:eastAsia="zh-CN"/>
      </w:rPr>
      <w:t>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single" w:color="auto" w:sz="4" w:space="1"/>
      </w:pBdr>
      <w:rPr>
        <w:rFonts w:ascii="黑体" w:hAnsi="黑体" w:eastAsia="黑体" w:cs="黑体"/>
        <w:sz w:val="20"/>
        <w:szCs w:val="20"/>
      </w:rPr>
    </w:pPr>
    <w:r>
      <w:rPr>
        <w:rFonts w:hint="eastAsia" w:eastAsia="宋体"/>
        <w:lang w:eastAsia="zh-CN"/>
      </w:rPr>
      <w:t>嵊州市三溪水库配套工程（上竹线楼家-三溪段道路改建工程）</w:t>
    </w:r>
    <w:r>
      <w:rPr>
        <w:rFonts w:hint="eastAsia" w:eastAsia="宋体"/>
        <w:lang w:val="en-US" w:eastAsia="zh-CN"/>
      </w:rPr>
      <w:t>招标文件</w:t>
    </w:r>
    <w:r>
      <w:drawing>
        <wp:anchor distT="0" distB="0" distL="0" distR="0" simplePos="0" relativeHeight="251660288" behindDoc="0" locked="0" layoutInCell="0" allowOverlap="1">
          <wp:simplePos x="0" y="0"/>
          <wp:positionH relativeFrom="page">
            <wp:posOffset>865505</wp:posOffset>
          </wp:positionH>
          <wp:positionV relativeFrom="page">
            <wp:posOffset>727710</wp:posOffset>
          </wp:positionV>
          <wp:extent cx="5830570" cy="8890"/>
          <wp:effectExtent l="0" t="0" r="0" b="0"/>
          <wp:wrapNone/>
          <wp:docPr id="127" name="IM 91"/>
          <wp:cNvGraphicFramePr/>
          <a:graphic xmlns:a="http://schemas.openxmlformats.org/drawingml/2006/main">
            <a:graphicData uri="http://schemas.openxmlformats.org/drawingml/2006/picture">
              <pic:pic xmlns:pic="http://schemas.openxmlformats.org/drawingml/2006/picture">
                <pic:nvPicPr>
                  <pic:cNvPr id="127" name="IM 91"/>
                  <pic:cNvPicPr/>
                </pic:nvPicPr>
                <pic:blipFill>
                  <a:blip r:embed="rId1"/>
                  <a:stretch>
                    <a:fillRect/>
                  </a:stretch>
                </pic:blipFill>
                <pic:spPr>
                  <a:xfrm>
                    <a:off x="0" y="0"/>
                    <a:ext cx="5830823" cy="9143"/>
                  </a:xfrm>
                  <a:prstGeom prst="rect">
                    <a:avLst/>
                  </a:prstGeom>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single" w:color="auto" w:sz="4" w:space="1"/>
      </w:pBdr>
    </w:pPr>
    <w:r>
      <w:rPr>
        <w:rFonts w:hint="eastAsia" w:eastAsia="宋体"/>
        <w:lang w:eastAsia="zh-CN"/>
      </w:rPr>
      <w:t>嵊州市三溪水库配套工程（上竹线楼家-三溪段道路改建工程）</w:t>
    </w:r>
    <w:r>
      <w:rPr>
        <w:rFonts w:hint="eastAsia" w:eastAsia="宋体"/>
        <w:lang w:val="en-US" w:eastAsia="zh-CN"/>
      </w:rPr>
      <w:t>招标文件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single" w:color="auto" w:sz="4" w:space="1"/>
      </w:pBdr>
      <w:rPr>
        <w:rFonts w:ascii="黑体" w:hAnsi="黑体" w:eastAsia="黑体" w:cs="黑体"/>
        <w:sz w:val="20"/>
        <w:szCs w:val="20"/>
      </w:rPr>
    </w:pPr>
    <w:r>
      <w:drawing>
        <wp:anchor distT="0" distB="0" distL="0" distR="0" simplePos="0" relativeHeight="251668480" behindDoc="0" locked="0" layoutInCell="0" allowOverlap="1">
          <wp:simplePos x="0" y="0"/>
          <wp:positionH relativeFrom="page">
            <wp:posOffset>865505</wp:posOffset>
          </wp:positionH>
          <wp:positionV relativeFrom="page">
            <wp:posOffset>727710</wp:posOffset>
          </wp:positionV>
          <wp:extent cx="5830570" cy="8890"/>
          <wp:effectExtent l="0" t="0" r="0" b="0"/>
          <wp:wrapNone/>
          <wp:docPr id="149" name="IM 106"/>
          <wp:cNvGraphicFramePr/>
          <a:graphic xmlns:a="http://schemas.openxmlformats.org/drawingml/2006/main">
            <a:graphicData uri="http://schemas.openxmlformats.org/drawingml/2006/picture">
              <pic:pic xmlns:pic="http://schemas.openxmlformats.org/drawingml/2006/picture">
                <pic:nvPicPr>
                  <pic:cNvPr id="149" name="IM 106"/>
                  <pic:cNvPicPr/>
                </pic:nvPicPr>
                <pic:blipFill>
                  <a:blip r:embed="rId1"/>
                  <a:stretch>
                    <a:fillRect/>
                  </a:stretch>
                </pic:blipFill>
                <pic:spPr>
                  <a:xfrm>
                    <a:off x="0" y="0"/>
                    <a:ext cx="5830823" cy="9143"/>
                  </a:xfrm>
                  <a:prstGeom prst="rect">
                    <a:avLst/>
                  </a:prstGeom>
                </pic:spPr>
              </pic:pic>
            </a:graphicData>
          </a:graphic>
        </wp:anchor>
      </w:drawing>
    </w:r>
    <w:r>
      <w:rPr>
        <w:rFonts w:hint="eastAsia" w:eastAsia="宋体"/>
        <w:lang w:eastAsia="zh-CN"/>
      </w:rPr>
      <w:t>嵊州市三溪水库配套工程（上竹线楼家-三溪段道路改建工程）</w:t>
    </w:r>
    <w:r>
      <w:rPr>
        <w:rFonts w:hint="eastAsia" w:eastAsia="宋体"/>
        <w:lang w:val="en-US" w:eastAsia="zh-CN"/>
      </w:rPr>
      <w:t>招标文件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single" w:color="auto" w:sz="4" w:space="1"/>
      </w:pBdr>
    </w:pPr>
    <w:r>
      <w:rPr>
        <w:rFonts w:hint="eastAsia" w:eastAsia="宋体"/>
        <w:lang w:eastAsia="zh-CN"/>
      </w:rPr>
      <w:t>嵊州市三溪水库配套工程（上竹线楼家-三溪段道路改建工程）</w:t>
    </w:r>
    <w:r>
      <w:rPr>
        <w:rFonts w:hint="eastAsia" w:eastAsia="宋体"/>
        <w:lang w:val="en-US" w:eastAsia="zh-CN"/>
      </w:rPr>
      <w:t>招标文件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single" w:color="auto" w:sz="4" w:space="1"/>
      </w:pBdr>
    </w:pPr>
    <w:r>
      <w:rPr>
        <w:rFonts w:hint="eastAsia" w:eastAsia="宋体"/>
        <w:lang w:eastAsia="zh-CN"/>
      </w:rPr>
      <w:t>嵊州市三溪水库配套工程（上竹线楼家-三溪段道路改建工程）</w:t>
    </w:r>
    <w:r>
      <w:rPr>
        <w:rFonts w:hint="eastAsia" w:eastAsia="宋体"/>
        <w:lang w:val="en-US" w:eastAsia="zh-CN"/>
      </w:rPr>
      <w:t>招标文件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single" w:color="auto" w:sz="4" w:space="1"/>
      </w:pBdr>
      <w:rPr>
        <w:rFonts w:hint="default"/>
        <w:lang w:val="en-US"/>
      </w:rPr>
    </w:pPr>
    <w:r>
      <w:rPr>
        <w:rFonts w:hint="eastAsia" w:eastAsia="宋体"/>
        <w:lang w:eastAsia="zh-CN"/>
      </w:rPr>
      <w:t>嵊州市三溪水库配套工程（上竹线楼家-三溪段道路改建工程）</w:t>
    </w:r>
    <w:r>
      <w:rPr>
        <w:rFonts w:hint="eastAsia" w:eastAsia="宋体"/>
        <w:lang w:val="en-US" w:eastAsia="zh-CN"/>
      </w:rPr>
      <w:t>招标文件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single" w:color="auto" w:sz="4" w:space="1"/>
      </w:pBdr>
      <w:rPr>
        <w:rFonts w:hint="default"/>
        <w:lang w:val="en-US"/>
      </w:rPr>
    </w:pPr>
    <w:r>
      <w:rPr>
        <w:rFonts w:hint="eastAsia" w:eastAsia="宋体"/>
        <w:lang w:eastAsia="zh-CN"/>
      </w:rPr>
      <w:t>嵊州市三溪水库配套工程（上竹线楼家-三溪段道路改建工程）</w:t>
    </w:r>
    <w:r>
      <w:rPr>
        <w:rFonts w:hint="eastAsia" w:eastAsia="宋体"/>
        <w:lang w:val="en-US" w:eastAsia="zh-CN"/>
      </w:rPr>
      <w:t>招标文件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single" w:color="auto" w:sz="4" w:space="1"/>
      </w:pBdr>
      <w:rPr>
        <w:rFonts w:hint="default"/>
        <w:lang w:val="en-US"/>
      </w:rPr>
    </w:pPr>
    <w:r>
      <w:rPr>
        <w:rFonts w:hint="eastAsia" w:eastAsia="宋体"/>
        <w:lang w:eastAsia="zh-CN"/>
      </w:rPr>
      <w:t>嵊州市三溪水库配套工程（上竹线楼家-三溪段道路改建工程）</w:t>
    </w:r>
    <w:r>
      <w:rPr>
        <w:rFonts w:hint="eastAsia" w:eastAsia="宋体"/>
        <w:lang w:val="en-US" w:eastAsia="zh-CN"/>
      </w:rPr>
      <w:t>招标文件</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single" w:color="auto" w:sz="4" w:space="1"/>
      </w:pBdr>
      <w:rPr>
        <w:rFonts w:hint="default"/>
        <w:lang w:val="en-US" w:eastAsia="zh-CN"/>
      </w:rPr>
    </w:pPr>
    <w:r>
      <w:rPr>
        <w:rFonts w:hint="eastAsia" w:eastAsia="宋体"/>
        <w:lang w:eastAsia="zh-CN"/>
      </w:rPr>
      <w:t>嵊州市三溪水库配套工程（上竹线楼家-三溪段道路改建工程）</w:t>
    </w:r>
    <w:r>
      <w:rPr>
        <w:rFonts w:hint="eastAsia" w:eastAsia="宋体"/>
        <w:lang w:val="en-US" w:eastAsia="zh-CN"/>
      </w:rPr>
      <w:t>招标文件</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single" w:color="auto" w:sz="4" w:space="1"/>
      </w:pBdr>
      <w:rPr>
        <w:rFonts w:hint="default"/>
        <w:lang w:val="en-US"/>
      </w:rPr>
    </w:pPr>
    <w:r>
      <w:rPr>
        <w:rFonts w:hint="eastAsia" w:eastAsia="宋体"/>
        <w:lang w:eastAsia="zh-CN"/>
      </w:rPr>
      <w:t>嵊州市三溪水库配套工程（上竹线楼家-三溪段道路改建工程）</w:t>
    </w:r>
    <w:r>
      <w:rPr>
        <w:rFonts w:hint="eastAsia" w:eastAsia="宋体"/>
        <w:lang w:val="en-US" w:eastAsia="zh-CN"/>
      </w:rPr>
      <w:t>招标文件</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single" w:color="auto" w:sz="4" w:space="1"/>
      </w:pBdr>
    </w:pPr>
    <w:r>
      <w:rPr>
        <w:rFonts w:hint="eastAsia" w:eastAsia="宋体"/>
        <w:lang w:eastAsia="zh-CN"/>
      </w:rPr>
      <w:t>嵊州市三溪水库配套工程（上竹线楼家-三溪段道路改建工程）</w:t>
    </w:r>
    <w:r>
      <w:rPr>
        <w:rFonts w:hint="eastAsia" w:eastAsia="宋体"/>
        <w:lang w:val="en-US" w:eastAsia="zh-CN"/>
      </w:rPr>
      <w:t>招标文件</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single" w:color="auto" w:sz="4" w:space="1"/>
      </w:pBdr>
    </w:pPr>
    <w:r>
      <w:rPr>
        <w:rFonts w:hint="eastAsia" w:ascii="黑体" w:hAnsi="黑体" w:eastAsia="黑体" w:cs="黑体"/>
        <w:spacing w:val="-23"/>
        <w:w w:val="93"/>
        <w:sz w:val="20"/>
        <w:szCs w:val="20"/>
        <w:lang w:val="en-US" w:eastAsia="zh-CN"/>
      </w:rPr>
      <w:t>嵊州市乡村振兴联网道路改扩建工程（董村-廿亩头、里大坑-山三线、张村-茶亭岗、东王-东梅-沈家-东山小湾、笆角外-西吴)</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single" w:color="auto" w:sz="4" w:space="1"/>
      </w:pBdr>
    </w:pPr>
    <w:r>
      <w:rPr>
        <w:rFonts w:hint="eastAsia" w:eastAsia="宋体"/>
        <w:lang w:eastAsia="zh-CN"/>
      </w:rPr>
      <w:t>嵊州市三溪水库配套工程（上竹线楼家-三溪段道路改建工程）</w:t>
    </w:r>
    <w:r>
      <w:rPr>
        <w:rFonts w:hint="eastAsia" w:eastAsia="宋体"/>
        <w:lang w:val="en-US" w:eastAsia="zh-CN"/>
      </w:rPr>
      <w:t>招标文件</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single" w:color="auto" w:sz="4" w:space="1"/>
      </w:pBdr>
    </w:pPr>
    <w:r>
      <w:rPr>
        <w:rFonts w:hint="eastAsia" w:eastAsia="宋体"/>
        <w:lang w:eastAsia="zh-CN"/>
      </w:rPr>
      <w:t>嵊州市三溪水库配套工程（上竹线楼家-三溪段道路改建工程）</w:t>
    </w:r>
    <w:r>
      <w:rPr>
        <w:rFonts w:hint="eastAsia" w:eastAsia="宋体"/>
        <w:lang w:val="en-US" w:eastAsia="zh-CN"/>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79F08F"/>
    <w:multiLevelType w:val="singleLevel"/>
    <w:tmpl w:val="A079F08F"/>
    <w:lvl w:ilvl="0" w:tentative="0">
      <w:start w:val="1"/>
      <w:numFmt w:val="decimal"/>
      <w:suff w:val="nothing"/>
      <w:lvlText w:val="%1、"/>
      <w:lvlJc w:val="left"/>
      <w:pPr>
        <w:ind w:left="-120"/>
      </w:pPr>
      <w:rPr>
        <w:rFonts w:hint="default"/>
        <w:highlight w:val="none"/>
      </w:rPr>
    </w:lvl>
  </w:abstractNum>
  <w:abstractNum w:abstractNumId="1">
    <w:nsid w:val="F7B08AC1"/>
    <w:multiLevelType w:val="singleLevel"/>
    <w:tmpl w:val="F7B08AC1"/>
    <w:lvl w:ilvl="0" w:tentative="0">
      <w:start w:val="1"/>
      <w:numFmt w:val="decimal"/>
      <w:suff w:val="nothing"/>
      <w:lvlText w:val="%1、"/>
      <w:lvlJc w:val="left"/>
    </w:lvl>
  </w:abstractNum>
  <w:abstractNum w:abstractNumId="2">
    <w:nsid w:val="FC974CA2"/>
    <w:multiLevelType w:val="singleLevel"/>
    <w:tmpl w:val="FC974CA2"/>
    <w:lvl w:ilvl="0" w:tentative="0">
      <w:start w:val="1"/>
      <w:numFmt w:val="decimal"/>
      <w:suff w:val="nothing"/>
      <w:lvlText w:val="%1、"/>
      <w:lvlJc w:val="left"/>
    </w:lvl>
  </w:abstractNum>
  <w:abstractNum w:abstractNumId="3">
    <w:nsid w:val="00000001"/>
    <w:multiLevelType w:val="singleLevel"/>
    <w:tmpl w:val="00000001"/>
    <w:lvl w:ilvl="0" w:tentative="0">
      <w:start w:val="1"/>
      <w:numFmt w:val="decimal"/>
      <w:lvlText w:val="%1."/>
      <w:lvlJc w:val="left"/>
      <w:pPr>
        <w:tabs>
          <w:tab w:val="left" w:pos="312"/>
        </w:tabs>
      </w:pPr>
    </w:lvl>
  </w:abstractNum>
  <w:abstractNum w:abstractNumId="4">
    <w:nsid w:val="217F9D4E"/>
    <w:multiLevelType w:val="singleLevel"/>
    <w:tmpl w:val="217F9D4E"/>
    <w:lvl w:ilvl="0" w:tentative="0">
      <w:start w:val="2"/>
      <w:numFmt w:val="chineseCounting"/>
      <w:suff w:val="nothing"/>
      <w:lvlText w:val="%1、"/>
      <w:lvlJc w:val="left"/>
      <w:rPr>
        <w:rFonts w:hint="eastAsia"/>
      </w:rPr>
    </w:lvl>
  </w:abstractNum>
  <w:abstractNum w:abstractNumId="5">
    <w:nsid w:val="2A0FD6E8"/>
    <w:multiLevelType w:val="singleLevel"/>
    <w:tmpl w:val="2A0FD6E8"/>
    <w:lvl w:ilvl="0" w:tentative="0">
      <w:start w:val="1"/>
      <w:numFmt w:val="decimal"/>
      <w:suff w:val="space"/>
      <w:lvlText w:val="(%1)"/>
      <w:lvlJc w:val="left"/>
    </w:lvl>
  </w:abstractNum>
  <w:abstractNum w:abstractNumId="6">
    <w:nsid w:val="4B5208D1"/>
    <w:multiLevelType w:val="singleLevel"/>
    <w:tmpl w:val="4B5208D1"/>
    <w:lvl w:ilvl="0" w:tentative="0">
      <w:start w:val="6"/>
      <w:numFmt w:val="decimal"/>
      <w:lvlText w:val="%1."/>
      <w:lvlJc w:val="left"/>
      <w:pPr>
        <w:tabs>
          <w:tab w:val="left" w:pos="312"/>
        </w:tabs>
      </w:pPr>
    </w:lvl>
  </w:abstractNum>
  <w:abstractNum w:abstractNumId="7">
    <w:nsid w:val="4F6FCEBE"/>
    <w:multiLevelType w:val="singleLevel"/>
    <w:tmpl w:val="4F6FCEBE"/>
    <w:lvl w:ilvl="0" w:tentative="0">
      <w:start w:val="1"/>
      <w:numFmt w:val="decimal"/>
      <w:suff w:val="space"/>
      <w:lvlText w:val="(%1)"/>
      <w:lvlJc w:val="left"/>
    </w:lvl>
  </w:abstractNum>
  <w:abstractNum w:abstractNumId="8">
    <w:nsid w:val="564E1484"/>
    <w:multiLevelType w:val="singleLevel"/>
    <w:tmpl w:val="564E1484"/>
    <w:lvl w:ilvl="0" w:tentative="0">
      <w:start w:val="1"/>
      <w:numFmt w:val="decimal"/>
      <w:suff w:val="nothing"/>
      <w:lvlText w:val="（%1）"/>
      <w:lvlJc w:val="left"/>
    </w:lvl>
  </w:abstractNum>
  <w:abstractNum w:abstractNumId="9">
    <w:nsid w:val="62654362"/>
    <w:multiLevelType w:val="singleLevel"/>
    <w:tmpl w:val="62654362"/>
    <w:lvl w:ilvl="0" w:tentative="0">
      <w:start w:val="1"/>
      <w:numFmt w:val="chineseCounting"/>
      <w:suff w:val="nothing"/>
      <w:lvlText w:val="%1、"/>
      <w:lvlJc w:val="left"/>
      <w:rPr>
        <w:rFonts w:hint="eastAsia"/>
      </w:rPr>
    </w:lvl>
  </w:abstractNum>
  <w:abstractNum w:abstractNumId="10">
    <w:nsid w:val="64D330EC"/>
    <w:multiLevelType w:val="singleLevel"/>
    <w:tmpl w:val="64D330EC"/>
    <w:lvl w:ilvl="0" w:tentative="0">
      <w:start w:val="1"/>
      <w:numFmt w:val="decimal"/>
      <w:suff w:val="space"/>
      <w:lvlText w:val="%1."/>
      <w:lvlJc w:val="left"/>
    </w:lvl>
  </w:abstractNum>
  <w:abstractNum w:abstractNumId="11">
    <w:nsid w:val="6585F136"/>
    <w:multiLevelType w:val="singleLevel"/>
    <w:tmpl w:val="6585F136"/>
    <w:lvl w:ilvl="0" w:tentative="0">
      <w:start w:val="4"/>
      <w:numFmt w:val="chineseCounting"/>
      <w:suff w:val="space"/>
      <w:lvlText w:val="第%1章"/>
      <w:lvlJc w:val="left"/>
      <w:rPr>
        <w:rFonts w:hint="eastAsia"/>
      </w:rPr>
    </w:lvl>
  </w:abstractNum>
  <w:abstractNum w:abstractNumId="12">
    <w:nsid w:val="783FC673"/>
    <w:multiLevelType w:val="singleLevel"/>
    <w:tmpl w:val="783FC673"/>
    <w:lvl w:ilvl="0" w:tentative="0">
      <w:start w:val="1"/>
      <w:numFmt w:val="lowerLetter"/>
      <w:suff w:val="space"/>
      <w:lvlText w:val="%1."/>
      <w:lvlJc w:val="left"/>
    </w:lvl>
  </w:abstractNum>
  <w:num w:numId="1">
    <w:abstractNumId w:val="4"/>
  </w:num>
  <w:num w:numId="2">
    <w:abstractNumId w:val="6"/>
  </w:num>
  <w:num w:numId="3">
    <w:abstractNumId w:val="1"/>
  </w:num>
  <w:num w:numId="4">
    <w:abstractNumId w:val="8"/>
  </w:num>
  <w:num w:numId="5">
    <w:abstractNumId w:val="0"/>
  </w:num>
  <w:num w:numId="6">
    <w:abstractNumId w:val="2"/>
  </w:num>
  <w:num w:numId="7">
    <w:abstractNumId w:val="12"/>
  </w:num>
  <w:num w:numId="8">
    <w:abstractNumId w:val="11"/>
  </w:num>
  <w:num w:numId="9">
    <w:abstractNumId w:val="10"/>
  </w:num>
  <w:num w:numId="10">
    <w:abstractNumId w:val="7"/>
  </w:num>
  <w:num w:numId="11">
    <w:abstractNumId w:val="5"/>
  </w:num>
  <w:num w:numId="12">
    <w:abstractNumId w:val="3"/>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YTE3ODI0YTcyOTUyMGNlMWViNjI4YmZmYjMwODgwNzgifQ=="/>
  </w:docVars>
  <w:rsids>
    <w:rsidRoot w:val="00172A27"/>
    <w:rsid w:val="000F425A"/>
    <w:rsid w:val="00360E24"/>
    <w:rsid w:val="0047567E"/>
    <w:rsid w:val="01433F27"/>
    <w:rsid w:val="01D8567B"/>
    <w:rsid w:val="025D4D8E"/>
    <w:rsid w:val="02A21F5F"/>
    <w:rsid w:val="03104E35"/>
    <w:rsid w:val="041651F4"/>
    <w:rsid w:val="04420F06"/>
    <w:rsid w:val="044954AD"/>
    <w:rsid w:val="044C330C"/>
    <w:rsid w:val="04693B68"/>
    <w:rsid w:val="0479598C"/>
    <w:rsid w:val="04915293"/>
    <w:rsid w:val="049A7BD3"/>
    <w:rsid w:val="04DD5D12"/>
    <w:rsid w:val="04F7370A"/>
    <w:rsid w:val="058A5E9A"/>
    <w:rsid w:val="059C403D"/>
    <w:rsid w:val="05C41034"/>
    <w:rsid w:val="05CA098C"/>
    <w:rsid w:val="05DB3ACD"/>
    <w:rsid w:val="062C6582"/>
    <w:rsid w:val="063D4CBA"/>
    <w:rsid w:val="064C75F3"/>
    <w:rsid w:val="070C6868"/>
    <w:rsid w:val="07142DA0"/>
    <w:rsid w:val="074A3038"/>
    <w:rsid w:val="07B7469F"/>
    <w:rsid w:val="07E5640F"/>
    <w:rsid w:val="07E76879"/>
    <w:rsid w:val="084120E9"/>
    <w:rsid w:val="08641282"/>
    <w:rsid w:val="08AD7EA6"/>
    <w:rsid w:val="08BE1E87"/>
    <w:rsid w:val="08F12A2E"/>
    <w:rsid w:val="08FE3801"/>
    <w:rsid w:val="09121943"/>
    <w:rsid w:val="094A2D56"/>
    <w:rsid w:val="09BF167E"/>
    <w:rsid w:val="09FC7D8C"/>
    <w:rsid w:val="0A083831"/>
    <w:rsid w:val="0A6D71E1"/>
    <w:rsid w:val="0A894972"/>
    <w:rsid w:val="0A9A38F3"/>
    <w:rsid w:val="0ADF716D"/>
    <w:rsid w:val="0AF53DB5"/>
    <w:rsid w:val="0B027A73"/>
    <w:rsid w:val="0B533BAF"/>
    <w:rsid w:val="0B5C5BE2"/>
    <w:rsid w:val="0B751561"/>
    <w:rsid w:val="0B897319"/>
    <w:rsid w:val="0BA17A99"/>
    <w:rsid w:val="0BD74302"/>
    <w:rsid w:val="0C0D58A7"/>
    <w:rsid w:val="0C327C5A"/>
    <w:rsid w:val="0C3668FC"/>
    <w:rsid w:val="0D332666"/>
    <w:rsid w:val="0D416AF1"/>
    <w:rsid w:val="0D676AC1"/>
    <w:rsid w:val="0D9A0227"/>
    <w:rsid w:val="0DB53C92"/>
    <w:rsid w:val="0E0D3851"/>
    <w:rsid w:val="0E721BC1"/>
    <w:rsid w:val="0E9E2572"/>
    <w:rsid w:val="0E9E6B9F"/>
    <w:rsid w:val="0EF0460E"/>
    <w:rsid w:val="0F3217B7"/>
    <w:rsid w:val="0F3A1A4C"/>
    <w:rsid w:val="0F4F3CF1"/>
    <w:rsid w:val="0F632EB5"/>
    <w:rsid w:val="0F6537E0"/>
    <w:rsid w:val="0FC94333"/>
    <w:rsid w:val="0FCB77DB"/>
    <w:rsid w:val="100A755D"/>
    <w:rsid w:val="102141A2"/>
    <w:rsid w:val="10691FA3"/>
    <w:rsid w:val="106D267B"/>
    <w:rsid w:val="107806C2"/>
    <w:rsid w:val="107C0AD5"/>
    <w:rsid w:val="10805CFF"/>
    <w:rsid w:val="109E6C9D"/>
    <w:rsid w:val="10AD7ACC"/>
    <w:rsid w:val="10BE6ECD"/>
    <w:rsid w:val="10C76AC0"/>
    <w:rsid w:val="10CD0EA0"/>
    <w:rsid w:val="11402E18"/>
    <w:rsid w:val="11542B15"/>
    <w:rsid w:val="11B57C96"/>
    <w:rsid w:val="11B87DBB"/>
    <w:rsid w:val="11C9557A"/>
    <w:rsid w:val="11F97105"/>
    <w:rsid w:val="1202776F"/>
    <w:rsid w:val="120618B9"/>
    <w:rsid w:val="123953D6"/>
    <w:rsid w:val="125E5DDF"/>
    <w:rsid w:val="129A1327"/>
    <w:rsid w:val="12FD7B8C"/>
    <w:rsid w:val="13510A26"/>
    <w:rsid w:val="13D6674E"/>
    <w:rsid w:val="13DA0C71"/>
    <w:rsid w:val="13E2684A"/>
    <w:rsid w:val="141F6347"/>
    <w:rsid w:val="1427438D"/>
    <w:rsid w:val="14607CB7"/>
    <w:rsid w:val="147815B3"/>
    <w:rsid w:val="14882AF6"/>
    <w:rsid w:val="14CA4465"/>
    <w:rsid w:val="14EC25CE"/>
    <w:rsid w:val="15535D83"/>
    <w:rsid w:val="15F86E50"/>
    <w:rsid w:val="1629525B"/>
    <w:rsid w:val="16972679"/>
    <w:rsid w:val="169C5A2D"/>
    <w:rsid w:val="17662C6F"/>
    <w:rsid w:val="17682647"/>
    <w:rsid w:val="17F51CA3"/>
    <w:rsid w:val="1873245F"/>
    <w:rsid w:val="19325F03"/>
    <w:rsid w:val="195F7FD8"/>
    <w:rsid w:val="19821E18"/>
    <w:rsid w:val="19AC591F"/>
    <w:rsid w:val="19CC6426"/>
    <w:rsid w:val="19FF6EEF"/>
    <w:rsid w:val="1A2D4F0B"/>
    <w:rsid w:val="1A3A6D43"/>
    <w:rsid w:val="1A98011B"/>
    <w:rsid w:val="1AA84175"/>
    <w:rsid w:val="1B4B26CE"/>
    <w:rsid w:val="1B8076CB"/>
    <w:rsid w:val="1BED14A0"/>
    <w:rsid w:val="1C111D5A"/>
    <w:rsid w:val="1C861F4B"/>
    <w:rsid w:val="1C8657F1"/>
    <w:rsid w:val="1CA1781D"/>
    <w:rsid w:val="1CCB4ED8"/>
    <w:rsid w:val="1CD6156D"/>
    <w:rsid w:val="1D126680"/>
    <w:rsid w:val="1D271DC8"/>
    <w:rsid w:val="1D4E4E6E"/>
    <w:rsid w:val="1D595962"/>
    <w:rsid w:val="1D7847E3"/>
    <w:rsid w:val="1E243045"/>
    <w:rsid w:val="1E4D7BAF"/>
    <w:rsid w:val="1E6B5E32"/>
    <w:rsid w:val="1E840DA4"/>
    <w:rsid w:val="1ED815CC"/>
    <w:rsid w:val="1F1A2878"/>
    <w:rsid w:val="1F2436EE"/>
    <w:rsid w:val="1F4B7FF0"/>
    <w:rsid w:val="1F5E5F75"/>
    <w:rsid w:val="1F901E23"/>
    <w:rsid w:val="1FD37AAD"/>
    <w:rsid w:val="201B604B"/>
    <w:rsid w:val="204131A1"/>
    <w:rsid w:val="205A2A84"/>
    <w:rsid w:val="21637EF6"/>
    <w:rsid w:val="216B497A"/>
    <w:rsid w:val="21B912FE"/>
    <w:rsid w:val="21F82BE7"/>
    <w:rsid w:val="220D3C83"/>
    <w:rsid w:val="224A0C63"/>
    <w:rsid w:val="224A1EDC"/>
    <w:rsid w:val="22744F83"/>
    <w:rsid w:val="22DA6F86"/>
    <w:rsid w:val="231A05E3"/>
    <w:rsid w:val="23893FC2"/>
    <w:rsid w:val="23B046EA"/>
    <w:rsid w:val="23B51EDC"/>
    <w:rsid w:val="23B92925"/>
    <w:rsid w:val="23BC770E"/>
    <w:rsid w:val="23D42933"/>
    <w:rsid w:val="243251CF"/>
    <w:rsid w:val="24394AB8"/>
    <w:rsid w:val="245D40A9"/>
    <w:rsid w:val="247C1ADC"/>
    <w:rsid w:val="24B31115"/>
    <w:rsid w:val="24E20D41"/>
    <w:rsid w:val="251E530A"/>
    <w:rsid w:val="25531010"/>
    <w:rsid w:val="257218BD"/>
    <w:rsid w:val="26316AFB"/>
    <w:rsid w:val="26323CB8"/>
    <w:rsid w:val="266636C7"/>
    <w:rsid w:val="26905A3E"/>
    <w:rsid w:val="26942B36"/>
    <w:rsid w:val="26B76097"/>
    <w:rsid w:val="26E72CF4"/>
    <w:rsid w:val="273A2BCF"/>
    <w:rsid w:val="27743E5C"/>
    <w:rsid w:val="27D14264"/>
    <w:rsid w:val="27DB4A3B"/>
    <w:rsid w:val="27DE7AE3"/>
    <w:rsid w:val="280C5532"/>
    <w:rsid w:val="28131A4D"/>
    <w:rsid w:val="2828544A"/>
    <w:rsid w:val="283C1BAF"/>
    <w:rsid w:val="28414686"/>
    <w:rsid w:val="285D5613"/>
    <w:rsid w:val="287C15E1"/>
    <w:rsid w:val="28AA1B8C"/>
    <w:rsid w:val="28C037FD"/>
    <w:rsid w:val="28D6045D"/>
    <w:rsid w:val="29007B8A"/>
    <w:rsid w:val="29190B6D"/>
    <w:rsid w:val="2953093B"/>
    <w:rsid w:val="29820344"/>
    <w:rsid w:val="29D137E8"/>
    <w:rsid w:val="29E13B8B"/>
    <w:rsid w:val="2A8B3D91"/>
    <w:rsid w:val="2ADC4339"/>
    <w:rsid w:val="2AE51F40"/>
    <w:rsid w:val="2AFB7D1F"/>
    <w:rsid w:val="2B505BB7"/>
    <w:rsid w:val="2B62516E"/>
    <w:rsid w:val="2B9B5E5B"/>
    <w:rsid w:val="2B9E69F6"/>
    <w:rsid w:val="2BB6078D"/>
    <w:rsid w:val="2C064ACB"/>
    <w:rsid w:val="2C504614"/>
    <w:rsid w:val="2C725F35"/>
    <w:rsid w:val="2C7A05E6"/>
    <w:rsid w:val="2CD86C3B"/>
    <w:rsid w:val="2CDC553C"/>
    <w:rsid w:val="2D1E3FE2"/>
    <w:rsid w:val="2D294D14"/>
    <w:rsid w:val="2D394683"/>
    <w:rsid w:val="2DBF7950"/>
    <w:rsid w:val="2DF0191B"/>
    <w:rsid w:val="2DF42479"/>
    <w:rsid w:val="2E1169DA"/>
    <w:rsid w:val="2E142E9D"/>
    <w:rsid w:val="2E67471B"/>
    <w:rsid w:val="2E9864AA"/>
    <w:rsid w:val="2EE95130"/>
    <w:rsid w:val="2F0C46EC"/>
    <w:rsid w:val="2F0E0BAF"/>
    <w:rsid w:val="2F301D33"/>
    <w:rsid w:val="2F670416"/>
    <w:rsid w:val="2F8A4FD9"/>
    <w:rsid w:val="2FC10392"/>
    <w:rsid w:val="2FDE27BA"/>
    <w:rsid w:val="302D3446"/>
    <w:rsid w:val="30313766"/>
    <w:rsid w:val="30402D76"/>
    <w:rsid w:val="304436CF"/>
    <w:rsid w:val="305230A5"/>
    <w:rsid w:val="311531DE"/>
    <w:rsid w:val="315A7C9B"/>
    <w:rsid w:val="315D0669"/>
    <w:rsid w:val="316A3F21"/>
    <w:rsid w:val="318555E4"/>
    <w:rsid w:val="31D059A6"/>
    <w:rsid w:val="31D212AB"/>
    <w:rsid w:val="31E57D4E"/>
    <w:rsid w:val="31FE17A1"/>
    <w:rsid w:val="323C74E7"/>
    <w:rsid w:val="323E6274"/>
    <w:rsid w:val="3249517A"/>
    <w:rsid w:val="32A323A9"/>
    <w:rsid w:val="337A0A4C"/>
    <w:rsid w:val="33981E49"/>
    <w:rsid w:val="33A87367"/>
    <w:rsid w:val="33B576F5"/>
    <w:rsid w:val="33BC1065"/>
    <w:rsid w:val="33FE167D"/>
    <w:rsid w:val="34000F51"/>
    <w:rsid w:val="34355DF9"/>
    <w:rsid w:val="346D2A0F"/>
    <w:rsid w:val="34B758C5"/>
    <w:rsid w:val="34B91D9A"/>
    <w:rsid w:val="34BD3F21"/>
    <w:rsid w:val="352813DF"/>
    <w:rsid w:val="35BB4657"/>
    <w:rsid w:val="36287EA7"/>
    <w:rsid w:val="3697292D"/>
    <w:rsid w:val="369A4D56"/>
    <w:rsid w:val="36BB3AE9"/>
    <w:rsid w:val="36CA1CEB"/>
    <w:rsid w:val="371759ED"/>
    <w:rsid w:val="372214BF"/>
    <w:rsid w:val="37AE5168"/>
    <w:rsid w:val="37B236EC"/>
    <w:rsid w:val="37E275D5"/>
    <w:rsid w:val="38304385"/>
    <w:rsid w:val="389E01EF"/>
    <w:rsid w:val="38DC5A02"/>
    <w:rsid w:val="38FE2D30"/>
    <w:rsid w:val="39061525"/>
    <w:rsid w:val="395248B2"/>
    <w:rsid w:val="39B04686"/>
    <w:rsid w:val="39E159CA"/>
    <w:rsid w:val="3A724808"/>
    <w:rsid w:val="3A9D7BF3"/>
    <w:rsid w:val="3AAF5320"/>
    <w:rsid w:val="3AC23405"/>
    <w:rsid w:val="3AF128A8"/>
    <w:rsid w:val="3B223EA3"/>
    <w:rsid w:val="3B224106"/>
    <w:rsid w:val="3B9F08ED"/>
    <w:rsid w:val="3BA020CA"/>
    <w:rsid w:val="3BBE0A37"/>
    <w:rsid w:val="3BE3522A"/>
    <w:rsid w:val="3C495460"/>
    <w:rsid w:val="3C571080"/>
    <w:rsid w:val="3CC17223"/>
    <w:rsid w:val="3D400A77"/>
    <w:rsid w:val="3D57104F"/>
    <w:rsid w:val="3D674664"/>
    <w:rsid w:val="3D885B1D"/>
    <w:rsid w:val="3DA90A55"/>
    <w:rsid w:val="3DEF564A"/>
    <w:rsid w:val="3E1C312C"/>
    <w:rsid w:val="3EF95BE9"/>
    <w:rsid w:val="3EFC0BD1"/>
    <w:rsid w:val="3F3028B3"/>
    <w:rsid w:val="3F6818A7"/>
    <w:rsid w:val="3F7A2278"/>
    <w:rsid w:val="3F94151F"/>
    <w:rsid w:val="3FAA01FC"/>
    <w:rsid w:val="3FDB2873"/>
    <w:rsid w:val="401B680A"/>
    <w:rsid w:val="404C0031"/>
    <w:rsid w:val="411E335F"/>
    <w:rsid w:val="413B5469"/>
    <w:rsid w:val="41B11E27"/>
    <w:rsid w:val="41F03A91"/>
    <w:rsid w:val="41FD5ADB"/>
    <w:rsid w:val="422343E7"/>
    <w:rsid w:val="429A69EB"/>
    <w:rsid w:val="42A008F2"/>
    <w:rsid w:val="42A11B51"/>
    <w:rsid w:val="42C25E7C"/>
    <w:rsid w:val="42C41254"/>
    <w:rsid w:val="42C83465"/>
    <w:rsid w:val="43094082"/>
    <w:rsid w:val="438A6FD7"/>
    <w:rsid w:val="43FB2C3F"/>
    <w:rsid w:val="445112DE"/>
    <w:rsid w:val="44913C97"/>
    <w:rsid w:val="45162E88"/>
    <w:rsid w:val="451F1159"/>
    <w:rsid w:val="4524127C"/>
    <w:rsid w:val="453E0C6D"/>
    <w:rsid w:val="4545277C"/>
    <w:rsid w:val="45590008"/>
    <w:rsid w:val="455F7F9D"/>
    <w:rsid w:val="45657091"/>
    <w:rsid w:val="45CC7E1E"/>
    <w:rsid w:val="45D7502C"/>
    <w:rsid w:val="45D76C50"/>
    <w:rsid w:val="45DF711C"/>
    <w:rsid w:val="45F82E0D"/>
    <w:rsid w:val="45F9014E"/>
    <w:rsid w:val="462C207A"/>
    <w:rsid w:val="46AB4FA4"/>
    <w:rsid w:val="46E30220"/>
    <w:rsid w:val="47E6756E"/>
    <w:rsid w:val="47FC7330"/>
    <w:rsid w:val="480212E4"/>
    <w:rsid w:val="48094DB7"/>
    <w:rsid w:val="48273815"/>
    <w:rsid w:val="488940DC"/>
    <w:rsid w:val="48B27147"/>
    <w:rsid w:val="49330156"/>
    <w:rsid w:val="49456A2A"/>
    <w:rsid w:val="4965765C"/>
    <w:rsid w:val="498875C7"/>
    <w:rsid w:val="49951972"/>
    <w:rsid w:val="499F60FC"/>
    <w:rsid w:val="49D7054F"/>
    <w:rsid w:val="4A10254B"/>
    <w:rsid w:val="4A364428"/>
    <w:rsid w:val="4A3E412A"/>
    <w:rsid w:val="4A5452B7"/>
    <w:rsid w:val="4A565917"/>
    <w:rsid w:val="4A5F43D0"/>
    <w:rsid w:val="4A636FE4"/>
    <w:rsid w:val="4B404E9B"/>
    <w:rsid w:val="4B6D5B18"/>
    <w:rsid w:val="4B9425A7"/>
    <w:rsid w:val="4BC75D9E"/>
    <w:rsid w:val="4C605279"/>
    <w:rsid w:val="4CEB32DA"/>
    <w:rsid w:val="4D5F16A8"/>
    <w:rsid w:val="4DF62168"/>
    <w:rsid w:val="4E4D2928"/>
    <w:rsid w:val="4E894657"/>
    <w:rsid w:val="4EA13429"/>
    <w:rsid w:val="4EA90BA8"/>
    <w:rsid w:val="4EE13431"/>
    <w:rsid w:val="4FA401EF"/>
    <w:rsid w:val="4FB8497E"/>
    <w:rsid w:val="4FCA2766"/>
    <w:rsid w:val="4FD1626E"/>
    <w:rsid w:val="4FEC203D"/>
    <w:rsid w:val="502156C0"/>
    <w:rsid w:val="5025735A"/>
    <w:rsid w:val="50517710"/>
    <w:rsid w:val="506E7685"/>
    <w:rsid w:val="50A4295E"/>
    <w:rsid w:val="50F778E4"/>
    <w:rsid w:val="50F9667A"/>
    <w:rsid w:val="513B2441"/>
    <w:rsid w:val="517E5D9F"/>
    <w:rsid w:val="52124637"/>
    <w:rsid w:val="52410ADB"/>
    <w:rsid w:val="524443C5"/>
    <w:rsid w:val="524C5500"/>
    <w:rsid w:val="524E2FD2"/>
    <w:rsid w:val="52613EF0"/>
    <w:rsid w:val="526E29FA"/>
    <w:rsid w:val="52CF0B24"/>
    <w:rsid w:val="53011500"/>
    <w:rsid w:val="53067727"/>
    <w:rsid w:val="532A7941"/>
    <w:rsid w:val="53513120"/>
    <w:rsid w:val="53563887"/>
    <w:rsid w:val="53DB0C3B"/>
    <w:rsid w:val="53E80DC2"/>
    <w:rsid w:val="54160CF7"/>
    <w:rsid w:val="54300F87"/>
    <w:rsid w:val="5446636F"/>
    <w:rsid w:val="54A150F9"/>
    <w:rsid w:val="54A445DF"/>
    <w:rsid w:val="54E16725"/>
    <w:rsid w:val="55055783"/>
    <w:rsid w:val="55327C48"/>
    <w:rsid w:val="5533624B"/>
    <w:rsid w:val="555F2A26"/>
    <w:rsid w:val="55625636"/>
    <w:rsid w:val="557650C0"/>
    <w:rsid w:val="55833339"/>
    <w:rsid w:val="55C45E2B"/>
    <w:rsid w:val="56757125"/>
    <w:rsid w:val="56A62BEF"/>
    <w:rsid w:val="56B22127"/>
    <w:rsid w:val="56B23ED5"/>
    <w:rsid w:val="56C15234"/>
    <w:rsid w:val="56DD7AC1"/>
    <w:rsid w:val="574B156F"/>
    <w:rsid w:val="57CE7554"/>
    <w:rsid w:val="57E76749"/>
    <w:rsid w:val="586B764B"/>
    <w:rsid w:val="5872032A"/>
    <w:rsid w:val="58D345D7"/>
    <w:rsid w:val="58E30CBE"/>
    <w:rsid w:val="591277FC"/>
    <w:rsid w:val="59E63B4E"/>
    <w:rsid w:val="5A294A8F"/>
    <w:rsid w:val="5A610532"/>
    <w:rsid w:val="5AFC7A8E"/>
    <w:rsid w:val="5B2C37D5"/>
    <w:rsid w:val="5B793214"/>
    <w:rsid w:val="5BE24A7C"/>
    <w:rsid w:val="5BEC188E"/>
    <w:rsid w:val="5C0009DE"/>
    <w:rsid w:val="5C1A5799"/>
    <w:rsid w:val="5C47376A"/>
    <w:rsid w:val="5C547C88"/>
    <w:rsid w:val="5CBD5382"/>
    <w:rsid w:val="5CD61C05"/>
    <w:rsid w:val="5CE26E22"/>
    <w:rsid w:val="5CF44184"/>
    <w:rsid w:val="5CFF599B"/>
    <w:rsid w:val="5D027239"/>
    <w:rsid w:val="5D267018"/>
    <w:rsid w:val="5D2B74DB"/>
    <w:rsid w:val="5D6A0EC8"/>
    <w:rsid w:val="5D7F0889"/>
    <w:rsid w:val="5D850596"/>
    <w:rsid w:val="5D92680F"/>
    <w:rsid w:val="5D9945F7"/>
    <w:rsid w:val="5DD01413"/>
    <w:rsid w:val="5DF31915"/>
    <w:rsid w:val="5E0F77D9"/>
    <w:rsid w:val="5E745F14"/>
    <w:rsid w:val="5EB23FF8"/>
    <w:rsid w:val="5EBF176B"/>
    <w:rsid w:val="5ED22072"/>
    <w:rsid w:val="5EDC2F6E"/>
    <w:rsid w:val="5F50496C"/>
    <w:rsid w:val="5F541ABA"/>
    <w:rsid w:val="5F66131D"/>
    <w:rsid w:val="5F8623A3"/>
    <w:rsid w:val="5F996A93"/>
    <w:rsid w:val="5FC96C88"/>
    <w:rsid w:val="5FD25ECA"/>
    <w:rsid w:val="603C374E"/>
    <w:rsid w:val="605D1753"/>
    <w:rsid w:val="60C252F8"/>
    <w:rsid w:val="60D01E62"/>
    <w:rsid w:val="60E7004C"/>
    <w:rsid w:val="61821EBA"/>
    <w:rsid w:val="620B070F"/>
    <w:rsid w:val="621023F8"/>
    <w:rsid w:val="62172A53"/>
    <w:rsid w:val="621D55A5"/>
    <w:rsid w:val="623178AD"/>
    <w:rsid w:val="62C92CD3"/>
    <w:rsid w:val="62DD2A63"/>
    <w:rsid w:val="63B82D47"/>
    <w:rsid w:val="63CB2A7A"/>
    <w:rsid w:val="63D96400"/>
    <w:rsid w:val="63E577DA"/>
    <w:rsid w:val="63E95133"/>
    <w:rsid w:val="644577EC"/>
    <w:rsid w:val="645A1743"/>
    <w:rsid w:val="64DF2CB8"/>
    <w:rsid w:val="65030DDA"/>
    <w:rsid w:val="650C4876"/>
    <w:rsid w:val="6531690D"/>
    <w:rsid w:val="65374750"/>
    <w:rsid w:val="65403ED8"/>
    <w:rsid w:val="655E21DA"/>
    <w:rsid w:val="65B749E6"/>
    <w:rsid w:val="65EC4433"/>
    <w:rsid w:val="661A3EF5"/>
    <w:rsid w:val="665817ED"/>
    <w:rsid w:val="666618DE"/>
    <w:rsid w:val="668B0AD3"/>
    <w:rsid w:val="66A51361"/>
    <w:rsid w:val="66FD3123"/>
    <w:rsid w:val="671D7EEB"/>
    <w:rsid w:val="672A5E76"/>
    <w:rsid w:val="672D6CEC"/>
    <w:rsid w:val="67313360"/>
    <w:rsid w:val="67571AFD"/>
    <w:rsid w:val="676B07FC"/>
    <w:rsid w:val="67ED022A"/>
    <w:rsid w:val="6838740B"/>
    <w:rsid w:val="687013C5"/>
    <w:rsid w:val="68780B49"/>
    <w:rsid w:val="6892159E"/>
    <w:rsid w:val="69042C7E"/>
    <w:rsid w:val="69630FB8"/>
    <w:rsid w:val="697E09D3"/>
    <w:rsid w:val="6990454A"/>
    <w:rsid w:val="69A022B3"/>
    <w:rsid w:val="69AA7EA2"/>
    <w:rsid w:val="69AE677E"/>
    <w:rsid w:val="6A084D6F"/>
    <w:rsid w:val="6A09659E"/>
    <w:rsid w:val="6A297B7E"/>
    <w:rsid w:val="6A897EAE"/>
    <w:rsid w:val="6A8D71E8"/>
    <w:rsid w:val="6A9A6D03"/>
    <w:rsid w:val="6AA108A8"/>
    <w:rsid w:val="6AE3775C"/>
    <w:rsid w:val="6B144D07"/>
    <w:rsid w:val="6B2D0C2D"/>
    <w:rsid w:val="6B56531F"/>
    <w:rsid w:val="6BAC0D2E"/>
    <w:rsid w:val="6BCF7D41"/>
    <w:rsid w:val="6BDB64E4"/>
    <w:rsid w:val="6C9A0BD9"/>
    <w:rsid w:val="6CAB169B"/>
    <w:rsid w:val="6CB4377B"/>
    <w:rsid w:val="6CED4C3F"/>
    <w:rsid w:val="6CFC6314"/>
    <w:rsid w:val="6D4F0103"/>
    <w:rsid w:val="6D6B6D07"/>
    <w:rsid w:val="6DA7204E"/>
    <w:rsid w:val="6DF33D35"/>
    <w:rsid w:val="6DFF1D8F"/>
    <w:rsid w:val="6E017565"/>
    <w:rsid w:val="6E4343E7"/>
    <w:rsid w:val="6E4350AE"/>
    <w:rsid w:val="6E7D1BCA"/>
    <w:rsid w:val="6ECB005F"/>
    <w:rsid w:val="6F3657AF"/>
    <w:rsid w:val="6F3B419D"/>
    <w:rsid w:val="6FF00690"/>
    <w:rsid w:val="70047EBB"/>
    <w:rsid w:val="70244075"/>
    <w:rsid w:val="703B2D36"/>
    <w:rsid w:val="705322C1"/>
    <w:rsid w:val="70551426"/>
    <w:rsid w:val="70624695"/>
    <w:rsid w:val="70651BBD"/>
    <w:rsid w:val="708E3FB2"/>
    <w:rsid w:val="70BA1EAD"/>
    <w:rsid w:val="7113767A"/>
    <w:rsid w:val="711E068D"/>
    <w:rsid w:val="716757A3"/>
    <w:rsid w:val="71BB7708"/>
    <w:rsid w:val="724C578C"/>
    <w:rsid w:val="7348052C"/>
    <w:rsid w:val="73584999"/>
    <w:rsid w:val="739C668D"/>
    <w:rsid w:val="73D414D7"/>
    <w:rsid w:val="747C6811"/>
    <w:rsid w:val="74A97B56"/>
    <w:rsid w:val="74BB61F3"/>
    <w:rsid w:val="74DA4E33"/>
    <w:rsid w:val="74DB3304"/>
    <w:rsid w:val="74F7202F"/>
    <w:rsid w:val="75122A60"/>
    <w:rsid w:val="752252FB"/>
    <w:rsid w:val="7531603C"/>
    <w:rsid w:val="75712F5E"/>
    <w:rsid w:val="75F35571"/>
    <w:rsid w:val="767B3810"/>
    <w:rsid w:val="769E1B5A"/>
    <w:rsid w:val="76AF1314"/>
    <w:rsid w:val="76C25A58"/>
    <w:rsid w:val="76DC2143"/>
    <w:rsid w:val="77022DD9"/>
    <w:rsid w:val="77034535"/>
    <w:rsid w:val="774A7EC4"/>
    <w:rsid w:val="77E22187"/>
    <w:rsid w:val="78A5238A"/>
    <w:rsid w:val="792A3948"/>
    <w:rsid w:val="796E28C4"/>
    <w:rsid w:val="796E7246"/>
    <w:rsid w:val="79845854"/>
    <w:rsid w:val="79EB065B"/>
    <w:rsid w:val="7A421862"/>
    <w:rsid w:val="7A804406"/>
    <w:rsid w:val="7AE64077"/>
    <w:rsid w:val="7B4460C5"/>
    <w:rsid w:val="7B884E96"/>
    <w:rsid w:val="7BA1096B"/>
    <w:rsid w:val="7BEC5B42"/>
    <w:rsid w:val="7C0A03C0"/>
    <w:rsid w:val="7C0C3AED"/>
    <w:rsid w:val="7C127041"/>
    <w:rsid w:val="7C412785"/>
    <w:rsid w:val="7C865EDA"/>
    <w:rsid w:val="7CAE4672"/>
    <w:rsid w:val="7CC50028"/>
    <w:rsid w:val="7CD678DD"/>
    <w:rsid w:val="7CE162AC"/>
    <w:rsid w:val="7D55635E"/>
    <w:rsid w:val="7D6D36F8"/>
    <w:rsid w:val="7D9D1940"/>
    <w:rsid w:val="7DB84258"/>
    <w:rsid w:val="7DCD7D20"/>
    <w:rsid w:val="7DEE6FB7"/>
    <w:rsid w:val="7DFB2E3E"/>
    <w:rsid w:val="7E0539F4"/>
    <w:rsid w:val="7E0806FB"/>
    <w:rsid w:val="7E5369D9"/>
    <w:rsid w:val="7EA816F6"/>
    <w:rsid w:val="7EAB552B"/>
    <w:rsid w:val="7EF66C5B"/>
    <w:rsid w:val="7F5438E6"/>
    <w:rsid w:val="7F9272C6"/>
    <w:rsid w:val="7FB10D3C"/>
    <w:rsid w:val="7FD10B7C"/>
    <w:rsid w:val="7FE72E38"/>
    <w:rsid w:val="BFDF4A7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4">
    <w:name w:val="heading 2"/>
    <w:basedOn w:val="1"/>
    <w:next w:val="5"/>
    <w:qFormat/>
    <w:uiPriority w:val="0"/>
    <w:pPr>
      <w:keepNext/>
      <w:keepLines/>
      <w:spacing w:before="260" w:beforeLines="0" w:after="260" w:afterLines="0" w:line="416" w:lineRule="auto"/>
      <w:outlineLvl w:val="1"/>
    </w:pPr>
    <w:rPr>
      <w:rFonts w:ascii="Arial" w:hAnsi="Arial" w:eastAsia="黑体"/>
      <w:b/>
      <w:bCs/>
      <w:spacing w:val="-6"/>
      <w:sz w:val="32"/>
      <w:szCs w:val="32"/>
    </w:rPr>
  </w:style>
  <w:style w:type="paragraph" w:styleId="8">
    <w:name w:val="heading 3"/>
    <w:basedOn w:val="1"/>
    <w:next w:val="1"/>
    <w:qFormat/>
    <w:uiPriority w:val="0"/>
    <w:pPr>
      <w:keepNext/>
      <w:keepLines/>
      <w:spacing w:before="260" w:beforeLines="0" w:after="260" w:afterLines="0" w:line="416" w:lineRule="auto"/>
      <w:outlineLvl w:val="2"/>
    </w:pPr>
    <w:rPr>
      <w:rFonts w:hint="eastAsia" w:ascii="宋体" w:hAnsi="宋体"/>
      <w:b/>
      <w:sz w:val="32"/>
      <w:szCs w:val="32"/>
    </w:rPr>
  </w:style>
  <w:style w:type="paragraph" w:styleId="9">
    <w:name w:val="heading 4"/>
    <w:basedOn w:val="1"/>
    <w:next w:val="1"/>
    <w:link w:val="30"/>
    <w:qFormat/>
    <w:uiPriority w:val="0"/>
    <w:pPr>
      <w:keepNext/>
      <w:keepLines/>
      <w:spacing w:before="280" w:beforeLines="0" w:after="290" w:afterLines="0" w:line="376" w:lineRule="auto"/>
      <w:outlineLvl w:val="3"/>
    </w:pPr>
    <w:rPr>
      <w:rFonts w:ascii="Arial" w:hAnsi="Arial" w:eastAsia="黑体"/>
      <w:b/>
      <w:bCs/>
      <w:sz w:val="28"/>
      <w:szCs w:val="28"/>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120" w:afterLines="0" w:line="240" w:lineRule="auto"/>
      <w:ind w:left="420" w:leftChars="200" w:firstLine="420" w:firstLineChars="200"/>
    </w:pPr>
    <w:rPr>
      <w:rFonts w:ascii="Calibri" w:hAnsi="Calibri" w:eastAsia="宋体"/>
      <w:sz w:val="21"/>
      <w:szCs w:val="22"/>
    </w:rPr>
  </w:style>
  <w:style w:type="paragraph" w:styleId="3">
    <w:name w:val="Body Text Indent"/>
    <w:basedOn w:val="1"/>
    <w:next w:val="1"/>
    <w:qFormat/>
    <w:uiPriority w:val="0"/>
    <w:pPr>
      <w:keepNext w:val="0"/>
      <w:keepLines w:val="0"/>
      <w:widowControl w:val="0"/>
      <w:suppressLineNumbers w:val="0"/>
      <w:spacing w:before="0" w:beforeAutospacing="0" w:after="120" w:afterAutospacing="0"/>
      <w:ind w:left="420" w:leftChars="200" w:right="0"/>
      <w:jc w:val="both"/>
    </w:pPr>
    <w:rPr>
      <w:rFonts w:hint="eastAsia" w:ascii="宋体" w:hAnsi="宋体"/>
    </w:rPr>
  </w:style>
  <w:style w:type="paragraph" w:styleId="5">
    <w:name w:val="Body Text First Indent"/>
    <w:basedOn w:val="6"/>
    <w:qFormat/>
    <w:uiPriority w:val="0"/>
    <w:pPr>
      <w:spacing w:before="0" w:beforeLines="0"/>
      <w:ind w:firstLine="420" w:firstLineChars="100"/>
    </w:pPr>
    <w:rPr>
      <w:rFonts w:ascii="Times New Roman" w:hAnsi="Times New Roman" w:eastAsia="宋体" w:cs="Times New Roman"/>
      <w:snapToGrid w:val="0"/>
      <w:kern w:val="0"/>
      <w:szCs w:val="20"/>
    </w:rPr>
  </w:style>
  <w:style w:type="paragraph" w:styleId="6">
    <w:name w:val="Body Text"/>
    <w:basedOn w:val="7"/>
    <w:next w:val="1"/>
    <w:qFormat/>
    <w:uiPriority w:val="0"/>
    <w:pPr>
      <w:spacing w:before="156" w:beforeLines="50" w:after="156" w:afterLines="50"/>
    </w:pPr>
    <w:rPr>
      <w:rFonts w:ascii="宋体" w:hAnsi="宋体" w:eastAsia="宋体" w:cs="Times New Roman"/>
      <w:spacing w:val="-6"/>
    </w:rPr>
  </w:style>
  <w:style w:type="paragraph" w:customStyle="1" w:styleId="7">
    <w:name w:val="正文_0"/>
    <w:next w:val="5"/>
    <w:qFormat/>
    <w:uiPriority w:val="0"/>
    <w:pPr>
      <w:widowControl w:val="0"/>
      <w:jc w:val="both"/>
    </w:pPr>
    <w:rPr>
      <w:rFonts w:ascii="Calibri" w:hAnsi="Calibri" w:eastAsia="宋体" w:cs="Times New Roman"/>
      <w:kern w:val="2"/>
      <w:sz w:val="21"/>
      <w:szCs w:val="22"/>
      <w:lang w:val="en-US" w:eastAsia="zh-CN" w:bidi="ar-SA"/>
    </w:rPr>
  </w:style>
  <w:style w:type="paragraph" w:styleId="10">
    <w:name w:val="annotation text"/>
    <w:basedOn w:val="1"/>
    <w:qFormat/>
    <w:uiPriority w:val="0"/>
    <w:pPr>
      <w:jc w:val="left"/>
    </w:pPr>
    <w:rPr>
      <w:rFonts w:ascii="Times New Roman" w:hAnsi="Times New Roman" w:eastAsia="宋体" w:cs="Times New Roman"/>
    </w:rPr>
  </w:style>
  <w:style w:type="paragraph" w:styleId="11">
    <w:name w:val="toc 3"/>
    <w:basedOn w:val="1"/>
    <w:next w:val="1"/>
    <w:qFormat/>
    <w:uiPriority w:val="0"/>
    <w:pPr>
      <w:ind w:left="840" w:leftChars="400"/>
    </w:p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rPr>
      <w:rFonts w:ascii="Times New Roman" w:hAnsi="Times New Roman" w:eastAsia="宋体" w:cs="Times New Roman"/>
    </w:rPr>
  </w:style>
  <w:style w:type="paragraph" w:styleId="15">
    <w:name w:val="footnote text"/>
    <w:basedOn w:val="1"/>
    <w:qFormat/>
    <w:uiPriority w:val="0"/>
    <w:pPr>
      <w:snapToGrid w:val="0"/>
      <w:jc w:val="left"/>
    </w:pPr>
    <w:rPr>
      <w:sz w:val="18"/>
    </w:rPr>
  </w:style>
  <w:style w:type="paragraph" w:styleId="16">
    <w:name w:val="toc 2"/>
    <w:basedOn w:val="1"/>
    <w:next w:val="1"/>
    <w:qFormat/>
    <w:uiPriority w:val="0"/>
    <w:pPr>
      <w:ind w:left="420" w:leftChars="200"/>
    </w:pPr>
    <w:rPr>
      <w:rFonts w:ascii="Times New Roman" w:hAnsi="Times New Roman" w:eastAsia="宋体" w:cs="Times New Roman"/>
    </w:rPr>
  </w:style>
  <w:style w:type="paragraph" w:styleId="17">
    <w:name w:val="Normal (Web)"/>
    <w:basedOn w:val="1"/>
    <w:qFormat/>
    <w:uiPriority w:val="0"/>
    <w:pPr>
      <w:widowControl/>
      <w:spacing w:before="100" w:beforeLines="0" w:beforeAutospacing="1" w:after="100" w:afterLines="0" w:afterAutospacing="1" w:line="360" w:lineRule="auto"/>
      <w:jc w:val="left"/>
    </w:pPr>
    <w:rPr>
      <w:rFonts w:ascii="宋体" w:hAnsi="宋体" w:cs="宋体"/>
      <w:kern w:val="0"/>
      <w:sz w:val="2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FollowedHyperlink"/>
    <w:basedOn w:val="20"/>
    <w:qFormat/>
    <w:uiPriority w:val="0"/>
    <w:rPr>
      <w:color w:val="333333"/>
      <w:u w:val="none"/>
    </w:rPr>
  </w:style>
  <w:style w:type="character" w:styleId="23">
    <w:name w:val="Hyperlink"/>
    <w:basedOn w:val="20"/>
    <w:qFormat/>
    <w:uiPriority w:val="0"/>
    <w:rPr>
      <w:color w:val="333333"/>
      <w:u w:val="none"/>
    </w:rPr>
  </w:style>
  <w:style w:type="character" w:styleId="24">
    <w:name w:val="annotation reference"/>
    <w:basedOn w:val="20"/>
    <w:qFormat/>
    <w:uiPriority w:val="0"/>
    <w:rPr>
      <w:rFonts w:ascii="Times New Roman" w:hAnsi="Times New Roman" w:eastAsia="宋体" w:cs="Times New Roman"/>
      <w:sz w:val="21"/>
      <w:szCs w:val="21"/>
    </w:rPr>
  </w:style>
  <w:style w:type="character" w:styleId="25">
    <w:name w:val="footnote reference"/>
    <w:basedOn w:val="20"/>
    <w:qFormat/>
    <w:uiPriority w:val="0"/>
    <w:rPr>
      <w:vertAlign w:val="superscript"/>
    </w:rPr>
  </w:style>
  <w:style w:type="table" w:customStyle="1" w:styleId="26">
    <w:name w:val="Table Normal"/>
    <w:semiHidden/>
    <w:unhideWhenUsed/>
    <w:qFormat/>
    <w:uiPriority w:val="0"/>
    <w:tblPr>
      <w:tblCellMar>
        <w:top w:w="0" w:type="dxa"/>
        <w:left w:w="0" w:type="dxa"/>
        <w:bottom w:w="0" w:type="dxa"/>
        <w:right w:w="0" w:type="dxa"/>
      </w:tblCellMar>
    </w:tblPr>
  </w:style>
  <w:style w:type="paragraph" w:customStyle="1" w:styleId="27">
    <w:name w:val="正文 New New New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28">
    <w:name w:val="样式 标题 3 + (中文) 黑体 小四 非加粗 段前: 7.8 磅 段后: 0 磅 行距: 固定值 20 磅"/>
    <w:basedOn w:val="8"/>
    <w:qFormat/>
    <w:uiPriority w:val="0"/>
    <w:pPr>
      <w:spacing w:before="0" w:beforeLines="0" w:after="0" w:afterLines="0" w:line="400" w:lineRule="exact"/>
    </w:pPr>
    <w:rPr>
      <w:rFonts w:ascii="Times New Roman" w:hAnsi="Times New Roman" w:eastAsia="黑体" w:cs="宋体"/>
      <w:b w:val="0"/>
      <w:bCs/>
      <w:sz w:val="24"/>
      <w:szCs w:val="20"/>
    </w:rPr>
  </w:style>
  <w:style w:type="paragraph" w:customStyle="1" w:styleId="29">
    <w:name w:val="样式 标题 2 + Times New Roman 四号 非加粗 段前: 5 磅 段后: 0 磅 行距: 固定值 20..."/>
    <w:basedOn w:val="4"/>
    <w:qFormat/>
    <w:uiPriority w:val="0"/>
    <w:pPr>
      <w:spacing w:before="100" w:beforeLines="0" w:after="0" w:afterLines="0" w:line="400" w:lineRule="exact"/>
    </w:pPr>
    <w:rPr>
      <w:rFonts w:ascii="Times New Roman" w:hAnsi="Times New Roman" w:eastAsia="宋体" w:cs="宋体"/>
      <w:b w:val="0"/>
      <w:bCs w:val="0"/>
      <w:spacing w:val="0"/>
      <w:sz w:val="28"/>
      <w:szCs w:val="20"/>
    </w:rPr>
  </w:style>
  <w:style w:type="character" w:customStyle="1" w:styleId="30">
    <w:name w:val="标题 4 Char Char Char"/>
    <w:basedOn w:val="20"/>
    <w:link w:val="9"/>
    <w:qFormat/>
    <w:uiPriority w:val="0"/>
    <w:rPr>
      <w:rFonts w:ascii="Arial" w:hAnsi="Arial" w:eastAsia="黑体"/>
      <w:b/>
      <w:bCs/>
      <w:sz w:val="28"/>
      <w:szCs w:val="28"/>
    </w:rPr>
  </w:style>
  <w:style w:type="paragraph" w:customStyle="1" w:styleId="31">
    <w:name w:val="p0"/>
    <w:basedOn w:val="1"/>
    <w:qFormat/>
    <w:uiPriority w:val="0"/>
    <w:pPr>
      <w:widowControl/>
    </w:pPr>
    <w:rPr>
      <w:rFonts w:hint="eastAsia" w:ascii="Times New Roman" w:hAnsi="Times New Roman" w:eastAsia="宋体" w:cs="Times New Roman"/>
    </w:rPr>
  </w:style>
  <w:style w:type="paragraph" w:customStyle="1" w:styleId="32">
    <w:name w:val="WPSOffice手动目录 1"/>
    <w:qFormat/>
    <w:uiPriority w:val="0"/>
    <w:pPr>
      <w:ind w:leftChars="0"/>
    </w:pPr>
    <w:rPr>
      <w:rFonts w:ascii="Times New Roman" w:hAnsi="Times New Roman" w:eastAsia="宋体" w:cs="Times New Roman"/>
      <w:sz w:val="20"/>
      <w:szCs w:val="20"/>
    </w:rPr>
  </w:style>
  <w:style w:type="paragraph" w:customStyle="1" w:styleId="33">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2.xml"/><Relationship Id="rId68" Type="http://schemas.openxmlformats.org/officeDocument/2006/relationships/fontTable" Target="fontTable.xml"/><Relationship Id="rId67" Type="http://schemas.openxmlformats.org/officeDocument/2006/relationships/numbering" Target="numbering.xml"/><Relationship Id="rId66" Type="http://schemas.openxmlformats.org/officeDocument/2006/relationships/customXml" Target="../customXml/item1.xml"/><Relationship Id="rId65" Type="http://schemas.openxmlformats.org/officeDocument/2006/relationships/image" Target="media/image2.png"/><Relationship Id="rId64" Type="http://schemas.openxmlformats.org/officeDocument/2006/relationships/theme" Target="theme/theme1.xml"/><Relationship Id="rId63" Type="http://schemas.openxmlformats.org/officeDocument/2006/relationships/footer" Target="footer42.xml"/><Relationship Id="rId62" Type="http://schemas.openxmlformats.org/officeDocument/2006/relationships/header" Target="header17.xml"/><Relationship Id="rId61" Type="http://schemas.openxmlformats.org/officeDocument/2006/relationships/footer" Target="footer41.xml"/><Relationship Id="rId60" Type="http://schemas.openxmlformats.org/officeDocument/2006/relationships/footer" Target="footer40.xml"/><Relationship Id="rId6" Type="http://schemas.openxmlformats.org/officeDocument/2006/relationships/footer" Target="footer1.xml"/><Relationship Id="rId59" Type="http://schemas.openxmlformats.org/officeDocument/2006/relationships/header" Target="header16.xml"/><Relationship Id="rId58" Type="http://schemas.openxmlformats.org/officeDocument/2006/relationships/footer" Target="footer39.xml"/><Relationship Id="rId57" Type="http://schemas.openxmlformats.org/officeDocument/2006/relationships/header" Target="header15.xml"/><Relationship Id="rId56" Type="http://schemas.openxmlformats.org/officeDocument/2006/relationships/footer" Target="footer38.xml"/><Relationship Id="rId55" Type="http://schemas.openxmlformats.org/officeDocument/2006/relationships/footer" Target="footer37.xml"/><Relationship Id="rId54" Type="http://schemas.openxmlformats.org/officeDocument/2006/relationships/footer" Target="footer36.xml"/><Relationship Id="rId53" Type="http://schemas.openxmlformats.org/officeDocument/2006/relationships/footer" Target="footer35.xml"/><Relationship Id="rId52" Type="http://schemas.openxmlformats.org/officeDocument/2006/relationships/footer" Target="footer34.xml"/><Relationship Id="rId51" Type="http://schemas.openxmlformats.org/officeDocument/2006/relationships/footer" Target="footer33.xml"/><Relationship Id="rId50" Type="http://schemas.openxmlformats.org/officeDocument/2006/relationships/footer" Target="footer32.xml"/><Relationship Id="rId5" Type="http://schemas.openxmlformats.org/officeDocument/2006/relationships/header" Target="header1.xml"/><Relationship Id="rId49" Type="http://schemas.openxmlformats.org/officeDocument/2006/relationships/footer" Target="footer31.xml"/><Relationship Id="rId48" Type="http://schemas.openxmlformats.org/officeDocument/2006/relationships/footer" Target="footer30.xml"/><Relationship Id="rId47" Type="http://schemas.openxmlformats.org/officeDocument/2006/relationships/footer" Target="footer29.xml"/><Relationship Id="rId46" Type="http://schemas.openxmlformats.org/officeDocument/2006/relationships/header" Target="header14.xml"/><Relationship Id="rId45" Type="http://schemas.openxmlformats.org/officeDocument/2006/relationships/footer" Target="footer28.xml"/><Relationship Id="rId44" Type="http://schemas.openxmlformats.org/officeDocument/2006/relationships/footer" Target="footer27.xml"/><Relationship Id="rId43" Type="http://schemas.openxmlformats.org/officeDocument/2006/relationships/footer" Target="footer26.xml"/><Relationship Id="rId42" Type="http://schemas.openxmlformats.org/officeDocument/2006/relationships/footer" Target="footer25.xml"/><Relationship Id="rId41" Type="http://schemas.openxmlformats.org/officeDocument/2006/relationships/footer" Target="footer24.xml"/><Relationship Id="rId40" Type="http://schemas.openxmlformats.org/officeDocument/2006/relationships/footer" Target="footer23.xml"/><Relationship Id="rId4" Type="http://schemas.openxmlformats.org/officeDocument/2006/relationships/endnotes" Target="endnotes.xml"/><Relationship Id="rId39" Type="http://schemas.openxmlformats.org/officeDocument/2006/relationships/footer" Target="footer22.xml"/><Relationship Id="rId38" Type="http://schemas.openxmlformats.org/officeDocument/2006/relationships/header" Target="header13.xml"/><Relationship Id="rId37" Type="http://schemas.openxmlformats.org/officeDocument/2006/relationships/header" Target="header12.xml"/><Relationship Id="rId36" Type="http://schemas.openxmlformats.org/officeDocument/2006/relationships/header" Target="header11.xml"/><Relationship Id="rId35" Type="http://schemas.openxmlformats.org/officeDocument/2006/relationships/footer" Target="footer21.xml"/><Relationship Id="rId34" Type="http://schemas.openxmlformats.org/officeDocument/2006/relationships/footer" Target="footer20.xml"/><Relationship Id="rId33" Type="http://schemas.openxmlformats.org/officeDocument/2006/relationships/footer" Target="footer19.xml"/><Relationship Id="rId32" Type="http://schemas.openxmlformats.org/officeDocument/2006/relationships/header" Target="header10.xml"/><Relationship Id="rId31" Type="http://schemas.openxmlformats.org/officeDocument/2006/relationships/footer" Target="footer18.xml"/><Relationship Id="rId30" Type="http://schemas.openxmlformats.org/officeDocument/2006/relationships/footer" Target="footer17.xml"/><Relationship Id="rId3" Type="http://schemas.openxmlformats.org/officeDocument/2006/relationships/footnotes" Target="footnotes.xml"/><Relationship Id="rId29" Type="http://schemas.openxmlformats.org/officeDocument/2006/relationships/footer" Target="footer16.xml"/><Relationship Id="rId28" Type="http://schemas.openxmlformats.org/officeDocument/2006/relationships/footer" Target="footer15.xml"/><Relationship Id="rId27" Type="http://schemas.openxmlformats.org/officeDocument/2006/relationships/footer" Target="footer14.xml"/><Relationship Id="rId26" Type="http://schemas.openxmlformats.org/officeDocument/2006/relationships/footer" Target="footer13.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header" Target="header8.xml"/><Relationship Id="rId22" Type="http://schemas.openxmlformats.org/officeDocument/2006/relationships/header" Target="header7.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6.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85"/>
    <customShpInfo spid="_x0000_s108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240</Pages>
  <Words>135140</Words>
  <Characters>151472</Characters>
  <TotalTime>93</TotalTime>
  <ScaleCrop>false</ScaleCrop>
  <LinksUpToDate>false</LinksUpToDate>
  <CharactersWithSpaces>162362</CharactersWithSpaces>
  <Application>WPS Office_11.1.0.14036_F1E327BC-269C-435d-A152-05C5408002CA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2022-08-23T14:38:00Z</dcterms:created>
  <dc:creator>Administrator</dc:creator>
  <cp:lastModifiedBy>『茶罂、轻青</cp:lastModifiedBy>
  <cp:lastPrinted>2023-05-31T02:25:00Z</cp:lastPrinted>
  <dcterms:modified xsi:type="dcterms:W3CDTF">2023-06-01T05:15:00Z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2022-08-23T14:38:56Z</vt:filetime>
  </property>
  <property fmtid="{D5CDD505-2E9C-101B-9397-08002B2CF9AE}" pid="4" name="KSOProductBuildVer">
    <vt:lpwstr>2052-11.1.0.14036</vt:lpwstr>
  </property>
  <property fmtid="{D5CDD505-2E9C-101B-9397-08002B2CF9AE}" pid="5" name="ICV">
    <vt:lpwstr>391A8FE327C84DDE801915CADF2A09A4_13</vt:lpwstr>
  </property>
</Properties>
</file>