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B55E7">
      <w:pPr>
        <w:spacing w:line="500" w:lineRule="exact"/>
        <w:jc w:val="center"/>
        <w:rPr>
          <w:rFonts w:hint="eastAsia"/>
          <w:b/>
          <w:sz w:val="36"/>
          <w:szCs w:val="36"/>
        </w:rPr>
      </w:pPr>
      <w:r>
        <w:rPr>
          <w:b/>
          <w:sz w:val="36"/>
          <w:szCs w:val="36"/>
        </w:rPr>
        <w:t>编</w:t>
      </w:r>
      <w:r>
        <w:rPr>
          <w:rFonts w:hint="eastAsia"/>
          <w:b/>
          <w:sz w:val="36"/>
          <w:szCs w:val="36"/>
        </w:rPr>
        <w:t xml:space="preserve"> </w:t>
      </w:r>
      <w:r>
        <w:rPr>
          <w:b/>
          <w:sz w:val="36"/>
          <w:szCs w:val="36"/>
        </w:rPr>
        <w:t>制</w:t>
      </w:r>
      <w:r>
        <w:rPr>
          <w:rFonts w:hint="eastAsia"/>
          <w:b/>
          <w:sz w:val="36"/>
          <w:szCs w:val="36"/>
        </w:rPr>
        <w:t xml:space="preserve"> </w:t>
      </w:r>
      <w:r>
        <w:rPr>
          <w:b/>
          <w:sz w:val="36"/>
          <w:szCs w:val="36"/>
        </w:rPr>
        <w:t>说</w:t>
      </w:r>
      <w:r>
        <w:rPr>
          <w:rFonts w:hint="eastAsia"/>
          <w:b/>
          <w:sz w:val="36"/>
          <w:szCs w:val="36"/>
        </w:rPr>
        <w:t xml:space="preserve"> </w:t>
      </w:r>
      <w:r>
        <w:rPr>
          <w:b/>
          <w:sz w:val="36"/>
          <w:szCs w:val="36"/>
        </w:rPr>
        <w:t>明</w:t>
      </w:r>
    </w:p>
    <w:p w14:paraId="781404D6">
      <w:pPr>
        <w:spacing w:line="360" w:lineRule="exact"/>
        <w:jc w:val="center"/>
        <w:rPr>
          <w:rFonts w:ascii="宋体" w:hAnsi="宋体"/>
          <w:b/>
          <w:sz w:val="36"/>
          <w:szCs w:val="30"/>
        </w:rPr>
      </w:pPr>
    </w:p>
    <w:p w14:paraId="345F2FE2">
      <w:pPr>
        <w:numPr>
          <w:ilvl w:val="0"/>
          <w:numId w:val="1"/>
        </w:numPr>
        <w:spacing w:line="404" w:lineRule="auto"/>
        <w:ind w:right="-178" w:rightChars="-85" w:firstLine="236" w:firstLineChars="98"/>
        <w:rPr>
          <w:rFonts w:hint="eastAsia" w:ascii="宋体" w:hAnsi="宋体"/>
          <w:sz w:val="24"/>
        </w:rPr>
      </w:pPr>
      <w:r>
        <w:rPr>
          <w:rFonts w:ascii="宋体" w:hAnsi="宋体"/>
          <w:b/>
          <w:bCs/>
          <w:sz w:val="24"/>
        </w:rPr>
        <w:t>工程名称：</w:t>
      </w:r>
      <w:r>
        <w:rPr>
          <w:rFonts w:hint="eastAsia" w:ascii="宋体" w:hAnsi="宋体"/>
          <w:sz w:val="24"/>
        </w:rPr>
        <w:t>2025年嵊州市航道例行养护</w:t>
      </w:r>
    </w:p>
    <w:p w14:paraId="21DA93EC">
      <w:pPr>
        <w:numPr>
          <w:ilvl w:val="0"/>
          <w:numId w:val="1"/>
        </w:numPr>
        <w:spacing w:line="404" w:lineRule="auto"/>
        <w:ind w:right="-178" w:rightChars="-85" w:firstLine="236" w:firstLineChars="98"/>
        <w:rPr>
          <w:rFonts w:hint="eastAsia" w:ascii="宋体" w:hAnsi="宋体"/>
          <w:sz w:val="24"/>
        </w:rPr>
      </w:pPr>
      <w:r>
        <w:rPr>
          <w:rFonts w:hint="eastAsia" w:ascii="宋体" w:hAnsi="宋体"/>
          <w:b/>
          <w:bCs/>
          <w:sz w:val="24"/>
        </w:rPr>
        <w:t>工程概况、</w:t>
      </w:r>
      <w:r>
        <w:rPr>
          <w:rFonts w:ascii="宋体" w:hAnsi="宋体"/>
          <w:b/>
          <w:bCs/>
          <w:sz w:val="24"/>
        </w:rPr>
        <w:t>编制范围及内容：</w:t>
      </w:r>
    </w:p>
    <w:p w14:paraId="16500BF1">
      <w:pPr>
        <w:numPr>
          <w:ilvl w:val="0"/>
          <w:numId w:val="2"/>
        </w:numPr>
        <w:spacing w:line="404" w:lineRule="auto"/>
        <w:ind w:right="-178" w:rightChars="-85" w:firstLine="482" w:firstLineChars="200"/>
        <w:rPr>
          <w:rFonts w:hint="eastAsia" w:ascii="宋体" w:hAnsi="宋体"/>
          <w:b/>
          <w:bCs/>
          <w:sz w:val="24"/>
        </w:rPr>
      </w:pPr>
      <w:r>
        <w:rPr>
          <w:rFonts w:hint="eastAsia" w:ascii="宋体" w:hAnsi="宋体"/>
          <w:b/>
          <w:bCs/>
          <w:sz w:val="24"/>
        </w:rPr>
        <w:t>工程概况：</w:t>
      </w:r>
    </w:p>
    <w:p w14:paraId="2034BF03">
      <w:pPr>
        <w:spacing w:line="500" w:lineRule="exact"/>
        <w:ind w:firstLine="480" w:firstLineChars="200"/>
        <w:rPr>
          <w:rFonts w:hint="eastAsia" w:ascii="宋体" w:hAnsi="宋体"/>
          <w:sz w:val="24"/>
        </w:rPr>
      </w:pPr>
      <w:r>
        <w:rPr>
          <w:rFonts w:hint="eastAsia" w:ascii="宋体" w:hAnsi="宋体"/>
          <w:sz w:val="24"/>
        </w:rPr>
        <w:t>本工程为2025 年嵊州市航道例行养护工程，内容包括航道沉船打捞清除工程、三界港航管理码头维护提升工程、标志养护等工作。本工程位于嵊州市曹娥江航道三界段。</w:t>
      </w:r>
    </w:p>
    <w:p w14:paraId="5A0DB271">
      <w:pPr>
        <w:spacing w:line="500" w:lineRule="exact"/>
        <w:ind w:firstLine="480" w:firstLineChars="200"/>
        <w:rPr>
          <w:rFonts w:hint="eastAsia" w:ascii="宋体" w:hAnsi="宋体"/>
          <w:sz w:val="24"/>
        </w:rPr>
      </w:pPr>
      <w:r>
        <w:rPr>
          <w:rFonts w:hint="eastAsia" w:ascii="宋体" w:hAnsi="宋体"/>
          <w:sz w:val="24"/>
        </w:rPr>
        <w:t>三、工程标底编制依据及口径：</w:t>
      </w:r>
      <w:bookmarkStart w:id="1" w:name="_GoBack"/>
      <w:bookmarkEnd w:id="1"/>
    </w:p>
    <w:p w14:paraId="0F44D538">
      <w:pPr>
        <w:spacing w:line="500" w:lineRule="exact"/>
        <w:ind w:firstLine="480" w:firstLineChars="200"/>
        <w:rPr>
          <w:rFonts w:hint="eastAsia" w:ascii="宋体" w:hAnsi="宋体"/>
          <w:sz w:val="24"/>
        </w:rPr>
      </w:pPr>
      <w:r>
        <w:rPr>
          <w:rFonts w:hint="eastAsia" w:ascii="宋体" w:hAnsi="宋体"/>
          <w:sz w:val="24"/>
        </w:rPr>
        <w:t>（一）工程量：</w:t>
      </w:r>
    </w:p>
    <w:p w14:paraId="00FCD1AA">
      <w:pPr>
        <w:spacing w:line="500" w:lineRule="exact"/>
        <w:ind w:firstLine="480" w:firstLineChars="200"/>
        <w:rPr>
          <w:rFonts w:hint="eastAsia" w:ascii="宋体" w:hAnsi="宋体"/>
          <w:sz w:val="24"/>
        </w:rPr>
      </w:pPr>
      <w:r>
        <w:rPr>
          <w:rFonts w:hint="eastAsia" w:ascii="宋体" w:hAnsi="宋体"/>
          <w:sz w:val="24"/>
        </w:rPr>
        <w:t>根据业主提供的由嘉兴市世纪交通设计有限公司设计的《2025年嵊州市航道例行养护》图纸计算。</w:t>
      </w:r>
    </w:p>
    <w:p w14:paraId="4E4F5291">
      <w:pPr>
        <w:spacing w:line="500" w:lineRule="exact"/>
        <w:ind w:firstLine="482" w:firstLineChars="200"/>
        <w:rPr>
          <w:rFonts w:ascii="宋体" w:hAnsi="宋体"/>
          <w:b/>
          <w:bCs/>
          <w:sz w:val="24"/>
        </w:rPr>
      </w:pPr>
      <w:r>
        <w:rPr>
          <w:rFonts w:ascii="宋体" w:hAnsi="宋体"/>
          <w:b/>
          <w:bCs/>
          <w:sz w:val="24"/>
        </w:rPr>
        <w:t>（二）定额套用：</w:t>
      </w:r>
    </w:p>
    <w:p w14:paraId="149D22CA">
      <w:pPr>
        <w:spacing w:line="500" w:lineRule="exact"/>
        <w:ind w:firstLine="480" w:firstLineChars="200"/>
        <w:rPr>
          <w:rFonts w:ascii="宋体" w:hAnsi="宋体"/>
          <w:sz w:val="24"/>
        </w:rPr>
      </w:pPr>
      <w:r>
        <w:rPr>
          <w:rFonts w:hint="eastAsia" w:ascii="宋体" w:hAnsi="宋体"/>
          <w:sz w:val="24"/>
        </w:rPr>
        <w:t>《水运建设工程概算预算编制规定》（2019）、《内河航运水工建筑工程定额》（2019）、《交通建设工程工程量清单计价规范 第2部分：港口工程》（浙江省地方标准许2010）、《浙江省水运工程施工招标文件编制办法》（试行）（2013年12月）、</w:t>
      </w:r>
      <w:r>
        <w:rPr>
          <w:rFonts w:ascii="宋体" w:hAnsi="宋体"/>
          <w:sz w:val="24"/>
        </w:rPr>
        <w:t>《建设工程工程量清单计价规范GB50500-2013》；《市政工程工程量计算规范GB50857-2013》；《园林绿化工程工程量计算规范GB50858-2013》；《通用安装工程工程量计算规范GB50856-2013》；《浙江省建筑安装材料基期价格（2018）版》；《浙江省建设工程施工机械台班费用定额（2018）版》；《浙江省市政工程预算定额（2018）版》；《浙江省房屋建筑与装饰工程预算定额（2018）版》；《浙江省园林绿化及仿古建筑工程预算定额（2018）版》；《浙江省安装工程预算定额（2018）版》；《浙江省建设工程计价规则（2018）版》；《建设工程工程量计算规范（2013）浙江省补充规定》及有关补充定额、文件编制。</w:t>
      </w:r>
    </w:p>
    <w:p w14:paraId="5055A489">
      <w:pPr>
        <w:spacing w:line="500" w:lineRule="exact"/>
        <w:ind w:firstLine="482" w:firstLineChars="200"/>
        <w:rPr>
          <w:rFonts w:ascii="宋体" w:hAnsi="宋体"/>
          <w:b/>
          <w:bCs/>
          <w:sz w:val="24"/>
        </w:rPr>
      </w:pPr>
      <w:r>
        <w:rPr>
          <w:rFonts w:ascii="宋体" w:hAnsi="宋体"/>
          <w:b/>
          <w:bCs/>
          <w:sz w:val="24"/>
        </w:rPr>
        <w:t>（三）费用计取：</w:t>
      </w:r>
    </w:p>
    <w:p w14:paraId="779A09F2">
      <w:pPr>
        <w:spacing w:line="500" w:lineRule="exact"/>
        <w:ind w:firstLine="480" w:firstLineChars="200"/>
        <w:rPr>
          <w:rFonts w:hint="eastAsia" w:ascii="宋体" w:hAnsi="宋体"/>
          <w:sz w:val="24"/>
        </w:rPr>
      </w:pPr>
      <w:r>
        <w:rPr>
          <w:rFonts w:ascii="宋体" w:hAnsi="宋体"/>
          <w:sz w:val="24"/>
        </w:rPr>
        <w:t>1、</w:t>
      </w:r>
      <w:r>
        <w:rPr>
          <w:rFonts w:hint="eastAsia" w:ascii="宋体" w:hAnsi="宋体"/>
          <w:sz w:val="24"/>
        </w:rPr>
        <w:t>一般水工工程按二类工程取费，其他直接费包括临时设施费、冬季雨季及夜间施工增加费、材料二次倒运费、施工辅助费、施工队伍进退场费，费率按《水运建设工程概算预算编制规定》（2019）规定计取，其中安全文明施工费不再另行计取。</w:t>
      </w:r>
    </w:p>
    <w:p w14:paraId="650F5670">
      <w:pPr>
        <w:spacing w:line="500" w:lineRule="exact"/>
        <w:ind w:firstLine="480" w:firstLineChars="200"/>
        <w:rPr>
          <w:rFonts w:hint="eastAsia" w:ascii="宋体" w:hAnsi="宋体"/>
          <w:sz w:val="24"/>
        </w:rPr>
      </w:pPr>
      <w:r>
        <w:rPr>
          <w:rFonts w:hint="eastAsia" w:ascii="宋体" w:hAnsi="宋体"/>
          <w:sz w:val="24"/>
        </w:rPr>
        <w:t>3、安全生产费为工程量清单中各章合计金额的2%计入。（不含第100章中的工程一切险、安全生产责任保险、安全生产费本身）。</w:t>
      </w:r>
    </w:p>
    <w:p w14:paraId="518E172B">
      <w:pPr>
        <w:spacing w:line="500" w:lineRule="exact"/>
        <w:ind w:firstLine="480" w:firstLineChars="200"/>
        <w:rPr>
          <w:rFonts w:hint="eastAsia" w:ascii="宋体" w:hAnsi="宋体"/>
          <w:sz w:val="24"/>
        </w:rPr>
      </w:pPr>
      <w:r>
        <w:rPr>
          <w:rFonts w:hint="eastAsia" w:ascii="宋体" w:hAnsi="宋体"/>
          <w:sz w:val="24"/>
        </w:rPr>
        <w:t>4、计税方法采用“一般计税法”，税金按增值税（9%）计取，规费按规定计取。</w:t>
      </w:r>
    </w:p>
    <w:p w14:paraId="4C960D7F">
      <w:pPr>
        <w:spacing w:line="500" w:lineRule="exact"/>
        <w:ind w:firstLine="480" w:firstLineChars="200"/>
        <w:rPr>
          <w:rFonts w:hint="eastAsia" w:ascii="宋体" w:hAnsi="宋体"/>
          <w:sz w:val="24"/>
        </w:rPr>
      </w:pPr>
      <w:r>
        <w:rPr>
          <w:rFonts w:hint="eastAsia" w:ascii="宋体" w:hAnsi="宋体"/>
          <w:sz w:val="24"/>
        </w:rPr>
        <w:t>5、农民工工伤保险费已包含在标底报价内。</w:t>
      </w:r>
    </w:p>
    <w:p w14:paraId="19343EBD">
      <w:pPr>
        <w:spacing w:line="500" w:lineRule="exact"/>
        <w:ind w:firstLine="482" w:firstLineChars="200"/>
        <w:rPr>
          <w:rFonts w:ascii="宋体" w:hAnsi="宋体"/>
          <w:b/>
          <w:bCs/>
          <w:sz w:val="24"/>
        </w:rPr>
      </w:pPr>
      <w:r>
        <w:rPr>
          <w:rFonts w:ascii="宋体" w:hAnsi="宋体"/>
          <w:b/>
          <w:bCs/>
          <w:sz w:val="24"/>
        </w:rPr>
        <w:t>（四）所选用材料及人工的计价依据：</w:t>
      </w:r>
    </w:p>
    <w:p w14:paraId="56A58199">
      <w:pPr>
        <w:spacing w:line="500" w:lineRule="exact"/>
        <w:ind w:firstLine="540" w:firstLineChars="225"/>
        <w:rPr>
          <w:rFonts w:hint="eastAsia" w:ascii="宋体" w:hAnsi="宋体"/>
          <w:sz w:val="24"/>
        </w:rPr>
      </w:pPr>
      <w:r>
        <w:rPr>
          <w:rFonts w:ascii="宋体" w:hAnsi="宋体"/>
          <w:sz w:val="24"/>
        </w:rPr>
        <w:t>1、材料价格：</w:t>
      </w:r>
      <w:r>
        <w:rPr>
          <w:rFonts w:hint="eastAsia" w:ascii="宋体" w:hAnsi="宋体"/>
          <w:sz w:val="24"/>
        </w:rPr>
        <w:t>本工程信息价优先参照《质监与造价》2025年第5期（嵊州＞越城区）、若《质监与造价》无可参考的，则依次参照</w:t>
      </w:r>
      <w:r>
        <w:rPr>
          <w:rFonts w:ascii="宋体" w:hAnsi="宋体"/>
          <w:sz w:val="24"/>
        </w:rPr>
        <w:t>《绍兴建设工程造价管理信息》202</w:t>
      </w:r>
      <w:r>
        <w:rPr>
          <w:rFonts w:hint="eastAsia" w:ascii="宋体" w:hAnsi="宋体"/>
          <w:sz w:val="24"/>
        </w:rPr>
        <w:t>5</w:t>
      </w:r>
      <w:r>
        <w:rPr>
          <w:rFonts w:ascii="宋体" w:hAnsi="宋体"/>
          <w:sz w:val="24"/>
        </w:rPr>
        <w:t>年第</w:t>
      </w:r>
      <w:r>
        <w:rPr>
          <w:rFonts w:hint="eastAsia" w:ascii="宋体" w:hAnsi="宋体"/>
          <w:sz w:val="24"/>
        </w:rPr>
        <w:t>5</w:t>
      </w:r>
      <w:r>
        <w:rPr>
          <w:rFonts w:ascii="宋体" w:hAnsi="宋体"/>
          <w:sz w:val="24"/>
        </w:rPr>
        <w:t>期</w:t>
      </w:r>
      <w:r>
        <w:rPr>
          <w:rFonts w:hint="eastAsia" w:ascii="宋体" w:hAnsi="宋体"/>
          <w:sz w:val="24"/>
        </w:rPr>
        <w:t>、《浙江造价信息》第5期、周边城市及市场调查价除税后计取</w:t>
      </w:r>
      <w:r>
        <w:rPr>
          <w:rFonts w:ascii="宋体" w:hAnsi="宋体"/>
          <w:sz w:val="24"/>
        </w:rPr>
        <w:t>。</w:t>
      </w:r>
    </w:p>
    <w:p w14:paraId="14C80A0E">
      <w:pPr>
        <w:spacing w:line="500" w:lineRule="exact"/>
        <w:ind w:firstLine="540" w:firstLineChars="225"/>
        <w:rPr>
          <w:rFonts w:ascii="宋体" w:hAnsi="宋体"/>
          <w:sz w:val="24"/>
        </w:rPr>
      </w:pPr>
      <w:r>
        <w:rPr>
          <w:rFonts w:hint="eastAsia" w:ascii="宋体" w:hAnsi="宋体"/>
          <w:sz w:val="24"/>
        </w:rPr>
        <w:t>2、人工单价：本项目中部分清单项目单价借用浙江省2018版《市政、建筑、园林绿化、安装定额》，相应的人工单价按</w:t>
      </w:r>
      <w:r>
        <w:rPr>
          <w:rFonts w:ascii="宋体" w:hAnsi="宋体"/>
          <w:sz w:val="24"/>
        </w:rPr>
        <w:t>《绍兴建设工程造价管理信息》202</w:t>
      </w:r>
      <w:r>
        <w:rPr>
          <w:rFonts w:hint="eastAsia" w:ascii="宋体" w:hAnsi="宋体"/>
          <w:sz w:val="24"/>
        </w:rPr>
        <w:t>5</w:t>
      </w:r>
      <w:r>
        <w:rPr>
          <w:rFonts w:ascii="宋体" w:hAnsi="宋体"/>
          <w:sz w:val="24"/>
        </w:rPr>
        <w:t>年第</w:t>
      </w:r>
      <w:r>
        <w:rPr>
          <w:rFonts w:hint="eastAsia" w:ascii="宋体" w:hAnsi="宋体"/>
          <w:sz w:val="24"/>
        </w:rPr>
        <w:t>5</w:t>
      </w:r>
      <w:r>
        <w:rPr>
          <w:rFonts w:ascii="宋体" w:hAnsi="宋体"/>
          <w:sz w:val="24"/>
        </w:rPr>
        <w:t>期</w:t>
      </w:r>
      <w:r>
        <w:rPr>
          <w:rFonts w:hint="eastAsia" w:ascii="宋体" w:hAnsi="宋体"/>
          <w:sz w:val="24"/>
        </w:rPr>
        <w:t>计入，套用水工定额的，相应的人工单价按水工定额人工单价计入。</w:t>
      </w:r>
    </w:p>
    <w:p w14:paraId="74190B7C">
      <w:pPr>
        <w:tabs>
          <w:tab w:val="left" w:pos="900"/>
        </w:tabs>
        <w:spacing w:line="500" w:lineRule="exact"/>
        <w:ind w:firstLine="482" w:firstLineChars="200"/>
        <w:rPr>
          <w:rFonts w:ascii="宋体" w:hAnsi="宋体"/>
          <w:b/>
          <w:sz w:val="24"/>
        </w:rPr>
      </w:pPr>
      <w:r>
        <w:rPr>
          <w:rFonts w:ascii="宋体" w:hAnsi="宋体"/>
          <w:b/>
          <w:bCs/>
          <w:sz w:val="24"/>
        </w:rPr>
        <w:t>（五）</w:t>
      </w:r>
      <w:r>
        <w:rPr>
          <w:rFonts w:ascii="宋体" w:hAnsi="宋体"/>
          <w:b/>
          <w:sz w:val="24"/>
        </w:rPr>
        <w:t>标底编制的具体口径：</w:t>
      </w:r>
    </w:p>
    <w:p w14:paraId="7BEF9ADE">
      <w:pPr>
        <w:tabs>
          <w:tab w:val="left" w:pos="630"/>
          <w:tab w:val="left" w:pos="900"/>
        </w:tabs>
        <w:spacing w:line="500" w:lineRule="exact"/>
        <w:ind w:firstLine="723" w:firstLineChars="300"/>
        <w:outlineLvl w:val="0"/>
        <w:rPr>
          <w:rFonts w:hint="eastAsia" w:ascii="宋体" w:hAnsi="宋体"/>
          <w:b/>
          <w:sz w:val="24"/>
        </w:rPr>
      </w:pPr>
      <w:r>
        <w:rPr>
          <w:rFonts w:ascii="宋体" w:hAnsi="宋体"/>
          <w:b/>
          <w:sz w:val="24"/>
        </w:rPr>
        <w:t>A、共性</w:t>
      </w:r>
      <w:r>
        <w:rPr>
          <w:rFonts w:hint="eastAsia" w:ascii="宋体" w:hAnsi="宋体"/>
          <w:b/>
          <w:sz w:val="24"/>
        </w:rPr>
        <w:t>部分</w:t>
      </w:r>
    </w:p>
    <w:p w14:paraId="191EE229">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bookmarkStart w:id="0" w:name="OLE_LINK9"/>
      <w:r>
        <w:rPr>
          <w:rFonts w:hint="eastAsia" w:ascii="宋体" w:hAnsi="宋体"/>
          <w:sz w:val="24"/>
        </w:rPr>
        <w:t>工程量清单中所列各项目的工程量，为暂定工程数量，是估算的或者设计的预计数量，仅作为投标的共同基础，不能作为最终结算与支付的依据。实际支付应按实际完成的工程量，由承包人按计价规范、技术标准和要求规定的计量方法，以监理人认可的尺寸、断面、数量计量，按工程量清单的综合单价计算支付金额；或者，根据具体情况，按相应合同条款的规定，由监理人确定的综合单价计算支付额。</w:t>
      </w:r>
    </w:p>
    <w:p w14:paraId="6F427716">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工程量清单中本合同工程列有数量的每一个项目，都需填入综合单价，作为工程价款结算的依据。对于列有数量没有填入综合单价的项目，其费用应视为分摊在本合同工程的有关项目的综合单价之中。承包人必须按发包人指令完成工程量清单中未填入综合单价的工程项目，但不能得到结算与支付。</w:t>
      </w:r>
    </w:p>
    <w:p w14:paraId="3845510D">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除工程量清单漏项或设计变更引起新的工程量清单项目外，符合合同条款、计价规范、技术标准和要求规定的全部费用应认为已被计入有标价的工程量清单所列各项目之中，未列项目不予计量的工作，其费用应视为已分摊在本合同工程的有关项目的综合单价之中。</w:t>
      </w:r>
    </w:p>
    <w:p w14:paraId="08A4005A">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工程量清单中所列工程量的变动，丝毫不会影响合同条款的效力，也不免除承包人按规定的标准进行施工和修复缺陷的责任。</w:t>
      </w:r>
    </w:p>
    <w:p w14:paraId="6D82E470">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工程量清单中各项金额均以人民币（元）结算，有特殊规定的从其规定。</w:t>
      </w:r>
    </w:p>
    <w:p w14:paraId="3287F849">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施工图纸中纸质图审图与电子版有矛盾时，本标底以纸质图审图为准；结构与建筑有矛盾处，本标底以结构为准；相关专业矛盾时，应及时与建设方联系，如施工方擅自施工导致返工，一切费用由施工单位自理及承担责任(已有设计回复的除外)。</w:t>
      </w:r>
    </w:p>
    <w:p w14:paraId="5B3F94FD">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混凝土采用泵送商品混凝土，结算时，无论运距远近、场地限制，结算时不再增加相关费用（如二次驳运等）。</w:t>
      </w:r>
    </w:p>
    <w:p w14:paraId="09BD7D4A">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清单103临时工程与设施 为工程量清单中已明列外的其他所有施工过程中可能需发生的如便道、临时场地的准备与恢复、临时船只、机械等的租用、进退场、安拆及相应的操作人员等有关所有费用，以总额计入，以后业主不再签证类似费用。</w:t>
      </w:r>
    </w:p>
    <w:p w14:paraId="57F55E9A">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拆除工程废料由施工单位自行处置，不再计取外运、弃置等费用。</w:t>
      </w:r>
    </w:p>
    <w:p w14:paraId="49816578">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苗木绿化养护期按2年计入。</w:t>
      </w:r>
    </w:p>
    <w:p w14:paraId="262DE2E6">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清单702-1-e 油漆水上作业增加费包括船只租用、使用、船上脚手架、脚手架固定措施、为防止油漆、喷砂时废料掉落河道污染水体所作的预防措施等相关一切相较于陆上施工增加的所有费用，如实际采用非船只施工方案的，结算费用亦不作调整。</w:t>
      </w:r>
    </w:p>
    <w:p w14:paraId="53FD122B">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清单703-1逃生便桥单价包括便桥的制作、运输、安装以及所需的人工、机械、临时堆放（拼装）场地、吊机停机位的地坪处理等所费用。</w:t>
      </w:r>
    </w:p>
    <w:p w14:paraId="098153B7">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清单621-4 填筑塘渣单价已考虑了由于场地限制需进行的二次驳运费用，结算相关费用不再另行增加。</w:t>
      </w:r>
    </w:p>
    <w:p w14:paraId="2E59FCCB">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路缘石材质设计图纸中未明确，标底中按芝麻白花岗岩计入，如实际不同，按实调整。</w:t>
      </w:r>
    </w:p>
    <w:p w14:paraId="2EDFF91F">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工程量清单应与投标人须知、合同条款、计价规范、技术标准和要求及图纸等文件结合起来查阅与理解。</w:t>
      </w:r>
    </w:p>
    <w:p w14:paraId="0549FF72">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除非合同另有规定，工程量清单中有标价的综合单价已包括了为实施和完成合同工程所需的劳务、材料、机械、质检（自检）、安装、调试、缺陷修复、管理、保险（工程一切险、安全生产责任保险除外）、税费、利润等费用，以及合同明示或暗示的所有责任、义务和一般风险。</w:t>
      </w:r>
    </w:p>
    <w:p w14:paraId="148228CF">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工程一切险的投保金额为工程量清单中的各章合计金额（不含第100章中的工程一切险、安全生产责任保险、安全生产费），保险费率按</w:t>
      </w:r>
      <w:r>
        <w:rPr>
          <w:rFonts w:hint="eastAsia" w:ascii="宋体" w:hAnsi="宋体"/>
          <w:sz w:val="24"/>
          <w:u w:val="single"/>
        </w:rPr>
        <w:t xml:space="preserve"> 2 </w:t>
      </w:r>
      <w:r>
        <w:rPr>
          <w:rFonts w:hint="eastAsia" w:ascii="宋体" w:hAnsi="宋体"/>
          <w:sz w:val="24"/>
        </w:rPr>
        <w:t>‰计入（实际保费需经建设单位同意按实调整，但保费费率最高不得超过此上限）。</w:t>
      </w:r>
    </w:p>
    <w:p w14:paraId="33B049B3">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 xml:space="preserve">安全生产责任保险的投保金额为工程量清单中的各章合计金额（不含第100章中的工程一切险、安全生产责任保险、安全生产费），保险费率为 </w:t>
      </w:r>
      <w:r>
        <w:rPr>
          <w:rFonts w:hint="eastAsia" w:ascii="宋体" w:hAnsi="宋体"/>
          <w:sz w:val="24"/>
          <w:u w:val="single"/>
        </w:rPr>
        <w:t xml:space="preserve"> 2.2</w:t>
      </w:r>
      <w:r>
        <w:rPr>
          <w:rFonts w:hint="eastAsia" w:ascii="宋体" w:hAnsi="宋体"/>
          <w:sz w:val="24"/>
        </w:rPr>
        <w:t xml:space="preserve">  ‰（实际保费需经建设单位同意按实调整，但保费费率最高不得超过此上限），其中第三方责任险最低保额为500万。</w:t>
      </w:r>
    </w:p>
    <w:p w14:paraId="7B1D0E12">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除上述工程一切险、安全生产责任保险以外，所投其他保险的保险费均由承包人承担并支付，不在报价中单列。</w:t>
      </w:r>
    </w:p>
    <w:p w14:paraId="46815346">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工程量清单各章节是按计价规范、技术标准和要求相应章次编号的，因此，工程量清单中各章节的工程项目的范围与计量等应与计价规范、技术标准和要求相应章节的范围、计量与支付条款结合起来理解或解释。</w:t>
      </w:r>
    </w:p>
    <w:p w14:paraId="0E552AF1">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对于符合要求的投标文件，在签订合同协议书前，如发现工程量清单中有计算方面的算术性差错，应按投标人须知规定予以处理。</w:t>
      </w:r>
    </w:p>
    <w:p w14:paraId="6E9390DE">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除合同另有约定，承包人用于本合同工程的各类装备的提供、运输、维护、拆卸、拼装等支付的费用，已包含在工程量清单的综合单价与总额价之中。</w:t>
      </w:r>
    </w:p>
    <w:p w14:paraId="64CBF3A5">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本项目工程量清单中的暂列金额不计取。</w:t>
      </w:r>
    </w:p>
    <w:p w14:paraId="664C9CA3">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本工程第100章中没有列支的清单内容，由投标单位考虑在相应的综合单价中，工程结算时不作调整。</w:t>
      </w:r>
    </w:p>
    <w:p w14:paraId="576BD0C8">
      <w:pPr>
        <w:numPr>
          <w:ilvl w:val="0"/>
          <w:numId w:val="3"/>
        </w:numPr>
        <w:tabs>
          <w:tab w:val="left" w:pos="255"/>
          <w:tab w:val="left" w:pos="626"/>
          <w:tab w:val="left" w:pos="900"/>
          <w:tab w:val="left" w:pos="1080"/>
          <w:tab w:val="left" w:pos="1106"/>
          <w:tab w:val="left" w:pos="1260"/>
        </w:tabs>
        <w:spacing w:line="500" w:lineRule="exact"/>
        <w:ind w:left="90" w:firstLine="540"/>
        <w:rPr>
          <w:rFonts w:hint="eastAsia" w:ascii="宋体" w:hAnsi="宋体"/>
          <w:sz w:val="24"/>
        </w:rPr>
      </w:pPr>
      <w:r>
        <w:rPr>
          <w:rFonts w:hint="eastAsia" w:ascii="宋体" w:hAnsi="宋体"/>
          <w:sz w:val="24"/>
        </w:rPr>
        <w:t>本工程清单中涉及预埋铁件、钢结构等子目报价均含防腐费用。</w:t>
      </w:r>
    </w:p>
    <w:bookmarkEnd w:id="0"/>
    <w:p w14:paraId="19CA9D59">
      <w:pPr>
        <w:tabs>
          <w:tab w:val="left" w:pos="86"/>
          <w:tab w:val="left" w:pos="539"/>
          <w:tab w:val="left" w:pos="626"/>
          <w:tab w:val="left" w:pos="900"/>
          <w:tab w:val="left" w:pos="1080"/>
          <w:tab w:val="left" w:pos="1106"/>
          <w:tab w:val="left" w:pos="1260"/>
        </w:tabs>
        <w:spacing w:line="500" w:lineRule="exact"/>
        <w:ind w:left="630"/>
        <w:rPr>
          <w:rFonts w:hint="eastAsia" w:ascii="宋体" w:hAnsi="宋体"/>
          <w:b/>
          <w:bCs/>
          <w:sz w:val="24"/>
        </w:rPr>
      </w:pPr>
      <w:r>
        <w:rPr>
          <w:rFonts w:hint="eastAsia" w:ascii="宋体" w:hAnsi="宋体"/>
          <w:b/>
          <w:bCs/>
          <w:sz w:val="24"/>
        </w:rPr>
        <w:t>四、标底编制的其他事项：</w:t>
      </w:r>
    </w:p>
    <w:p w14:paraId="57D6F4AB">
      <w:pPr>
        <w:spacing w:line="500" w:lineRule="exact"/>
        <w:ind w:firstLine="480" w:firstLineChars="200"/>
        <w:rPr>
          <w:rFonts w:ascii="宋体" w:hAnsi="宋体"/>
          <w:b/>
          <w:sz w:val="24"/>
        </w:rPr>
      </w:pPr>
      <w:r>
        <w:rPr>
          <w:rFonts w:ascii="宋体" w:hAnsi="宋体"/>
          <w:sz w:val="24"/>
        </w:rPr>
        <w:t>投标人应对招标人提供的标底进行复核，如标底中存在除工程量清单项目漏项、项目多列或重复列项、清单项目工程量有误以外的定额错套、信息价输入差错、清单组合子目缺漏及清单组合子目工程量有误等错误的，应在招标答疑时提出，经招标人确认后，在答疑纪要中明确并调整，如不提出，今后不予调整。工程量清单所列的工程量暂定（明细内容中已写明一次性包干的工程量除外），竣工结算时按实结算确定。</w:t>
      </w:r>
    </w:p>
    <w:p w14:paraId="6E9DD774">
      <w:pPr>
        <w:pStyle w:val="8"/>
        <w:rPr>
          <w:rFonts w:hint="eastAsia"/>
        </w:rPr>
      </w:pPr>
    </w:p>
    <w:p w14:paraId="2906FEFA">
      <w:pPr>
        <w:spacing w:line="520" w:lineRule="exact"/>
        <w:ind w:firstLine="6000" w:firstLineChars="2500"/>
        <w:rPr>
          <w:rFonts w:ascii="宋体" w:hAnsi="宋体"/>
          <w:sz w:val="24"/>
        </w:rPr>
      </w:pPr>
      <w:r>
        <w:rPr>
          <w:rFonts w:hint="eastAsia" w:ascii="宋体" w:hAnsi="宋体"/>
          <w:sz w:val="24"/>
        </w:rPr>
        <w:t xml:space="preserve"> 2025年07月8日 </w:t>
      </w:r>
    </w:p>
    <w:sectPr>
      <w:headerReference r:id="rId3" w:type="default"/>
      <w:footerReference r:id="rId4" w:type="default"/>
      <w:footerReference r:id="rId5" w:type="even"/>
      <w:pgSz w:w="11906" w:h="16838"/>
      <w:pgMar w:top="1474" w:right="1248" w:bottom="136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F1C97">
    <w:pPr>
      <w:pStyle w:val="6"/>
      <w:ind w:right="360"/>
      <w:jc w:val="right"/>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14:paraId="45E8CF4F">
                <w:pPr>
                  <w:pStyle w:val="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14ABA">
    <w:pPr>
      <w:pStyle w:val="6"/>
      <w:framePr w:wrap="around" w:vAnchor="text" w:hAnchor="margin" w:xAlign="right" w:y="1"/>
      <w:rPr>
        <w:rStyle w:val="14"/>
      </w:rPr>
    </w:pPr>
    <w:r>
      <w:fldChar w:fldCharType="begin"/>
    </w:r>
    <w:r>
      <w:rPr>
        <w:rStyle w:val="14"/>
      </w:rPr>
      <w:instrText xml:space="preserve">PAGE  </w:instrText>
    </w:r>
    <w:r>
      <w:fldChar w:fldCharType="separate"/>
    </w:r>
    <w:r>
      <w:rPr>
        <w:rStyle w:val="14"/>
      </w:rPr>
      <w:t>4</w:t>
    </w:r>
    <w:r>
      <w:fldChar w:fldCharType="end"/>
    </w:r>
  </w:p>
  <w:p w14:paraId="60176E20">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D1B1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3759A"/>
    <w:multiLevelType w:val="singleLevel"/>
    <w:tmpl w:val="AF73759A"/>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decimal"/>
      <w:lvlText w:val="%1、"/>
      <w:lvlJc w:val="left"/>
      <w:pPr>
        <w:tabs>
          <w:tab w:val="left" w:pos="-170"/>
        </w:tabs>
        <w:ind w:left="-23" w:firstLine="397"/>
      </w:pPr>
      <w:rPr>
        <w:rFonts w:hint="eastAsia"/>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50DB5FA"/>
    <w:multiLevelType w:val="singleLevel"/>
    <w:tmpl w:val="550DB5FA"/>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0ZWRhYzQ3NmI4OTk5MWEyZjc1ZTRkMjJiNDNmMzgifQ=="/>
  </w:docVars>
  <w:rsids>
    <w:rsidRoot w:val="00172A27"/>
    <w:rsid w:val="00000858"/>
    <w:rsid w:val="000031F3"/>
    <w:rsid w:val="00005F1C"/>
    <w:rsid w:val="0000733E"/>
    <w:rsid w:val="00007959"/>
    <w:rsid w:val="00013F0F"/>
    <w:rsid w:val="00014979"/>
    <w:rsid w:val="00014DA9"/>
    <w:rsid w:val="00015D0E"/>
    <w:rsid w:val="00017616"/>
    <w:rsid w:val="00026457"/>
    <w:rsid w:val="0002778C"/>
    <w:rsid w:val="00030E84"/>
    <w:rsid w:val="0003528D"/>
    <w:rsid w:val="00041419"/>
    <w:rsid w:val="000517D3"/>
    <w:rsid w:val="00053659"/>
    <w:rsid w:val="00053A68"/>
    <w:rsid w:val="00071D0B"/>
    <w:rsid w:val="000721D7"/>
    <w:rsid w:val="000804BA"/>
    <w:rsid w:val="00081311"/>
    <w:rsid w:val="00081382"/>
    <w:rsid w:val="00084472"/>
    <w:rsid w:val="000925F4"/>
    <w:rsid w:val="00093DCC"/>
    <w:rsid w:val="000A0B3B"/>
    <w:rsid w:val="000B22AA"/>
    <w:rsid w:val="000B54F0"/>
    <w:rsid w:val="000C1954"/>
    <w:rsid w:val="000C2A98"/>
    <w:rsid w:val="000C4F1C"/>
    <w:rsid w:val="000C7B02"/>
    <w:rsid w:val="000D3D19"/>
    <w:rsid w:val="000E0EC9"/>
    <w:rsid w:val="000E25FC"/>
    <w:rsid w:val="000E37B6"/>
    <w:rsid w:val="000F39E6"/>
    <w:rsid w:val="000F39F1"/>
    <w:rsid w:val="000F50D0"/>
    <w:rsid w:val="000F55C4"/>
    <w:rsid w:val="00102DAC"/>
    <w:rsid w:val="00103826"/>
    <w:rsid w:val="001120D7"/>
    <w:rsid w:val="00117D90"/>
    <w:rsid w:val="00122615"/>
    <w:rsid w:val="00124194"/>
    <w:rsid w:val="0015182F"/>
    <w:rsid w:val="00152844"/>
    <w:rsid w:val="00154E3D"/>
    <w:rsid w:val="00161D93"/>
    <w:rsid w:val="00171C3A"/>
    <w:rsid w:val="001752EE"/>
    <w:rsid w:val="001759D0"/>
    <w:rsid w:val="00176CF6"/>
    <w:rsid w:val="00191133"/>
    <w:rsid w:val="0019279E"/>
    <w:rsid w:val="001939B6"/>
    <w:rsid w:val="001A0DCB"/>
    <w:rsid w:val="001A1482"/>
    <w:rsid w:val="001A4F77"/>
    <w:rsid w:val="001B38E4"/>
    <w:rsid w:val="001C1B38"/>
    <w:rsid w:val="001C2490"/>
    <w:rsid w:val="001C4F64"/>
    <w:rsid w:val="001D10CE"/>
    <w:rsid w:val="001D5CAA"/>
    <w:rsid w:val="001D6DE7"/>
    <w:rsid w:val="001E21D6"/>
    <w:rsid w:val="001E286C"/>
    <w:rsid w:val="001E309D"/>
    <w:rsid w:val="001E4F46"/>
    <w:rsid w:val="001F0C4D"/>
    <w:rsid w:val="001F363A"/>
    <w:rsid w:val="00206FB7"/>
    <w:rsid w:val="00226531"/>
    <w:rsid w:val="002350AD"/>
    <w:rsid w:val="00246AC9"/>
    <w:rsid w:val="00251233"/>
    <w:rsid w:val="00263235"/>
    <w:rsid w:val="00266545"/>
    <w:rsid w:val="00267903"/>
    <w:rsid w:val="0027502D"/>
    <w:rsid w:val="002751AF"/>
    <w:rsid w:val="00283465"/>
    <w:rsid w:val="00283735"/>
    <w:rsid w:val="0029040B"/>
    <w:rsid w:val="00297980"/>
    <w:rsid w:val="002B555E"/>
    <w:rsid w:val="002B5C05"/>
    <w:rsid w:val="002C5A59"/>
    <w:rsid w:val="002C61A5"/>
    <w:rsid w:val="002D76B9"/>
    <w:rsid w:val="002E3BD4"/>
    <w:rsid w:val="002E73C9"/>
    <w:rsid w:val="002F2B91"/>
    <w:rsid w:val="002F42E7"/>
    <w:rsid w:val="002F5701"/>
    <w:rsid w:val="00300F2C"/>
    <w:rsid w:val="00304C7F"/>
    <w:rsid w:val="00306AAF"/>
    <w:rsid w:val="003071E5"/>
    <w:rsid w:val="00307413"/>
    <w:rsid w:val="00312662"/>
    <w:rsid w:val="00313C52"/>
    <w:rsid w:val="00334632"/>
    <w:rsid w:val="003351DB"/>
    <w:rsid w:val="003427CD"/>
    <w:rsid w:val="003439D9"/>
    <w:rsid w:val="00346C99"/>
    <w:rsid w:val="00353044"/>
    <w:rsid w:val="00353E45"/>
    <w:rsid w:val="003540C0"/>
    <w:rsid w:val="0035599B"/>
    <w:rsid w:val="00361284"/>
    <w:rsid w:val="00362D38"/>
    <w:rsid w:val="00364F47"/>
    <w:rsid w:val="00371874"/>
    <w:rsid w:val="00374776"/>
    <w:rsid w:val="00375A4D"/>
    <w:rsid w:val="00377CC7"/>
    <w:rsid w:val="0038081B"/>
    <w:rsid w:val="0038115B"/>
    <w:rsid w:val="003850EE"/>
    <w:rsid w:val="00385EC8"/>
    <w:rsid w:val="0038795F"/>
    <w:rsid w:val="00387BDA"/>
    <w:rsid w:val="003902EF"/>
    <w:rsid w:val="00395A44"/>
    <w:rsid w:val="00397078"/>
    <w:rsid w:val="00397FF4"/>
    <w:rsid w:val="003A3873"/>
    <w:rsid w:val="003A5ADD"/>
    <w:rsid w:val="003A79F9"/>
    <w:rsid w:val="003B3F5B"/>
    <w:rsid w:val="003B5C75"/>
    <w:rsid w:val="003B5DEA"/>
    <w:rsid w:val="003C0EBE"/>
    <w:rsid w:val="003C5125"/>
    <w:rsid w:val="003C730C"/>
    <w:rsid w:val="003C7F77"/>
    <w:rsid w:val="003D03E8"/>
    <w:rsid w:val="003D5B9D"/>
    <w:rsid w:val="003E0867"/>
    <w:rsid w:val="003E1875"/>
    <w:rsid w:val="003E49DE"/>
    <w:rsid w:val="003F2EB7"/>
    <w:rsid w:val="004022F8"/>
    <w:rsid w:val="00403D9A"/>
    <w:rsid w:val="00404644"/>
    <w:rsid w:val="00404C03"/>
    <w:rsid w:val="004125E6"/>
    <w:rsid w:val="004207B7"/>
    <w:rsid w:val="004242DA"/>
    <w:rsid w:val="004317B3"/>
    <w:rsid w:val="00432C1B"/>
    <w:rsid w:val="00433758"/>
    <w:rsid w:val="00435DFB"/>
    <w:rsid w:val="004423E8"/>
    <w:rsid w:val="0046153A"/>
    <w:rsid w:val="004635E6"/>
    <w:rsid w:val="00464FEE"/>
    <w:rsid w:val="0046622B"/>
    <w:rsid w:val="00466649"/>
    <w:rsid w:val="00474290"/>
    <w:rsid w:val="00480999"/>
    <w:rsid w:val="004864DE"/>
    <w:rsid w:val="004903A6"/>
    <w:rsid w:val="0049169F"/>
    <w:rsid w:val="00496074"/>
    <w:rsid w:val="00496A04"/>
    <w:rsid w:val="00496C6F"/>
    <w:rsid w:val="0049734C"/>
    <w:rsid w:val="00497678"/>
    <w:rsid w:val="004A0FDA"/>
    <w:rsid w:val="004A47B6"/>
    <w:rsid w:val="004A4BC4"/>
    <w:rsid w:val="004B11D4"/>
    <w:rsid w:val="004C0211"/>
    <w:rsid w:val="004C23DA"/>
    <w:rsid w:val="004C4F77"/>
    <w:rsid w:val="004C6B30"/>
    <w:rsid w:val="004C6C9D"/>
    <w:rsid w:val="004D2217"/>
    <w:rsid w:val="004E30F2"/>
    <w:rsid w:val="004E54B4"/>
    <w:rsid w:val="004E71ED"/>
    <w:rsid w:val="004F0F69"/>
    <w:rsid w:val="004F7541"/>
    <w:rsid w:val="00505586"/>
    <w:rsid w:val="00505682"/>
    <w:rsid w:val="00510D31"/>
    <w:rsid w:val="0051740E"/>
    <w:rsid w:val="005200C4"/>
    <w:rsid w:val="00520D23"/>
    <w:rsid w:val="00521542"/>
    <w:rsid w:val="0052322B"/>
    <w:rsid w:val="00533F6B"/>
    <w:rsid w:val="00537BA5"/>
    <w:rsid w:val="00547A80"/>
    <w:rsid w:val="0055405E"/>
    <w:rsid w:val="005541B1"/>
    <w:rsid w:val="00557045"/>
    <w:rsid w:val="00564572"/>
    <w:rsid w:val="00565DD8"/>
    <w:rsid w:val="00567B3B"/>
    <w:rsid w:val="005701AA"/>
    <w:rsid w:val="00577B85"/>
    <w:rsid w:val="00584E18"/>
    <w:rsid w:val="005855F7"/>
    <w:rsid w:val="005911F2"/>
    <w:rsid w:val="0059741D"/>
    <w:rsid w:val="005A356C"/>
    <w:rsid w:val="005A3D06"/>
    <w:rsid w:val="005B0D5B"/>
    <w:rsid w:val="005B5356"/>
    <w:rsid w:val="005B6B9D"/>
    <w:rsid w:val="005B7303"/>
    <w:rsid w:val="005C4DA0"/>
    <w:rsid w:val="005D2F09"/>
    <w:rsid w:val="005D4713"/>
    <w:rsid w:val="005D7C36"/>
    <w:rsid w:val="005D7D4C"/>
    <w:rsid w:val="005E0B2E"/>
    <w:rsid w:val="005E1B94"/>
    <w:rsid w:val="005F157C"/>
    <w:rsid w:val="006062D8"/>
    <w:rsid w:val="00610D94"/>
    <w:rsid w:val="006114F9"/>
    <w:rsid w:val="00612727"/>
    <w:rsid w:val="0061582A"/>
    <w:rsid w:val="006200D2"/>
    <w:rsid w:val="00620EBD"/>
    <w:rsid w:val="0062371B"/>
    <w:rsid w:val="00625640"/>
    <w:rsid w:val="00630C50"/>
    <w:rsid w:val="00631A2E"/>
    <w:rsid w:val="00637D4E"/>
    <w:rsid w:val="006458D2"/>
    <w:rsid w:val="006471F2"/>
    <w:rsid w:val="006508AD"/>
    <w:rsid w:val="00651119"/>
    <w:rsid w:val="00653ACE"/>
    <w:rsid w:val="006618C6"/>
    <w:rsid w:val="00664BAA"/>
    <w:rsid w:val="00667EF3"/>
    <w:rsid w:val="006713DF"/>
    <w:rsid w:val="006748F9"/>
    <w:rsid w:val="006807E2"/>
    <w:rsid w:val="006833D3"/>
    <w:rsid w:val="006852AE"/>
    <w:rsid w:val="00685BD1"/>
    <w:rsid w:val="00686F1E"/>
    <w:rsid w:val="0068744E"/>
    <w:rsid w:val="0068755E"/>
    <w:rsid w:val="006949F6"/>
    <w:rsid w:val="006A7F21"/>
    <w:rsid w:val="006C61CB"/>
    <w:rsid w:val="006C62CE"/>
    <w:rsid w:val="006D3414"/>
    <w:rsid w:val="006E0325"/>
    <w:rsid w:val="006E2984"/>
    <w:rsid w:val="006E29F2"/>
    <w:rsid w:val="006E3D2C"/>
    <w:rsid w:val="006E447F"/>
    <w:rsid w:val="006E4652"/>
    <w:rsid w:val="006E6F57"/>
    <w:rsid w:val="006E79C0"/>
    <w:rsid w:val="006F0F66"/>
    <w:rsid w:val="006F2EF7"/>
    <w:rsid w:val="006F5AC1"/>
    <w:rsid w:val="00700F3C"/>
    <w:rsid w:val="0070501A"/>
    <w:rsid w:val="00710069"/>
    <w:rsid w:val="00713867"/>
    <w:rsid w:val="00717515"/>
    <w:rsid w:val="0072124A"/>
    <w:rsid w:val="00721533"/>
    <w:rsid w:val="007276FD"/>
    <w:rsid w:val="00730059"/>
    <w:rsid w:val="0073582C"/>
    <w:rsid w:val="007410DF"/>
    <w:rsid w:val="00745292"/>
    <w:rsid w:val="00750DA3"/>
    <w:rsid w:val="0075711E"/>
    <w:rsid w:val="007600E6"/>
    <w:rsid w:val="00762907"/>
    <w:rsid w:val="00762C80"/>
    <w:rsid w:val="007653B4"/>
    <w:rsid w:val="00767640"/>
    <w:rsid w:val="00771C2B"/>
    <w:rsid w:val="00771FBD"/>
    <w:rsid w:val="0077368D"/>
    <w:rsid w:val="00773EA7"/>
    <w:rsid w:val="0078769A"/>
    <w:rsid w:val="00791558"/>
    <w:rsid w:val="007956DD"/>
    <w:rsid w:val="007A7FDA"/>
    <w:rsid w:val="007B0D76"/>
    <w:rsid w:val="007B284B"/>
    <w:rsid w:val="007B4590"/>
    <w:rsid w:val="007B6201"/>
    <w:rsid w:val="007C1CF8"/>
    <w:rsid w:val="007C48D3"/>
    <w:rsid w:val="007C6E50"/>
    <w:rsid w:val="007D1F5D"/>
    <w:rsid w:val="007D2566"/>
    <w:rsid w:val="007D4463"/>
    <w:rsid w:val="007D4A68"/>
    <w:rsid w:val="007D6B8A"/>
    <w:rsid w:val="007E4DD3"/>
    <w:rsid w:val="007F2D91"/>
    <w:rsid w:val="007F4AE4"/>
    <w:rsid w:val="007F5A02"/>
    <w:rsid w:val="007F5D56"/>
    <w:rsid w:val="00802B0C"/>
    <w:rsid w:val="00811B9D"/>
    <w:rsid w:val="0081210F"/>
    <w:rsid w:val="00812FF3"/>
    <w:rsid w:val="00822093"/>
    <w:rsid w:val="0082419C"/>
    <w:rsid w:val="00825303"/>
    <w:rsid w:val="00835A6F"/>
    <w:rsid w:val="00842FBF"/>
    <w:rsid w:val="0084458C"/>
    <w:rsid w:val="00846A42"/>
    <w:rsid w:val="00847956"/>
    <w:rsid w:val="00850F06"/>
    <w:rsid w:val="00853462"/>
    <w:rsid w:val="00861ACD"/>
    <w:rsid w:val="00862D1B"/>
    <w:rsid w:val="00863021"/>
    <w:rsid w:val="0086774E"/>
    <w:rsid w:val="00867A94"/>
    <w:rsid w:val="00871174"/>
    <w:rsid w:val="00874D2A"/>
    <w:rsid w:val="008764C2"/>
    <w:rsid w:val="00881E7A"/>
    <w:rsid w:val="008902AE"/>
    <w:rsid w:val="00893875"/>
    <w:rsid w:val="00893D48"/>
    <w:rsid w:val="008953B1"/>
    <w:rsid w:val="00896BC8"/>
    <w:rsid w:val="008A48C5"/>
    <w:rsid w:val="008B0DF5"/>
    <w:rsid w:val="008B1F5B"/>
    <w:rsid w:val="008B3401"/>
    <w:rsid w:val="008B3FBF"/>
    <w:rsid w:val="008C0541"/>
    <w:rsid w:val="008C2714"/>
    <w:rsid w:val="008C5B7C"/>
    <w:rsid w:val="008C72DD"/>
    <w:rsid w:val="008D3E52"/>
    <w:rsid w:val="008F2316"/>
    <w:rsid w:val="008F5A60"/>
    <w:rsid w:val="00903694"/>
    <w:rsid w:val="00905304"/>
    <w:rsid w:val="00907BC5"/>
    <w:rsid w:val="00910E79"/>
    <w:rsid w:val="00913E22"/>
    <w:rsid w:val="00927750"/>
    <w:rsid w:val="00927C14"/>
    <w:rsid w:val="00941CC7"/>
    <w:rsid w:val="00942C5F"/>
    <w:rsid w:val="00944468"/>
    <w:rsid w:val="009446CC"/>
    <w:rsid w:val="009466BF"/>
    <w:rsid w:val="00947515"/>
    <w:rsid w:val="00954923"/>
    <w:rsid w:val="0096454A"/>
    <w:rsid w:val="00970E85"/>
    <w:rsid w:val="00975CFF"/>
    <w:rsid w:val="0098408A"/>
    <w:rsid w:val="00991027"/>
    <w:rsid w:val="009915D2"/>
    <w:rsid w:val="00994A7C"/>
    <w:rsid w:val="00994B09"/>
    <w:rsid w:val="009953CC"/>
    <w:rsid w:val="009A25E3"/>
    <w:rsid w:val="009A6436"/>
    <w:rsid w:val="009B08DA"/>
    <w:rsid w:val="009B3E8D"/>
    <w:rsid w:val="009B47ED"/>
    <w:rsid w:val="009C004A"/>
    <w:rsid w:val="009C43D2"/>
    <w:rsid w:val="009D74DB"/>
    <w:rsid w:val="009E2025"/>
    <w:rsid w:val="009E31EE"/>
    <w:rsid w:val="009E3A83"/>
    <w:rsid w:val="009F1B33"/>
    <w:rsid w:val="009F28A4"/>
    <w:rsid w:val="00A108A8"/>
    <w:rsid w:val="00A12171"/>
    <w:rsid w:val="00A128D7"/>
    <w:rsid w:val="00A155CB"/>
    <w:rsid w:val="00A20746"/>
    <w:rsid w:val="00A271B7"/>
    <w:rsid w:val="00A274FB"/>
    <w:rsid w:val="00A27B97"/>
    <w:rsid w:val="00A30C77"/>
    <w:rsid w:val="00A31919"/>
    <w:rsid w:val="00A405D3"/>
    <w:rsid w:val="00A50256"/>
    <w:rsid w:val="00A5281D"/>
    <w:rsid w:val="00A61282"/>
    <w:rsid w:val="00A6156E"/>
    <w:rsid w:val="00A61C9F"/>
    <w:rsid w:val="00A67504"/>
    <w:rsid w:val="00A7014F"/>
    <w:rsid w:val="00A7061B"/>
    <w:rsid w:val="00A72DAF"/>
    <w:rsid w:val="00A77A81"/>
    <w:rsid w:val="00A8000A"/>
    <w:rsid w:val="00A90174"/>
    <w:rsid w:val="00A91EB9"/>
    <w:rsid w:val="00A9233F"/>
    <w:rsid w:val="00A9248B"/>
    <w:rsid w:val="00A92B77"/>
    <w:rsid w:val="00A96D7A"/>
    <w:rsid w:val="00AB454A"/>
    <w:rsid w:val="00AB4954"/>
    <w:rsid w:val="00AB5700"/>
    <w:rsid w:val="00AB5855"/>
    <w:rsid w:val="00AB6CA9"/>
    <w:rsid w:val="00AC38F0"/>
    <w:rsid w:val="00AC4865"/>
    <w:rsid w:val="00AC4C1F"/>
    <w:rsid w:val="00AC542A"/>
    <w:rsid w:val="00AD09D7"/>
    <w:rsid w:val="00AD2842"/>
    <w:rsid w:val="00AE09A0"/>
    <w:rsid w:val="00AE2A92"/>
    <w:rsid w:val="00AE586D"/>
    <w:rsid w:val="00AE6C98"/>
    <w:rsid w:val="00AE773B"/>
    <w:rsid w:val="00AF0E49"/>
    <w:rsid w:val="00AF4EBE"/>
    <w:rsid w:val="00B0061E"/>
    <w:rsid w:val="00B012B9"/>
    <w:rsid w:val="00B0215B"/>
    <w:rsid w:val="00B1114C"/>
    <w:rsid w:val="00B2157B"/>
    <w:rsid w:val="00B21D5D"/>
    <w:rsid w:val="00B22823"/>
    <w:rsid w:val="00B22DC6"/>
    <w:rsid w:val="00B3261E"/>
    <w:rsid w:val="00B32BFD"/>
    <w:rsid w:val="00B364B6"/>
    <w:rsid w:val="00B403FA"/>
    <w:rsid w:val="00B4187B"/>
    <w:rsid w:val="00B41F64"/>
    <w:rsid w:val="00B42967"/>
    <w:rsid w:val="00B4384B"/>
    <w:rsid w:val="00B45BF4"/>
    <w:rsid w:val="00B47971"/>
    <w:rsid w:val="00B503F5"/>
    <w:rsid w:val="00B53441"/>
    <w:rsid w:val="00B64B94"/>
    <w:rsid w:val="00B64EAF"/>
    <w:rsid w:val="00B674BF"/>
    <w:rsid w:val="00B74E9D"/>
    <w:rsid w:val="00B80750"/>
    <w:rsid w:val="00B82DC4"/>
    <w:rsid w:val="00B83C27"/>
    <w:rsid w:val="00B97318"/>
    <w:rsid w:val="00BA0897"/>
    <w:rsid w:val="00BA325D"/>
    <w:rsid w:val="00BB0374"/>
    <w:rsid w:val="00BB277F"/>
    <w:rsid w:val="00BB4845"/>
    <w:rsid w:val="00BC0017"/>
    <w:rsid w:val="00BC2928"/>
    <w:rsid w:val="00BC2C67"/>
    <w:rsid w:val="00BC68F0"/>
    <w:rsid w:val="00BC7000"/>
    <w:rsid w:val="00BC7FAB"/>
    <w:rsid w:val="00BD6E14"/>
    <w:rsid w:val="00BD704C"/>
    <w:rsid w:val="00BE4147"/>
    <w:rsid w:val="00BE4591"/>
    <w:rsid w:val="00BE4D32"/>
    <w:rsid w:val="00C010E2"/>
    <w:rsid w:val="00C0129A"/>
    <w:rsid w:val="00C027AD"/>
    <w:rsid w:val="00C110E9"/>
    <w:rsid w:val="00C310F2"/>
    <w:rsid w:val="00C323E6"/>
    <w:rsid w:val="00C346F5"/>
    <w:rsid w:val="00C36A1B"/>
    <w:rsid w:val="00C44302"/>
    <w:rsid w:val="00C475EF"/>
    <w:rsid w:val="00C53643"/>
    <w:rsid w:val="00C56819"/>
    <w:rsid w:val="00C73C8C"/>
    <w:rsid w:val="00C73E86"/>
    <w:rsid w:val="00C752BF"/>
    <w:rsid w:val="00C8047C"/>
    <w:rsid w:val="00C80587"/>
    <w:rsid w:val="00C92B65"/>
    <w:rsid w:val="00C95A65"/>
    <w:rsid w:val="00CA4228"/>
    <w:rsid w:val="00CA4D54"/>
    <w:rsid w:val="00CB08A4"/>
    <w:rsid w:val="00CC0030"/>
    <w:rsid w:val="00CC099B"/>
    <w:rsid w:val="00CC0C03"/>
    <w:rsid w:val="00CC1F7B"/>
    <w:rsid w:val="00CC5CCE"/>
    <w:rsid w:val="00CC7063"/>
    <w:rsid w:val="00CD650D"/>
    <w:rsid w:val="00CE6128"/>
    <w:rsid w:val="00CE6A10"/>
    <w:rsid w:val="00CF0822"/>
    <w:rsid w:val="00CF43A8"/>
    <w:rsid w:val="00CF56B7"/>
    <w:rsid w:val="00D12F4B"/>
    <w:rsid w:val="00D1675D"/>
    <w:rsid w:val="00D20F34"/>
    <w:rsid w:val="00D22052"/>
    <w:rsid w:val="00D265BB"/>
    <w:rsid w:val="00D27FB3"/>
    <w:rsid w:val="00D34909"/>
    <w:rsid w:val="00D3624A"/>
    <w:rsid w:val="00D51BF4"/>
    <w:rsid w:val="00D5374B"/>
    <w:rsid w:val="00D53887"/>
    <w:rsid w:val="00D54E7E"/>
    <w:rsid w:val="00D6607B"/>
    <w:rsid w:val="00D751F2"/>
    <w:rsid w:val="00D761D5"/>
    <w:rsid w:val="00D87B20"/>
    <w:rsid w:val="00D87F11"/>
    <w:rsid w:val="00D92150"/>
    <w:rsid w:val="00D9476B"/>
    <w:rsid w:val="00D960BB"/>
    <w:rsid w:val="00D9639C"/>
    <w:rsid w:val="00DA1FF5"/>
    <w:rsid w:val="00DA23B7"/>
    <w:rsid w:val="00DA6931"/>
    <w:rsid w:val="00DB71BB"/>
    <w:rsid w:val="00DC26FE"/>
    <w:rsid w:val="00DC58B8"/>
    <w:rsid w:val="00DD0F59"/>
    <w:rsid w:val="00DD3715"/>
    <w:rsid w:val="00DD5069"/>
    <w:rsid w:val="00DD687F"/>
    <w:rsid w:val="00DD6D26"/>
    <w:rsid w:val="00DE0079"/>
    <w:rsid w:val="00DE153D"/>
    <w:rsid w:val="00DE1B4F"/>
    <w:rsid w:val="00DE3A00"/>
    <w:rsid w:val="00DE732A"/>
    <w:rsid w:val="00DE7FE7"/>
    <w:rsid w:val="00DF3548"/>
    <w:rsid w:val="00DF444A"/>
    <w:rsid w:val="00DF55EE"/>
    <w:rsid w:val="00DF692D"/>
    <w:rsid w:val="00E06890"/>
    <w:rsid w:val="00E12960"/>
    <w:rsid w:val="00E147F5"/>
    <w:rsid w:val="00E16520"/>
    <w:rsid w:val="00E20B79"/>
    <w:rsid w:val="00E21265"/>
    <w:rsid w:val="00E337E1"/>
    <w:rsid w:val="00E34C4F"/>
    <w:rsid w:val="00E410DA"/>
    <w:rsid w:val="00E53AF7"/>
    <w:rsid w:val="00E541FC"/>
    <w:rsid w:val="00E554D9"/>
    <w:rsid w:val="00E56B02"/>
    <w:rsid w:val="00E575B6"/>
    <w:rsid w:val="00E61D5E"/>
    <w:rsid w:val="00E65889"/>
    <w:rsid w:val="00E7362C"/>
    <w:rsid w:val="00E860CC"/>
    <w:rsid w:val="00E92A3C"/>
    <w:rsid w:val="00EA3B83"/>
    <w:rsid w:val="00EA5C4E"/>
    <w:rsid w:val="00EB3159"/>
    <w:rsid w:val="00EB5CC5"/>
    <w:rsid w:val="00EC034E"/>
    <w:rsid w:val="00EC75D6"/>
    <w:rsid w:val="00EC7CA5"/>
    <w:rsid w:val="00ED2972"/>
    <w:rsid w:val="00ED3F19"/>
    <w:rsid w:val="00ED6820"/>
    <w:rsid w:val="00EE1368"/>
    <w:rsid w:val="00EE139F"/>
    <w:rsid w:val="00EE356E"/>
    <w:rsid w:val="00EF3498"/>
    <w:rsid w:val="00F10B9A"/>
    <w:rsid w:val="00F124EC"/>
    <w:rsid w:val="00F20F9F"/>
    <w:rsid w:val="00F2179C"/>
    <w:rsid w:val="00F241BD"/>
    <w:rsid w:val="00F25B05"/>
    <w:rsid w:val="00F27B0C"/>
    <w:rsid w:val="00F32BC3"/>
    <w:rsid w:val="00F40193"/>
    <w:rsid w:val="00F56ACD"/>
    <w:rsid w:val="00F6127D"/>
    <w:rsid w:val="00F6136C"/>
    <w:rsid w:val="00F613D6"/>
    <w:rsid w:val="00F61C19"/>
    <w:rsid w:val="00F66B65"/>
    <w:rsid w:val="00F70E70"/>
    <w:rsid w:val="00F81C9C"/>
    <w:rsid w:val="00F86767"/>
    <w:rsid w:val="00F87987"/>
    <w:rsid w:val="00F933A7"/>
    <w:rsid w:val="00F975F1"/>
    <w:rsid w:val="00FA1A62"/>
    <w:rsid w:val="00FA28B4"/>
    <w:rsid w:val="00FA310C"/>
    <w:rsid w:val="00FA5131"/>
    <w:rsid w:val="00FB096E"/>
    <w:rsid w:val="00FB0DC6"/>
    <w:rsid w:val="00FB12A3"/>
    <w:rsid w:val="00FB4973"/>
    <w:rsid w:val="00FC7C98"/>
    <w:rsid w:val="00FD0566"/>
    <w:rsid w:val="00FE3BAB"/>
    <w:rsid w:val="00FF1FB4"/>
    <w:rsid w:val="011D61FB"/>
    <w:rsid w:val="012675F8"/>
    <w:rsid w:val="013D064F"/>
    <w:rsid w:val="013E4E56"/>
    <w:rsid w:val="016F7276"/>
    <w:rsid w:val="01753FB1"/>
    <w:rsid w:val="01FF3C9F"/>
    <w:rsid w:val="020210EC"/>
    <w:rsid w:val="025F774E"/>
    <w:rsid w:val="02934EFF"/>
    <w:rsid w:val="02A73965"/>
    <w:rsid w:val="02B62DA2"/>
    <w:rsid w:val="02BC1AB4"/>
    <w:rsid w:val="02DC622F"/>
    <w:rsid w:val="03172234"/>
    <w:rsid w:val="03343608"/>
    <w:rsid w:val="039A702D"/>
    <w:rsid w:val="051257FF"/>
    <w:rsid w:val="05463B73"/>
    <w:rsid w:val="058C496A"/>
    <w:rsid w:val="05B636D0"/>
    <w:rsid w:val="061B2FC1"/>
    <w:rsid w:val="06293DA5"/>
    <w:rsid w:val="06672F65"/>
    <w:rsid w:val="068F53B4"/>
    <w:rsid w:val="072A5CAD"/>
    <w:rsid w:val="076B7B86"/>
    <w:rsid w:val="078A394F"/>
    <w:rsid w:val="078D58B4"/>
    <w:rsid w:val="079143A2"/>
    <w:rsid w:val="07A008F5"/>
    <w:rsid w:val="084D5764"/>
    <w:rsid w:val="08597DA5"/>
    <w:rsid w:val="089E3C43"/>
    <w:rsid w:val="08A94564"/>
    <w:rsid w:val="091E7869"/>
    <w:rsid w:val="098F57B6"/>
    <w:rsid w:val="09903553"/>
    <w:rsid w:val="0995572F"/>
    <w:rsid w:val="0A330DBB"/>
    <w:rsid w:val="0A5450BF"/>
    <w:rsid w:val="0A9C162D"/>
    <w:rsid w:val="0AEB20FB"/>
    <w:rsid w:val="0B13733D"/>
    <w:rsid w:val="0B486AE9"/>
    <w:rsid w:val="0B7958B9"/>
    <w:rsid w:val="0BB058AB"/>
    <w:rsid w:val="0C151BE5"/>
    <w:rsid w:val="0C66518E"/>
    <w:rsid w:val="0C926F2B"/>
    <w:rsid w:val="0CB33273"/>
    <w:rsid w:val="0CD701D7"/>
    <w:rsid w:val="0CEA5470"/>
    <w:rsid w:val="0D3F561A"/>
    <w:rsid w:val="0D65702E"/>
    <w:rsid w:val="0D70010A"/>
    <w:rsid w:val="0DA705A7"/>
    <w:rsid w:val="0DC54B49"/>
    <w:rsid w:val="0DDD4AA8"/>
    <w:rsid w:val="0DFE005A"/>
    <w:rsid w:val="0E5B72E2"/>
    <w:rsid w:val="0E9C1A1B"/>
    <w:rsid w:val="0F6A3814"/>
    <w:rsid w:val="0F923B4D"/>
    <w:rsid w:val="0FD100B5"/>
    <w:rsid w:val="101F727B"/>
    <w:rsid w:val="10467FFC"/>
    <w:rsid w:val="10563706"/>
    <w:rsid w:val="108C51BC"/>
    <w:rsid w:val="10AD2250"/>
    <w:rsid w:val="10F560BC"/>
    <w:rsid w:val="10F80654"/>
    <w:rsid w:val="11306AB4"/>
    <w:rsid w:val="11EB3A33"/>
    <w:rsid w:val="11F264E7"/>
    <w:rsid w:val="11FC1350"/>
    <w:rsid w:val="124B55D3"/>
    <w:rsid w:val="127E28E2"/>
    <w:rsid w:val="128B3AC4"/>
    <w:rsid w:val="129F7006"/>
    <w:rsid w:val="12E70F75"/>
    <w:rsid w:val="13281539"/>
    <w:rsid w:val="135A113B"/>
    <w:rsid w:val="13B1760D"/>
    <w:rsid w:val="13DF2BA7"/>
    <w:rsid w:val="13E108E3"/>
    <w:rsid w:val="140F2EF8"/>
    <w:rsid w:val="142C3EEC"/>
    <w:rsid w:val="14883BF6"/>
    <w:rsid w:val="14EA1A05"/>
    <w:rsid w:val="15201E22"/>
    <w:rsid w:val="157636F7"/>
    <w:rsid w:val="15C02779"/>
    <w:rsid w:val="15E54B58"/>
    <w:rsid w:val="16032DB1"/>
    <w:rsid w:val="16513E7E"/>
    <w:rsid w:val="16553737"/>
    <w:rsid w:val="16605858"/>
    <w:rsid w:val="16CA702C"/>
    <w:rsid w:val="16DB6FDB"/>
    <w:rsid w:val="16E92F68"/>
    <w:rsid w:val="173B763F"/>
    <w:rsid w:val="176C0A85"/>
    <w:rsid w:val="177F018F"/>
    <w:rsid w:val="17884203"/>
    <w:rsid w:val="17F84F4F"/>
    <w:rsid w:val="18061BCE"/>
    <w:rsid w:val="1808303F"/>
    <w:rsid w:val="18157581"/>
    <w:rsid w:val="18646C4E"/>
    <w:rsid w:val="18C82F7F"/>
    <w:rsid w:val="18F649FD"/>
    <w:rsid w:val="18F65169"/>
    <w:rsid w:val="192A3BD0"/>
    <w:rsid w:val="193E0B05"/>
    <w:rsid w:val="193E77C0"/>
    <w:rsid w:val="19E52BD5"/>
    <w:rsid w:val="1A616F1F"/>
    <w:rsid w:val="1B2C1134"/>
    <w:rsid w:val="1B4F7512"/>
    <w:rsid w:val="1B66268D"/>
    <w:rsid w:val="1B7B7E70"/>
    <w:rsid w:val="1CCA624E"/>
    <w:rsid w:val="1D294643"/>
    <w:rsid w:val="1D551C1B"/>
    <w:rsid w:val="1D6448E1"/>
    <w:rsid w:val="1DC06AEE"/>
    <w:rsid w:val="1E251A76"/>
    <w:rsid w:val="1E2B1C9D"/>
    <w:rsid w:val="1E40375C"/>
    <w:rsid w:val="1E7320B9"/>
    <w:rsid w:val="1E8F1FA3"/>
    <w:rsid w:val="1EA600EF"/>
    <w:rsid w:val="1EA74A40"/>
    <w:rsid w:val="1EF320A9"/>
    <w:rsid w:val="1F313F55"/>
    <w:rsid w:val="1F4339A4"/>
    <w:rsid w:val="1F7E47E0"/>
    <w:rsid w:val="1F904E40"/>
    <w:rsid w:val="1FA20089"/>
    <w:rsid w:val="1FE32A68"/>
    <w:rsid w:val="1FF02733"/>
    <w:rsid w:val="20511A8C"/>
    <w:rsid w:val="20A10D4C"/>
    <w:rsid w:val="20B841CA"/>
    <w:rsid w:val="20CA6134"/>
    <w:rsid w:val="210070D4"/>
    <w:rsid w:val="21195C9B"/>
    <w:rsid w:val="216E17AE"/>
    <w:rsid w:val="21A61A7C"/>
    <w:rsid w:val="220327AF"/>
    <w:rsid w:val="22114223"/>
    <w:rsid w:val="22531320"/>
    <w:rsid w:val="22781ED4"/>
    <w:rsid w:val="227C07A3"/>
    <w:rsid w:val="229B4B3A"/>
    <w:rsid w:val="22AC6922"/>
    <w:rsid w:val="22AE21A7"/>
    <w:rsid w:val="23032948"/>
    <w:rsid w:val="2325088A"/>
    <w:rsid w:val="233C7302"/>
    <w:rsid w:val="233D12FA"/>
    <w:rsid w:val="237211F5"/>
    <w:rsid w:val="23DD732C"/>
    <w:rsid w:val="24581C44"/>
    <w:rsid w:val="256D4FA9"/>
    <w:rsid w:val="25B13202"/>
    <w:rsid w:val="25D6309C"/>
    <w:rsid w:val="26586FF7"/>
    <w:rsid w:val="266876DA"/>
    <w:rsid w:val="26A3537A"/>
    <w:rsid w:val="26EC4E5C"/>
    <w:rsid w:val="27010A81"/>
    <w:rsid w:val="270577A9"/>
    <w:rsid w:val="272E31B1"/>
    <w:rsid w:val="2822566B"/>
    <w:rsid w:val="28255417"/>
    <w:rsid w:val="28331C03"/>
    <w:rsid w:val="28A32F08"/>
    <w:rsid w:val="29157B03"/>
    <w:rsid w:val="29CD0057"/>
    <w:rsid w:val="2A4E31DC"/>
    <w:rsid w:val="2AA67BB0"/>
    <w:rsid w:val="2AB70C30"/>
    <w:rsid w:val="2B1C2471"/>
    <w:rsid w:val="2B272AB2"/>
    <w:rsid w:val="2B4C3640"/>
    <w:rsid w:val="2BA04B04"/>
    <w:rsid w:val="2BB23810"/>
    <w:rsid w:val="2C051172"/>
    <w:rsid w:val="2C2D357A"/>
    <w:rsid w:val="2C733AF6"/>
    <w:rsid w:val="2C7C7A3B"/>
    <w:rsid w:val="2CAD5933"/>
    <w:rsid w:val="2CD233F2"/>
    <w:rsid w:val="2CE22800"/>
    <w:rsid w:val="2CE26DB5"/>
    <w:rsid w:val="2D586E73"/>
    <w:rsid w:val="2DCC258C"/>
    <w:rsid w:val="2DDA48F1"/>
    <w:rsid w:val="2E0E1072"/>
    <w:rsid w:val="2E3A5516"/>
    <w:rsid w:val="2E437ADC"/>
    <w:rsid w:val="2E8A1ACD"/>
    <w:rsid w:val="2E95064F"/>
    <w:rsid w:val="2EB60024"/>
    <w:rsid w:val="2EE90600"/>
    <w:rsid w:val="2F846167"/>
    <w:rsid w:val="2F9851D0"/>
    <w:rsid w:val="2FFB1189"/>
    <w:rsid w:val="302D3F76"/>
    <w:rsid w:val="30D81A7A"/>
    <w:rsid w:val="310F7A8A"/>
    <w:rsid w:val="31146783"/>
    <w:rsid w:val="31C4723A"/>
    <w:rsid w:val="320431B7"/>
    <w:rsid w:val="324810DA"/>
    <w:rsid w:val="325025AC"/>
    <w:rsid w:val="326B4476"/>
    <w:rsid w:val="32B307E6"/>
    <w:rsid w:val="32CB207F"/>
    <w:rsid w:val="32E53036"/>
    <w:rsid w:val="32F93419"/>
    <w:rsid w:val="33293259"/>
    <w:rsid w:val="333C3549"/>
    <w:rsid w:val="33956168"/>
    <w:rsid w:val="33F13A7C"/>
    <w:rsid w:val="33F22174"/>
    <w:rsid w:val="34283839"/>
    <w:rsid w:val="344420D2"/>
    <w:rsid w:val="34451FC6"/>
    <w:rsid w:val="344A793E"/>
    <w:rsid w:val="349F0406"/>
    <w:rsid w:val="34B66DED"/>
    <w:rsid w:val="353F42FA"/>
    <w:rsid w:val="361E58A6"/>
    <w:rsid w:val="36440DEA"/>
    <w:rsid w:val="3672542E"/>
    <w:rsid w:val="36AE4E9D"/>
    <w:rsid w:val="36B5219B"/>
    <w:rsid w:val="36CF6DCE"/>
    <w:rsid w:val="376B30B4"/>
    <w:rsid w:val="378E45C4"/>
    <w:rsid w:val="37E42E10"/>
    <w:rsid w:val="382C021F"/>
    <w:rsid w:val="38796AD2"/>
    <w:rsid w:val="38B07A7D"/>
    <w:rsid w:val="39547521"/>
    <w:rsid w:val="39E565BF"/>
    <w:rsid w:val="3A267870"/>
    <w:rsid w:val="3A8036D1"/>
    <w:rsid w:val="3B044150"/>
    <w:rsid w:val="3B0D07FB"/>
    <w:rsid w:val="3B211906"/>
    <w:rsid w:val="3B3F03FE"/>
    <w:rsid w:val="3B9C1E4C"/>
    <w:rsid w:val="3BA426C4"/>
    <w:rsid w:val="3BC818D5"/>
    <w:rsid w:val="3BDF00E9"/>
    <w:rsid w:val="3C2E0546"/>
    <w:rsid w:val="3C69286B"/>
    <w:rsid w:val="3C814BF9"/>
    <w:rsid w:val="3CB72A1F"/>
    <w:rsid w:val="3D723F52"/>
    <w:rsid w:val="3D931ECE"/>
    <w:rsid w:val="3DFD3C2F"/>
    <w:rsid w:val="3E06238E"/>
    <w:rsid w:val="3E4F3621"/>
    <w:rsid w:val="3E580BE4"/>
    <w:rsid w:val="3E5D433F"/>
    <w:rsid w:val="3EC279FE"/>
    <w:rsid w:val="3EC80C8D"/>
    <w:rsid w:val="3F316DAB"/>
    <w:rsid w:val="3F8D3556"/>
    <w:rsid w:val="3FA465D7"/>
    <w:rsid w:val="407C6827"/>
    <w:rsid w:val="40803A82"/>
    <w:rsid w:val="409023A8"/>
    <w:rsid w:val="40DD377A"/>
    <w:rsid w:val="41923A4A"/>
    <w:rsid w:val="419A72A3"/>
    <w:rsid w:val="41B76D4A"/>
    <w:rsid w:val="41C84FFF"/>
    <w:rsid w:val="41D91DBE"/>
    <w:rsid w:val="420B6041"/>
    <w:rsid w:val="42FD27CC"/>
    <w:rsid w:val="439C09CD"/>
    <w:rsid w:val="43AB6966"/>
    <w:rsid w:val="442B684C"/>
    <w:rsid w:val="443F1F75"/>
    <w:rsid w:val="45123C4E"/>
    <w:rsid w:val="452B56D9"/>
    <w:rsid w:val="459147F5"/>
    <w:rsid w:val="45AB7FE6"/>
    <w:rsid w:val="45C5225F"/>
    <w:rsid w:val="45DC19CF"/>
    <w:rsid w:val="464C4FC0"/>
    <w:rsid w:val="467B23BB"/>
    <w:rsid w:val="468B38BA"/>
    <w:rsid w:val="46CA0119"/>
    <w:rsid w:val="46F5399C"/>
    <w:rsid w:val="475523A6"/>
    <w:rsid w:val="47800E5B"/>
    <w:rsid w:val="478010BD"/>
    <w:rsid w:val="48386174"/>
    <w:rsid w:val="48A82206"/>
    <w:rsid w:val="4972136D"/>
    <w:rsid w:val="49947DFE"/>
    <w:rsid w:val="49C16180"/>
    <w:rsid w:val="49FD7F09"/>
    <w:rsid w:val="49FE7022"/>
    <w:rsid w:val="4A0D3264"/>
    <w:rsid w:val="4AA02A41"/>
    <w:rsid w:val="4AC64570"/>
    <w:rsid w:val="4B310C14"/>
    <w:rsid w:val="4B5715B4"/>
    <w:rsid w:val="4B652335"/>
    <w:rsid w:val="4B692631"/>
    <w:rsid w:val="4BBF0EE5"/>
    <w:rsid w:val="4BDB7E82"/>
    <w:rsid w:val="4C3E5DDB"/>
    <w:rsid w:val="4C4549CA"/>
    <w:rsid w:val="4C610F9F"/>
    <w:rsid w:val="4C7514FA"/>
    <w:rsid w:val="4C8B7DF7"/>
    <w:rsid w:val="4D5679DC"/>
    <w:rsid w:val="4D9B6F02"/>
    <w:rsid w:val="4E723D07"/>
    <w:rsid w:val="4ED2106A"/>
    <w:rsid w:val="4EE502BB"/>
    <w:rsid w:val="4EF61877"/>
    <w:rsid w:val="4F021B32"/>
    <w:rsid w:val="4FBE44F5"/>
    <w:rsid w:val="504629C6"/>
    <w:rsid w:val="507D5F67"/>
    <w:rsid w:val="507E75C6"/>
    <w:rsid w:val="50C321B9"/>
    <w:rsid w:val="50CA3EE1"/>
    <w:rsid w:val="50E550CA"/>
    <w:rsid w:val="50FB4827"/>
    <w:rsid w:val="51183FA4"/>
    <w:rsid w:val="51611EE7"/>
    <w:rsid w:val="51BB541B"/>
    <w:rsid w:val="524A0A39"/>
    <w:rsid w:val="52577A65"/>
    <w:rsid w:val="5267558F"/>
    <w:rsid w:val="52780BC1"/>
    <w:rsid w:val="52FC1107"/>
    <w:rsid w:val="53354FE5"/>
    <w:rsid w:val="53390B1A"/>
    <w:rsid w:val="533A291F"/>
    <w:rsid w:val="533D4CC9"/>
    <w:rsid w:val="53D86572"/>
    <w:rsid w:val="54835A5B"/>
    <w:rsid w:val="54A14C8B"/>
    <w:rsid w:val="550E6B9F"/>
    <w:rsid w:val="550F752E"/>
    <w:rsid w:val="56252090"/>
    <w:rsid w:val="56262F68"/>
    <w:rsid w:val="563D3648"/>
    <w:rsid w:val="56442415"/>
    <w:rsid w:val="564E5A7D"/>
    <w:rsid w:val="569B41B3"/>
    <w:rsid w:val="56B85655"/>
    <w:rsid w:val="57265F26"/>
    <w:rsid w:val="5755488C"/>
    <w:rsid w:val="581A7273"/>
    <w:rsid w:val="588C60E0"/>
    <w:rsid w:val="58BE0463"/>
    <w:rsid w:val="58FE2075"/>
    <w:rsid w:val="58FF4E1B"/>
    <w:rsid w:val="59BC7985"/>
    <w:rsid w:val="5A033A66"/>
    <w:rsid w:val="5A2E06CE"/>
    <w:rsid w:val="5A542406"/>
    <w:rsid w:val="5AA91886"/>
    <w:rsid w:val="5ACA4615"/>
    <w:rsid w:val="5ACE6873"/>
    <w:rsid w:val="5AF4235B"/>
    <w:rsid w:val="5B096AA2"/>
    <w:rsid w:val="5B187EBF"/>
    <w:rsid w:val="5B1C75F5"/>
    <w:rsid w:val="5B2B1374"/>
    <w:rsid w:val="5B66795C"/>
    <w:rsid w:val="5BD24CAB"/>
    <w:rsid w:val="5CBA35E1"/>
    <w:rsid w:val="5CFC40FC"/>
    <w:rsid w:val="5D0725E7"/>
    <w:rsid w:val="5D7D65D1"/>
    <w:rsid w:val="5DBC6958"/>
    <w:rsid w:val="5DEC4B46"/>
    <w:rsid w:val="5E5046B8"/>
    <w:rsid w:val="5EF36552"/>
    <w:rsid w:val="5F20214B"/>
    <w:rsid w:val="5F435221"/>
    <w:rsid w:val="5F9544CE"/>
    <w:rsid w:val="5FCB6D69"/>
    <w:rsid w:val="5FD20C92"/>
    <w:rsid w:val="602B37A3"/>
    <w:rsid w:val="60363DC9"/>
    <w:rsid w:val="60726A4F"/>
    <w:rsid w:val="60C26B7D"/>
    <w:rsid w:val="60C507DD"/>
    <w:rsid w:val="60D86E31"/>
    <w:rsid w:val="61047A23"/>
    <w:rsid w:val="619C4AD9"/>
    <w:rsid w:val="61A2027C"/>
    <w:rsid w:val="61C20C5E"/>
    <w:rsid w:val="622B24CF"/>
    <w:rsid w:val="62753F39"/>
    <w:rsid w:val="62924F4E"/>
    <w:rsid w:val="6349003F"/>
    <w:rsid w:val="639F7B43"/>
    <w:rsid w:val="63DE5F23"/>
    <w:rsid w:val="64030D91"/>
    <w:rsid w:val="640F07BD"/>
    <w:rsid w:val="645462F0"/>
    <w:rsid w:val="64632DD6"/>
    <w:rsid w:val="652D4A61"/>
    <w:rsid w:val="65361CC9"/>
    <w:rsid w:val="653665B5"/>
    <w:rsid w:val="65653B5D"/>
    <w:rsid w:val="65824309"/>
    <w:rsid w:val="65A30139"/>
    <w:rsid w:val="65AE69B3"/>
    <w:rsid w:val="66944B6C"/>
    <w:rsid w:val="66BD0D98"/>
    <w:rsid w:val="66E2035A"/>
    <w:rsid w:val="66F552B0"/>
    <w:rsid w:val="67234B5E"/>
    <w:rsid w:val="67256EE6"/>
    <w:rsid w:val="676D5975"/>
    <w:rsid w:val="67766CDE"/>
    <w:rsid w:val="67BA398B"/>
    <w:rsid w:val="67CF3ACB"/>
    <w:rsid w:val="680F4DF4"/>
    <w:rsid w:val="68271283"/>
    <w:rsid w:val="68A21A71"/>
    <w:rsid w:val="68E0102B"/>
    <w:rsid w:val="69AB2A83"/>
    <w:rsid w:val="69AC3AA1"/>
    <w:rsid w:val="69B01B42"/>
    <w:rsid w:val="6A0468A2"/>
    <w:rsid w:val="6AAC5C3C"/>
    <w:rsid w:val="6AC93722"/>
    <w:rsid w:val="6B0E4528"/>
    <w:rsid w:val="6B534F45"/>
    <w:rsid w:val="6B5B219B"/>
    <w:rsid w:val="6B64148B"/>
    <w:rsid w:val="6B6430F4"/>
    <w:rsid w:val="6B963CC3"/>
    <w:rsid w:val="6B976D33"/>
    <w:rsid w:val="6BC247C4"/>
    <w:rsid w:val="6C215092"/>
    <w:rsid w:val="6C4D741C"/>
    <w:rsid w:val="6C531563"/>
    <w:rsid w:val="6C594E12"/>
    <w:rsid w:val="6C86133F"/>
    <w:rsid w:val="6CB223E3"/>
    <w:rsid w:val="6CD03234"/>
    <w:rsid w:val="6CE16DCA"/>
    <w:rsid w:val="6D120F2C"/>
    <w:rsid w:val="6D4E7F19"/>
    <w:rsid w:val="6D6B1D0D"/>
    <w:rsid w:val="6D8E2836"/>
    <w:rsid w:val="6DB735EB"/>
    <w:rsid w:val="6E093F62"/>
    <w:rsid w:val="6E3A3B9E"/>
    <w:rsid w:val="6E3B4E2A"/>
    <w:rsid w:val="6E4903F0"/>
    <w:rsid w:val="6E782F0D"/>
    <w:rsid w:val="6E996EC4"/>
    <w:rsid w:val="6EA03ED4"/>
    <w:rsid w:val="6EEB3868"/>
    <w:rsid w:val="6F1F4604"/>
    <w:rsid w:val="6F2574B3"/>
    <w:rsid w:val="6F2650CA"/>
    <w:rsid w:val="6F362547"/>
    <w:rsid w:val="6F9B7D5D"/>
    <w:rsid w:val="6F9E54E7"/>
    <w:rsid w:val="703F295D"/>
    <w:rsid w:val="707A754B"/>
    <w:rsid w:val="70847FB8"/>
    <w:rsid w:val="70E222C4"/>
    <w:rsid w:val="70E7564E"/>
    <w:rsid w:val="711900CF"/>
    <w:rsid w:val="71B86E1F"/>
    <w:rsid w:val="721F220E"/>
    <w:rsid w:val="727B1E36"/>
    <w:rsid w:val="729037ED"/>
    <w:rsid w:val="72990B4B"/>
    <w:rsid w:val="72F30A87"/>
    <w:rsid w:val="73060671"/>
    <w:rsid w:val="73252EA9"/>
    <w:rsid w:val="73557295"/>
    <w:rsid w:val="73EC1E75"/>
    <w:rsid w:val="73FE77B2"/>
    <w:rsid w:val="740E0448"/>
    <w:rsid w:val="742B1AB1"/>
    <w:rsid w:val="74707D72"/>
    <w:rsid w:val="749F1726"/>
    <w:rsid w:val="74A8435B"/>
    <w:rsid w:val="74F16A37"/>
    <w:rsid w:val="75D15332"/>
    <w:rsid w:val="76102D58"/>
    <w:rsid w:val="764414DD"/>
    <w:rsid w:val="76792B90"/>
    <w:rsid w:val="76E34D62"/>
    <w:rsid w:val="76EA2D8D"/>
    <w:rsid w:val="770F5035"/>
    <w:rsid w:val="777911C6"/>
    <w:rsid w:val="77A85155"/>
    <w:rsid w:val="78604C60"/>
    <w:rsid w:val="786B5EDB"/>
    <w:rsid w:val="787F24FF"/>
    <w:rsid w:val="78E27E3E"/>
    <w:rsid w:val="790845E6"/>
    <w:rsid w:val="79806036"/>
    <w:rsid w:val="799741FA"/>
    <w:rsid w:val="79A024FC"/>
    <w:rsid w:val="79A12571"/>
    <w:rsid w:val="79FC7DBD"/>
    <w:rsid w:val="7A0944B6"/>
    <w:rsid w:val="7A547DE9"/>
    <w:rsid w:val="7A901430"/>
    <w:rsid w:val="7AC71227"/>
    <w:rsid w:val="7B1F5E78"/>
    <w:rsid w:val="7B37539D"/>
    <w:rsid w:val="7B623416"/>
    <w:rsid w:val="7B751A2D"/>
    <w:rsid w:val="7C146294"/>
    <w:rsid w:val="7C1A67D2"/>
    <w:rsid w:val="7CB270DE"/>
    <w:rsid w:val="7D045589"/>
    <w:rsid w:val="7D1E01FC"/>
    <w:rsid w:val="7D9C5D11"/>
    <w:rsid w:val="7DF4552D"/>
    <w:rsid w:val="7E05379E"/>
    <w:rsid w:val="7E112FC4"/>
    <w:rsid w:val="7F1E2C46"/>
    <w:rsid w:val="7F231C30"/>
    <w:rsid w:val="7F257162"/>
    <w:rsid w:val="7F3157F0"/>
    <w:rsid w:val="7F530AD1"/>
    <w:rsid w:val="7F670C40"/>
    <w:rsid w:val="7F9D30E0"/>
    <w:rsid w:val="7FB53564"/>
    <w:rsid w:val="7FCA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uiPriority w:val="0"/>
    <w:pPr>
      <w:spacing w:after="120"/>
    </w:pPr>
  </w:style>
  <w:style w:type="paragraph" w:styleId="4">
    <w:name w:val="Body Text Indent"/>
    <w:basedOn w:val="1"/>
    <w:uiPriority w:val="0"/>
    <w:pPr>
      <w:ind w:left="360"/>
    </w:pPr>
    <w:rPr>
      <w:sz w:val="24"/>
    </w:r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9">
    <w:name w:val="Body Text Indent 3"/>
    <w:basedOn w:val="1"/>
    <w:qFormat/>
    <w:uiPriority w:val="0"/>
    <w:pPr>
      <w:spacing w:after="120"/>
      <w:ind w:left="420" w:leftChars="200"/>
    </w:pPr>
    <w:rPr>
      <w:sz w:val="16"/>
      <w:szCs w:val="16"/>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2"/>
    <w:next w:val="2"/>
    <w:qFormat/>
    <w:uiPriority w:val="0"/>
    <w:rPr>
      <w:b/>
      <w:bCs/>
    </w:rPr>
  </w:style>
  <w:style w:type="character" w:styleId="14">
    <w:name w:val="page number"/>
    <w:qFormat/>
    <w:uiPriority w:val="0"/>
  </w:style>
  <w:style w:type="character" w:styleId="15">
    <w:name w:val="annotation reference"/>
    <w:qFormat/>
    <w:uiPriority w:val="0"/>
    <w:rPr>
      <w:sz w:val="21"/>
      <w:szCs w:val="21"/>
    </w:rPr>
  </w:style>
  <w:style w:type="paragraph" w:customStyle="1" w:styleId="16">
    <w:name w:val="List Paragraph1"/>
    <w:basedOn w:val="1"/>
    <w:qFormat/>
    <w:uiPriority w:val="34"/>
    <w:pPr>
      <w:ind w:firstLine="420" w:firstLineChars="200"/>
    </w:pPr>
  </w:style>
  <w:style w:type="paragraph" w:customStyle="1" w:styleId="17">
    <w:name w:val="Char Char Char Char Char Char Char Char Char Char Char Char Char"/>
    <w:basedOn w:val="1"/>
    <w:qFormat/>
    <w:uiPriority w:val="0"/>
    <w:rPr>
      <w:rFonts w:ascii="Tahoma" w:hAnsi="Tahoma"/>
      <w:sz w:val="24"/>
      <w:szCs w:val="20"/>
    </w:rPr>
  </w:style>
  <w:style w:type="paragraph" w:styleId="18">
    <w:name w:val="List Paragraph"/>
    <w:basedOn w:val="1"/>
    <w:qFormat/>
    <w:uiPriority w:val="34"/>
    <w:pPr>
      <w:ind w:firstLine="420" w:firstLineChars="200"/>
    </w:pPr>
  </w:style>
  <w:style w:type="paragraph" w:customStyle="1" w:styleId="19">
    <w:name w:val="Char Char Char Char"/>
    <w:basedOn w:val="1"/>
    <w:qFormat/>
    <w:uiPriority w:val="0"/>
    <w:rPr>
      <w:rFonts w:ascii="Tahoma" w:hAnsi="Tahoma"/>
      <w:sz w:val="24"/>
      <w:szCs w:val="20"/>
    </w:rPr>
  </w:style>
  <w:style w:type="paragraph" w:customStyle="1" w:styleId="20">
    <w:name w:val="默认段落字体 Para Char Char Char Char Char Char Char Char Char1 Char Char Char Char"/>
    <w:basedOn w:val="1"/>
    <w:qFormat/>
    <w:uiPriority w:val="0"/>
    <w:rPr>
      <w:rFonts w:ascii="Tahoma" w:hAnsi="Tahoma"/>
      <w:sz w:val="24"/>
      <w:szCs w:val="20"/>
    </w:rPr>
  </w:style>
  <w:style w:type="paragraph" w:customStyle="1" w:styleId="21">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sxcx</Company>
  <Pages>4</Pages>
  <Words>3007</Words>
  <Characters>3146</Characters>
  <Lines>22</Lines>
  <Paragraphs>6</Paragraphs>
  <TotalTime>1</TotalTime>
  <ScaleCrop>false</ScaleCrop>
  <LinksUpToDate>false</LinksUpToDate>
  <CharactersWithSpaces>3164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2025-07-11T01:34:00Z</dcterms:created>
  <dc:creator>sxcx1</dc:creator>
  <cp:lastModifiedBy>Administrator</cp:lastModifiedBy>
  <cp:lastPrinted>2023-07-20T02:00:00Z</cp:lastPrinted>
  <dcterms:modified xsi:type="dcterms:W3CDTF">2025-07-11T06:29:32Z</dcterms:modified>
  <dc:title>绍兴县政府性投资项目标底编制说明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27543D5626DA4B4EA4672FC14A354CC8_13</vt:lpwstr>
  </property>
  <property fmtid="{D5CDD505-2E9C-101B-9397-08002B2CF9AE}" pid="4" name="KSOTemplateDocerSaveRecord">
    <vt:lpwstr>eyJoZGlkIjoiM2YzMzgxYjliMTFiY2IxMjk1MzZlNWZmNGRhYTAzMjMiLCJ1c2VySWQiOiI4OTY5MDM1NTcifQ==</vt:lpwstr>
  </property>
</Properties>
</file>