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2" w:lineRule="auto"/>
        <w:rPr>
          <w:rFonts w:hint="eastAsia" w:ascii="宋体" w:hAnsi="宋体" w:eastAsia="宋体" w:cs="宋体"/>
          <w:sz w:val="44"/>
          <w:szCs w:val="44"/>
          <w:lang w:val="en-US" w:eastAsia="zh-CN"/>
        </w:rPr>
      </w:pPr>
    </w:p>
    <w:p>
      <w:pPr>
        <w:spacing w:line="272" w:lineRule="auto"/>
        <w:jc w:val="center"/>
        <w:rPr>
          <w:rFonts w:hint="eastAsia" w:ascii="宋体" w:hAnsi="宋体" w:eastAsia="宋体" w:cs="宋体"/>
          <w:color w:val="auto"/>
          <w:highlight w:val="none"/>
        </w:rPr>
      </w:pPr>
      <w:r>
        <w:rPr>
          <w:rFonts w:hint="eastAsia" w:ascii="宋体" w:hAnsi="宋体" w:eastAsia="宋体" w:cs="宋体"/>
          <w:sz w:val="44"/>
          <w:szCs w:val="44"/>
          <w:lang w:val="en-US" w:eastAsia="zh-CN"/>
        </w:rPr>
        <w:t>嵊州市谷来镇 2023 年小流域建设工程</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bookmarkStart w:id="0" w:name="_bookmark154"/>
      <w:bookmarkEnd w:id="0"/>
      <w:bookmarkStart w:id="1" w:name="_bookmark155"/>
      <w:bookmarkEnd w:id="1"/>
      <w:bookmarkStart w:id="2" w:name="_Toc25544"/>
      <w:bookmarkStart w:id="3" w:name="_Toc130"/>
      <w:bookmarkStart w:id="4" w:name="_Toc26390"/>
      <w:bookmarkStart w:id="5" w:name="_Toc13606"/>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：A3303270430001439001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rPr>
      </w:pPr>
    </w:p>
    <w:p>
      <w:pPr>
        <w:pStyle w:val="2"/>
        <w:rPr>
          <w:rFonts w:hint="eastAsia"/>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tabs>
          <w:tab w:val="left" w:pos="3268"/>
        </w:tabs>
        <w:spacing w:before="91" w:line="581" w:lineRule="auto"/>
        <w:ind w:right="556" w:firstLine="1330" w:firstLineChars="500"/>
        <w:jc w:val="both"/>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嵊州市谷来镇人民政府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2"/>
        <w:ind w:firstLine="900" w:firstLineChars="300"/>
        <w:rPr>
          <w:rFonts w:hint="default" w:eastAsia="宋体"/>
          <w:sz w:val="30"/>
          <w:szCs w:val="30"/>
          <w:lang w:val="en-US" w:eastAsia="zh-CN"/>
        </w:rPr>
      </w:pPr>
      <w:r>
        <w:rPr>
          <w:rFonts w:hint="eastAsia" w:eastAsia="宋体"/>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欧邦工程管理集团有限公司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before="0" w:beforeLines="200" w:line="581" w:lineRule="auto"/>
        <w:ind w:right="556" w:firstLine="1200" w:firstLineChars="400"/>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none"/>
          <w:lang w:val="en-US" w:eastAsia="zh-CN"/>
        </w:rPr>
        <w:t>日      期：</w:t>
      </w: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5</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1468"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6"/>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62</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69</w:t>
          </w:r>
        </w:p>
        <w:p>
          <w:pPr>
            <w:pStyle w:val="16"/>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1468"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13896"/>
      <w:bookmarkStart w:id="7" w:name="_Toc993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本招标项目</w:t>
      </w:r>
      <w:r>
        <w:rPr>
          <w:rFonts w:hint="eastAsia" w:ascii="宋体" w:hAnsi="宋体" w:eastAsia="宋体" w:cs="宋体"/>
          <w:color w:val="000000" w:themeColor="text1"/>
          <w:highlight w:val="none"/>
          <w:u w:val="single"/>
          <w:lang w:eastAsia="zh-CN"/>
          <w14:textFill>
            <w14:solidFill>
              <w14:schemeClr w14:val="tx1"/>
            </w14:solidFill>
          </w14:textFill>
        </w:rPr>
        <w:t>嵊州市谷来镇 2023 年小流域建设工程</w:t>
      </w:r>
      <w:r>
        <w:rPr>
          <w:rFonts w:hint="eastAsia" w:ascii="宋体" w:hAnsi="宋体" w:eastAsia="宋体" w:cs="宋体"/>
          <w:color w:val="000000" w:themeColor="text1"/>
          <w:highlight w:val="none"/>
          <w14:textFill>
            <w14:solidFill>
              <w14:schemeClr w14:val="tx1"/>
            </w14:solidFill>
          </w14:textFill>
        </w:rPr>
        <w:t>（项目名称）；已由</w:t>
      </w:r>
      <w:r>
        <w:rPr>
          <w:rFonts w:hint="eastAsia" w:ascii="宋体" w:hAnsi="宋体" w:eastAsia="宋体" w:cs="宋体"/>
          <w:b/>
          <w:bCs/>
          <w:color w:val="000000" w:themeColor="text1"/>
          <w:highlight w:val="none"/>
          <w:u w:val="single"/>
          <w:lang w:val="en-US" w:eastAsia="zh-CN"/>
          <w14:textFill>
            <w14:solidFill>
              <w14:schemeClr w14:val="tx1"/>
            </w14:solidFill>
          </w14:textFill>
        </w:rPr>
        <w:t>嵊州</w:t>
      </w:r>
      <w:r>
        <w:rPr>
          <w:rFonts w:hint="eastAsia" w:ascii="宋体" w:hAnsi="宋体" w:eastAsia="宋体" w:cs="宋体"/>
          <w:b/>
          <w:bCs/>
          <w:color w:val="000000" w:themeColor="text1"/>
          <w:highlight w:val="none"/>
          <w:u w:val="single"/>
          <w14:textFill>
            <w14:solidFill>
              <w14:schemeClr w14:val="tx1"/>
            </w14:solidFill>
          </w14:textFill>
        </w:rPr>
        <w:t>市发展和改革局</w:t>
      </w:r>
      <w:r>
        <w:rPr>
          <w:rFonts w:hint="eastAsia" w:ascii="宋体" w:hAnsi="宋体" w:eastAsia="宋体" w:cs="宋体"/>
          <w:color w:val="000000" w:themeColor="text1"/>
          <w:highlight w:val="none"/>
          <w14:textFill>
            <w14:solidFill>
              <w14:schemeClr w14:val="tx1"/>
            </w14:solidFill>
          </w14:textFill>
        </w:rPr>
        <w:t>（项目审批、核准或备案机关名称）以</w:t>
      </w:r>
      <w:r>
        <w:rPr>
          <w:rFonts w:hint="eastAsia" w:eastAsia="宋体"/>
          <w:snapToGrid w:val="0"/>
          <w:color w:val="000000" w:themeColor="text1"/>
          <w:kern w:val="0"/>
          <w:szCs w:val="21"/>
          <w:u w:val="single"/>
          <w:lang w:eastAsia="zh-CN"/>
          <w14:textFill>
            <w14:solidFill>
              <w14:schemeClr w14:val="tx1"/>
            </w14:solidFill>
          </w14:textFill>
        </w:rPr>
        <w:t>嵊发改中投〔2023〕100 号</w:t>
      </w:r>
      <w:r>
        <w:rPr>
          <w:rFonts w:hint="eastAsia"/>
          <w:snapToGrid w:val="0"/>
          <w:color w:val="000000" w:themeColor="text1"/>
          <w:kern w:val="0"/>
          <w:szCs w:val="21"/>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（批文名称及编号）批准建设，建设资金来自</w:t>
      </w:r>
      <w:r>
        <w:rPr>
          <w:rFonts w:hint="eastAsia"/>
          <w:snapToGrid w:val="0"/>
          <w:color w:val="000000" w:themeColor="text1"/>
          <w:kern w:val="0"/>
          <w:szCs w:val="21"/>
          <w:u w:val="single"/>
          <w14:textFill>
            <w14:solidFill>
              <w14:schemeClr w14:val="tx1"/>
            </w14:solidFill>
          </w14:textFill>
        </w:rPr>
        <w:t>财政资金及项目单位自有资金</w:t>
      </w:r>
      <w:r>
        <w:rPr>
          <w:rFonts w:hint="eastAsia" w:ascii="宋体" w:hAnsi="宋体" w:eastAsia="宋体" w:cs="宋体"/>
          <w:color w:val="000000" w:themeColor="text1"/>
          <w:highlight w:val="none"/>
          <w14:textFill>
            <w14:solidFill>
              <w14:schemeClr w14:val="tx1"/>
            </w14:solidFill>
          </w14:textFill>
        </w:rPr>
        <w:t>（资金来源），</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snapToGrid w:val="0"/>
          <w:color w:val="000000" w:themeColor="text1"/>
          <w:kern w:val="0"/>
          <w:szCs w:val="21"/>
          <w14:textFill>
            <w14:solidFill>
              <w14:schemeClr w14:val="tx1"/>
            </w14:solidFill>
          </w14:textFill>
        </w:rPr>
        <w:t>法人为</w:t>
      </w:r>
      <w:r>
        <w:rPr>
          <w:rFonts w:hint="eastAsia"/>
          <w:snapToGrid w:val="0"/>
          <w:color w:val="000000" w:themeColor="text1"/>
          <w:kern w:val="0"/>
          <w:szCs w:val="21"/>
          <w:u w:val="single"/>
          <w14:textFill>
            <w14:solidFill>
              <w14:schemeClr w14:val="tx1"/>
            </w14:solidFill>
          </w14:textFill>
        </w:rPr>
        <w:t xml:space="preserve"> </w:t>
      </w:r>
      <w:r>
        <w:rPr>
          <w:rFonts w:hint="eastAsia" w:eastAsia="宋体"/>
          <w:snapToGrid w:val="0"/>
          <w:color w:val="000000" w:themeColor="text1"/>
          <w:kern w:val="0"/>
          <w:szCs w:val="21"/>
          <w:u w:val="single"/>
          <w:lang w:eastAsia="zh-CN"/>
          <w14:textFill>
            <w14:solidFill>
              <w14:schemeClr w14:val="tx1"/>
            </w14:solidFill>
          </w14:textFill>
        </w:rPr>
        <w:t>嵊州市谷来镇人民政府</w:t>
      </w:r>
      <w:r>
        <w:rPr>
          <w:rFonts w:hint="eastAsia"/>
          <w:snapToGrid w:val="0"/>
          <w:color w:val="000000" w:themeColor="text1"/>
          <w:kern w:val="0"/>
          <w:szCs w:val="21"/>
          <w14:textFill>
            <w14:solidFill>
              <w14:schemeClr w14:val="tx1"/>
            </w14:solidFill>
          </w14:textFill>
        </w:rPr>
        <w:t>，招标人为</w:t>
      </w:r>
      <w:r>
        <w:rPr>
          <w:rFonts w:hint="eastAsia" w:eastAsia="宋体"/>
          <w:snapToGrid w:val="0"/>
          <w:color w:val="000000" w:themeColor="text1"/>
          <w:kern w:val="0"/>
          <w:szCs w:val="21"/>
          <w:u w:val="single"/>
          <w:lang w:eastAsia="zh-CN"/>
          <w14:textFill>
            <w14:solidFill>
              <w14:schemeClr w14:val="tx1"/>
            </w14:solidFill>
          </w14:textFill>
        </w:rPr>
        <w:t>嵊州市谷来镇人民政府</w:t>
      </w:r>
      <w:r>
        <w:rPr>
          <w:rFonts w:hint="eastAsia"/>
          <w:snapToGrid w:val="0"/>
          <w:color w:val="000000" w:themeColor="text1"/>
          <w:kern w:val="0"/>
          <w:szCs w:val="21"/>
          <w14:textFill>
            <w14:solidFill>
              <w14:schemeClr w14:val="tx1"/>
            </w14:solidFill>
          </w14:textFill>
        </w:rPr>
        <w:t>，招标代理</w:t>
      </w:r>
      <w:r>
        <w:rPr>
          <w:rFonts w:hint="eastAsia" w:eastAsia="宋体"/>
          <w:snapToGrid w:val="0"/>
          <w:color w:val="000000" w:themeColor="text1"/>
          <w:kern w:val="0"/>
          <w:szCs w:val="21"/>
          <w:lang w:val="en-US" w:eastAsia="zh-CN"/>
          <w14:textFill>
            <w14:solidFill>
              <w14:schemeClr w14:val="tx1"/>
            </w14:solidFill>
          </w14:textFill>
        </w:rPr>
        <w:t>机构</w:t>
      </w:r>
      <w:r>
        <w:rPr>
          <w:rFonts w:hint="eastAsia"/>
          <w:snapToGrid w:val="0"/>
          <w:color w:val="000000" w:themeColor="text1"/>
          <w:kern w:val="0"/>
          <w:szCs w:val="21"/>
          <w14:textFill>
            <w14:solidFill>
              <w14:schemeClr w14:val="tx1"/>
            </w14:solidFill>
          </w14:textFill>
        </w:rPr>
        <w:t>为</w:t>
      </w:r>
      <w:r>
        <w:rPr>
          <w:rFonts w:hint="eastAsia" w:eastAsia="宋体"/>
          <w:snapToGrid w:val="0"/>
          <w:color w:val="000000" w:themeColor="text1"/>
          <w:kern w:val="0"/>
          <w:szCs w:val="21"/>
          <w:u w:val="single"/>
          <w:lang w:val="en-US" w:eastAsia="zh-CN"/>
          <w14:textFill>
            <w14:solidFill>
              <w14:schemeClr w14:val="tx1"/>
            </w14:solidFill>
          </w14:textFill>
        </w:rPr>
        <w:t>欧邦工程管理集团有限公司</w:t>
      </w:r>
      <w:r>
        <w:rPr>
          <w:rFonts w:hint="eastAsia"/>
          <w:snapToGrid w:val="0"/>
          <w:color w:val="000000" w:themeColor="text1"/>
          <w:kern w:val="0"/>
          <w:szCs w:val="21"/>
          <w14:textFill>
            <w14:solidFill>
              <w14:schemeClr w14:val="tx1"/>
            </w14:solidFill>
          </w14:textFill>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000000" w:themeColor="text1"/>
          <w:highlight w:val="none"/>
          <w14:textFill>
            <w14:solidFill>
              <w14:schemeClr w14:val="tx1"/>
            </w14:solidFill>
          </w14:textFill>
        </w:rPr>
      </w:pPr>
      <w:bookmarkStart w:id="10" w:name="_Toc19197"/>
      <w:r>
        <w:rPr>
          <w:rFonts w:hint="eastAsia" w:ascii="宋体" w:hAnsi="宋体" w:eastAsia="宋体" w:cs="宋体"/>
          <w:b/>
          <w:bCs/>
          <w:color w:val="000000" w:themeColor="text1"/>
          <w:highlight w:val="none"/>
          <w14:textFill>
            <w14:solidFill>
              <w14:schemeClr w14:val="tx1"/>
            </w14:solidFill>
          </w14:textFill>
        </w:rPr>
        <w:t>2 项目概况与招标范围</w:t>
      </w:r>
      <w:bookmarkEnd w:id="10"/>
    </w:p>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 项目概况</w:t>
      </w:r>
      <w:r>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河道部分护岸建设总长约 2.55 千米，渠道建设长约 158 米，堰坝建设 6 座（其中 4 座为局部建设），踏步建设 6 处，护岸小路建设长约 668.2 米；龙潭顶山塘部分对原大坝进行挖除，新建 C15 细骨料混凝土砌石重力坝，对坝体、坝基进行防渗处理，新建溢流坝，新建放水设施，新建防汛抢险道路，增设水位观测设施及标识标牌。</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snapToGrid w:val="0"/>
          <w:color w:val="000000" w:themeColor="text1"/>
          <w:kern w:val="0"/>
          <w:szCs w:val="21"/>
          <w14:textFill>
            <w14:solidFill>
              <w14:schemeClr w14:val="tx1"/>
            </w14:solidFill>
          </w14:textFill>
        </w:rPr>
        <w:t>本工程概算总投资：</w:t>
      </w:r>
      <w:r>
        <w:rPr>
          <w:rFonts w:hint="eastAsia" w:eastAsia="宋体"/>
          <w:snapToGrid w:val="0"/>
          <w:color w:val="000000" w:themeColor="text1"/>
          <w:kern w:val="0"/>
          <w:szCs w:val="21"/>
          <w:u w:val="single"/>
          <w:lang w:val="en-US" w:eastAsia="zh-CN"/>
          <w14:textFill>
            <w14:solidFill>
              <w14:schemeClr w14:val="tx1"/>
            </w14:solidFill>
          </w14:textFill>
        </w:rPr>
        <w:t xml:space="preserve">9810000 </w:t>
      </w:r>
      <w:r>
        <w:rPr>
          <w:rFonts w:hint="eastAsia"/>
          <w:snapToGrid w:val="0"/>
          <w:color w:val="000000" w:themeColor="text1"/>
          <w:kern w:val="0"/>
          <w:szCs w:val="21"/>
          <w14:textFill>
            <w14:solidFill>
              <w14:schemeClr w14:val="tx1"/>
            </w14:solidFill>
          </w14:textFill>
        </w:rPr>
        <w:t>元，</w:t>
      </w:r>
      <w:r>
        <w:rPr>
          <w:rFonts w:hint="eastAsia"/>
          <w:snapToGrid w:val="0"/>
          <w:color w:val="000000" w:themeColor="text1"/>
          <w:szCs w:val="21"/>
          <w14:textFill>
            <w14:solidFill>
              <w14:schemeClr w14:val="tx1"/>
            </w14:solidFill>
          </w14:textFill>
        </w:rPr>
        <w:t>其中建安工程费</w:t>
      </w:r>
      <w:r>
        <w:rPr>
          <w:rFonts w:hint="eastAsia" w:eastAsia="宋体"/>
          <w:snapToGrid w:val="0"/>
          <w:color w:val="000000" w:themeColor="text1"/>
          <w:szCs w:val="21"/>
          <w:lang w:eastAsia="zh-CN"/>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 xml:space="preserve"> 8027200 </w:t>
      </w:r>
      <w:r>
        <w:rPr>
          <w:rFonts w:hint="eastAsia"/>
          <w:snapToGrid w:val="0"/>
          <w:color w:val="000000" w:themeColor="text1"/>
          <w:szCs w:val="21"/>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7472545</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szCs w:val="21"/>
          <w:u w:val="single"/>
          <w:lang w:val="en-US" w:eastAsia="zh-CN"/>
          <w14:textFill>
            <w14:solidFill>
              <w14:schemeClr w14:val="tx1"/>
            </w14:solidFill>
          </w14:textFill>
        </w:rPr>
        <w:t xml:space="preserve">200000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eastAsia="宋体"/>
          <w:snapToGrid w:val="0"/>
          <w:color w:val="000000" w:themeColor="text1"/>
          <w:szCs w:val="21"/>
          <w:u w:val="single"/>
          <w:lang w:val="en-US" w:eastAsia="zh-CN"/>
          <w14:textFill>
            <w14:solidFill>
              <w14:schemeClr w14:val="tx1"/>
            </w14:solidFill>
          </w14:textFill>
        </w:rPr>
        <w:t xml:space="preserve"> /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招标范围：本工程招标范围为嵊州市谷来镇 2023 年小流域建设工程施工图中的全部内容（详见工程量清单）。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计划工期：</w:t>
      </w:r>
      <w:r>
        <w:rPr>
          <w:rFonts w:hint="eastAsia" w:ascii="宋体" w:hAnsi="宋体" w:eastAsia="宋体" w:cs="宋体"/>
          <w:color w:val="000000" w:themeColor="text1"/>
          <w:highlight w:val="none"/>
          <w:u w:val="single"/>
          <w:lang w:val="en-US" w:eastAsia="zh-CN"/>
          <w14:textFill>
            <w14:solidFill>
              <w14:schemeClr w14:val="tx1"/>
            </w14:solidFill>
          </w14:textFill>
        </w:rPr>
        <w:t>365</w:t>
      </w:r>
      <w:r>
        <w:rPr>
          <w:rFonts w:hint="eastAsia" w:ascii="宋体" w:hAnsi="宋体" w:eastAsia="宋体" w:cs="宋体"/>
          <w:color w:val="000000" w:themeColor="text1"/>
          <w:highlight w:val="none"/>
          <w:u w:val="single"/>
          <w:lang w:eastAsia="zh-CN"/>
          <w14:textFill>
            <w14:solidFill>
              <w14:schemeClr w14:val="tx1"/>
            </w14:solidFill>
          </w14:textFill>
        </w:rPr>
        <w:t>日历天。</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1" w:name="_Toc18413"/>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000000" w:themeColor="text1"/>
          <w:highlight w:val="none"/>
          <w:u w:val="single"/>
          <w14:textFill>
            <w14:solidFill>
              <w14:schemeClr w14:val="tx1"/>
            </w14:solidFill>
          </w14:textFill>
        </w:rPr>
        <w:t>水利水电工程施工总承包</w:t>
      </w:r>
      <w:r>
        <w:rPr>
          <w:rFonts w:hint="eastAsia" w:ascii="宋体" w:hAnsi="宋体" w:eastAsia="宋体" w:cs="宋体"/>
          <w:color w:val="000000" w:themeColor="text1"/>
          <w:highlight w:val="none"/>
          <w:u w:val="single"/>
          <w:lang w:val="en-US" w:eastAsia="zh-CN"/>
          <w14:textFill>
            <w14:solidFill>
              <w14:schemeClr w14:val="tx1"/>
            </w14:solidFill>
          </w14:textFill>
        </w:rPr>
        <w:t>三</w:t>
      </w:r>
      <w:r>
        <w:rPr>
          <w:rFonts w:hint="eastAsia" w:ascii="宋体" w:hAnsi="宋体" w:eastAsia="宋体" w:cs="宋体"/>
          <w:color w:val="000000" w:themeColor="text1"/>
          <w:highlight w:val="none"/>
          <w:u w:val="single"/>
          <w14:textFill>
            <w14:solidFill>
              <w14:schemeClr w14:val="tx1"/>
            </w14:solidFill>
          </w14:textFill>
        </w:rPr>
        <w:t>级及以上资质</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6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28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lang w:bidi="ar"/>
          <w14:textFill>
            <w14:solidFill>
              <w14:schemeClr w14:val="tx1"/>
            </w14:solidFill>
          </w14:textFill>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000000" w:themeColor="text1"/>
          <w:highlight w:val="none"/>
          <w:lang w:val="en-US" w:eastAsia="zh-CN" w:bidi="ar"/>
          <w14:textFill>
            <w14:solidFill>
              <w14:schemeClr w14:val="tx1"/>
            </w14:solidFill>
          </w14:textFill>
        </w:rPr>
        <w:t>5</w:t>
      </w:r>
      <w:r>
        <w:rPr>
          <w:rFonts w:hint="eastAsia" w:ascii="宋体" w:hAnsi="宋体" w:eastAsia="宋体" w:cs="宋体"/>
          <w:color w:val="000000" w:themeColor="text1"/>
          <w:highlight w:val="none"/>
          <w:lang w:bidi="ar"/>
          <w14:textFill>
            <w14:solidFill>
              <w14:schemeClr w14:val="tx1"/>
            </w14:solidFill>
          </w14:textFill>
        </w:rPr>
        <w:t>.1 投标文件递交的截止时间（投标截止时间，下同）为</w:t>
      </w:r>
      <w:r>
        <w:rPr>
          <w:rFonts w:hint="eastAsia" w:ascii="宋体" w:hAnsi="宋体" w:eastAsia="宋体" w:cs="宋体"/>
          <w:color w:val="000000" w:themeColor="text1"/>
          <w:highlight w:val="none"/>
          <w:u w:val="single"/>
          <w:lang w:bidi="ar"/>
          <w14:textFill>
            <w14:solidFill>
              <w14:schemeClr w14:val="tx1"/>
            </w14:solidFill>
          </w14:textFill>
        </w:rPr>
        <w:t>2023</w:t>
      </w:r>
      <w:r>
        <w:rPr>
          <w:rFonts w:hint="eastAsia" w:ascii="宋体" w:hAnsi="宋体" w:eastAsia="宋体" w:cs="宋体"/>
          <w:color w:val="000000" w:themeColor="text1"/>
          <w:highlight w:val="none"/>
          <w:u w:val="none"/>
          <w:lang w:bidi="ar"/>
          <w14:textFill>
            <w14:solidFill>
              <w14:schemeClr w14:val="tx1"/>
            </w14:solidFill>
          </w14:textFill>
        </w:rPr>
        <w:t>年</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6 </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月</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28 </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日</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11</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 xml:space="preserve">时 </w:t>
      </w:r>
      <w:r>
        <w:rPr>
          <w:rFonts w:hint="eastAsia" w:ascii="宋体" w:hAnsi="宋体" w:eastAsia="宋体" w:cs="宋体"/>
          <w:color w:val="000000" w:themeColor="text1"/>
          <w:highlight w:val="none"/>
          <w:u w:val="single"/>
          <w:lang w:bidi="ar"/>
          <w14:textFill>
            <w14:solidFill>
              <w14:schemeClr w14:val="tx1"/>
            </w14:solidFill>
          </w14:textFill>
        </w:rPr>
        <w:t xml:space="preserve">00 </w:t>
      </w:r>
      <w:r>
        <w:rPr>
          <w:rFonts w:hint="eastAsia" w:ascii="宋体" w:hAnsi="宋体" w:eastAsia="宋体" w:cs="宋体"/>
          <w:color w:val="000000" w:themeColor="text1"/>
          <w:highlight w:val="none"/>
          <w:u w:val="none"/>
          <w:lang w:bidi="ar"/>
          <w14:textFill>
            <w14:solidFill>
              <w14:schemeClr w14:val="tx1"/>
            </w14:solidFill>
          </w14:textFill>
        </w:rPr>
        <w:t>分</w:t>
      </w:r>
      <w:r>
        <w:rPr>
          <w:rFonts w:hint="eastAsia" w:ascii="宋体" w:hAnsi="宋体" w:eastAsia="宋体" w:cs="宋体"/>
          <w:color w:val="000000" w:themeColor="text1"/>
          <w:highlight w:val="none"/>
          <w:lang w:bidi="ar"/>
          <w14:textFill>
            <w14:solidFill>
              <w14:schemeClr w14:val="tx1"/>
            </w14:solidFill>
          </w14:textFill>
        </w:rPr>
        <w:t>（北京时间，下同）。投标文件递交方式：投标人可采用现场递交的方式，由招标人及招标代理机构安排专人于</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6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28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u w:val="single"/>
          <w:lang w:val="en-US" w:eastAsia="zh-CN" w:bidi="ar"/>
          <w14:textFill>
            <w14:solidFill>
              <w14:schemeClr w14:val="tx1"/>
            </w14:solidFill>
          </w14:textFill>
        </w:rPr>
        <w:t>10</w:t>
      </w:r>
      <w:r>
        <w:rPr>
          <w:rFonts w:hint="eastAsia" w:ascii="宋体" w:hAnsi="宋体" w:eastAsia="宋体" w:cs="宋体"/>
          <w:color w:val="000000" w:themeColor="text1"/>
          <w:highlight w:val="none"/>
          <w:u w:val="single"/>
          <w:lang w:bidi="ar"/>
          <w14:textFill>
            <w14:solidFill>
              <w14:schemeClr w14:val="tx1"/>
            </w14:solidFill>
          </w14:textFill>
        </w:rPr>
        <w:t>时</w:t>
      </w:r>
      <w:r>
        <w:rPr>
          <w:rFonts w:hint="eastAsia" w:ascii="宋体" w:hAnsi="宋体" w:eastAsia="宋体" w:cs="宋体"/>
          <w:color w:val="000000" w:themeColor="text1"/>
          <w:highlight w:val="none"/>
          <w:u w:val="single"/>
          <w:lang w:val="en-US" w:eastAsia="zh-CN" w:bidi="ar"/>
          <w14:textFill>
            <w14:solidFill>
              <w14:schemeClr w14:val="tx1"/>
            </w14:solidFill>
          </w14:textFill>
        </w:rPr>
        <w:t>3</w:t>
      </w:r>
      <w:r>
        <w:rPr>
          <w:rFonts w:hint="eastAsia" w:ascii="宋体" w:hAnsi="宋体" w:eastAsia="宋体" w:cs="宋体"/>
          <w:color w:val="000000" w:themeColor="text1"/>
          <w:highlight w:val="none"/>
          <w:u w:val="single"/>
          <w:lang w:bidi="ar"/>
          <w14:textFill>
            <w14:solidFill>
              <w14:schemeClr w14:val="tx1"/>
            </w14:solidFill>
          </w14:textFill>
        </w:rPr>
        <w:t xml:space="preserve">0分~ </w:t>
      </w:r>
      <w:r>
        <w:rPr>
          <w:rFonts w:hint="eastAsia" w:ascii="宋体" w:hAnsi="宋体" w:eastAsia="宋体" w:cs="宋体"/>
          <w:color w:val="000000" w:themeColor="text1"/>
          <w:highlight w:val="none"/>
          <w:u w:val="single"/>
          <w:lang w:val="en-US" w:eastAsia="zh-CN" w:bidi="ar"/>
          <w14:textFill>
            <w14:solidFill>
              <w14:schemeClr w14:val="tx1"/>
            </w14:solidFill>
          </w14:textFill>
        </w:rPr>
        <w:t>11</w:t>
      </w:r>
      <w:r>
        <w:rPr>
          <w:rFonts w:hint="eastAsia" w:ascii="宋体" w:hAnsi="宋体" w:eastAsia="宋体" w:cs="宋体"/>
          <w:color w:val="000000" w:themeColor="text1"/>
          <w:highlight w:val="none"/>
          <w:u w:val="single"/>
          <w:lang w:bidi="ar"/>
          <w14:textFill>
            <w14:solidFill>
              <w14:schemeClr w14:val="tx1"/>
            </w14:solidFill>
          </w14:textFill>
        </w:rPr>
        <w:t>时00分</w:t>
      </w:r>
      <w:r>
        <w:rPr>
          <w:rFonts w:hint="eastAsia" w:ascii="宋体" w:hAnsi="宋体" w:eastAsia="宋体" w:cs="宋体"/>
          <w:color w:val="000000" w:themeColor="text1"/>
          <w:highlight w:val="none"/>
          <w:lang w:bidi="ar"/>
          <w14:textFill>
            <w14:solidFill>
              <w14:schemeClr w14:val="tx1"/>
            </w14:solidFill>
          </w14:textFill>
        </w:rPr>
        <w:t>负责投标文件接收，地点：嵊州市官河南路699号（嵊州市国际会展中心）北楼三楼二号开标室（嵊州市公共资源</w:t>
      </w:r>
      <w:r>
        <w:rPr>
          <w:rFonts w:hint="eastAsia" w:ascii="宋体" w:hAnsi="宋体" w:eastAsia="宋体" w:cs="宋体"/>
          <w:color w:val="auto"/>
          <w:highlight w:val="none"/>
          <w:lang w:bidi="ar"/>
        </w:rPr>
        <w:t>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376" w:firstLineChars="200"/>
        <w:jc w:val="both"/>
        <w:textAlignment w:val="baseline"/>
        <w:rPr>
          <w:rFonts w:ascii="宋体" w:hAnsi="宋体" w:eastAsia="宋体" w:cs="宋体"/>
          <w:color w:val="auto"/>
          <w:spacing w:val="-11"/>
          <w:sz w:val="21"/>
          <w:highlight w:val="none"/>
        </w:rPr>
      </w:pPr>
      <w:r>
        <w:rPr>
          <w:rFonts w:hint="eastAsia" w:ascii="宋体" w:hAnsi="宋体" w:eastAsia="宋体" w:cs="宋体"/>
          <w:color w:val="auto"/>
          <w:spacing w:val="-11"/>
          <w:sz w:val="21"/>
          <w:highlight w:val="none"/>
        </w:rPr>
        <w:t>本次招标公告同时在</w:t>
      </w:r>
      <w:r>
        <w:rPr>
          <w:rFonts w:hint="eastAsia" w:ascii="宋体" w:hAnsi="宋体" w:eastAsia="宋体" w:cs="宋体"/>
          <w:color w:val="auto"/>
          <w:spacing w:val="-11"/>
          <w:sz w:val="21"/>
          <w:highlight w:val="none"/>
          <w:u w:val="single"/>
        </w:rPr>
        <w:t>嵊州市人民政府门户网站公共资源交易平台</w:t>
      </w:r>
      <w:r>
        <w:rPr>
          <w:rFonts w:hint="eastAsia" w:ascii="宋体" w:hAnsi="宋体" w:eastAsia="宋体" w:cs="宋体"/>
          <w:color w:val="auto"/>
          <w:spacing w:val="-11"/>
          <w:sz w:val="21"/>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sz w:val="21"/>
          <w:szCs w:val="21"/>
          <w:u w:val="single"/>
        </w:rPr>
      </w:pPr>
      <w:r>
        <w:rPr>
          <w:rFonts w:hint="eastAsia"/>
          <w:sz w:val="21"/>
          <w:szCs w:val="21"/>
        </w:rPr>
        <w:t>招 标 人：</w:t>
      </w:r>
      <w:r>
        <w:rPr>
          <w:rFonts w:hint="eastAsia"/>
          <w:sz w:val="21"/>
          <w:szCs w:val="21"/>
          <w:u w:val="single"/>
        </w:rPr>
        <w:t xml:space="preserve"> </w:t>
      </w:r>
      <w:r>
        <w:rPr>
          <w:rFonts w:hint="eastAsia" w:eastAsia="宋体"/>
          <w:sz w:val="21"/>
          <w:szCs w:val="21"/>
          <w:u w:val="single"/>
          <w:lang w:eastAsia="zh-CN"/>
        </w:rPr>
        <w:t>嵊州市谷来镇人民政府</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招标代理机构：</w:t>
      </w:r>
      <w:r>
        <w:rPr>
          <w:rFonts w:hint="eastAsia" w:eastAsia="宋体"/>
          <w:sz w:val="21"/>
          <w:szCs w:val="21"/>
          <w:u w:val="single"/>
          <w:lang w:val="en-US" w:eastAsia="zh-CN"/>
        </w:rPr>
        <w:t>欧邦工程管理集团有限公司</w:t>
      </w:r>
      <w:r>
        <w:rPr>
          <w:rFonts w:hint="eastAsia"/>
          <w:sz w:val="21"/>
          <w:szCs w:val="21"/>
          <w:u w:val="single"/>
        </w:rPr>
        <w:t xml:space="preserve"> </w:t>
      </w:r>
      <w:r>
        <w:rPr>
          <w:rFonts w:hint="eastAsia"/>
          <w:sz w:val="21"/>
          <w:szCs w:val="21"/>
        </w:rPr>
        <w:t>　　</w:t>
      </w:r>
    </w:p>
    <w:p>
      <w:pPr>
        <w:widowControl/>
        <w:spacing w:line="460" w:lineRule="exact"/>
        <w:ind w:left="4830" w:hanging="4830" w:hangingChars="2300"/>
        <w:jc w:val="left"/>
        <w:rPr>
          <w:sz w:val="21"/>
          <w:szCs w:val="21"/>
        </w:rPr>
      </w:pPr>
      <w:r>
        <w:rPr>
          <w:rFonts w:hint="eastAsia"/>
          <w:sz w:val="21"/>
          <w:szCs w:val="21"/>
        </w:rPr>
        <w:t>地　　址：</w:t>
      </w:r>
      <w:r>
        <w:rPr>
          <w:rFonts w:hint="eastAsia" w:eastAsia="宋体"/>
          <w:sz w:val="21"/>
          <w:szCs w:val="21"/>
          <w:u w:val="single"/>
          <w:lang w:eastAsia="zh-CN"/>
        </w:rPr>
        <w:t>嵊州市谷来镇振兴路119号</w:t>
      </w:r>
      <w:r>
        <w:rPr>
          <w:rFonts w:hint="eastAsia"/>
          <w:sz w:val="21"/>
          <w:szCs w:val="21"/>
        </w:rPr>
        <w:t xml:space="preserve"> </w:t>
      </w:r>
      <w:r>
        <w:rPr>
          <w:rFonts w:hint="eastAsia"/>
          <w:sz w:val="21"/>
          <w:szCs w:val="21"/>
          <w:lang w:val="en-US" w:eastAsia="zh-CN"/>
        </w:rPr>
        <w:t xml:space="preserve">         </w:t>
      </w:r>
      <w:r>
        <w:rPr>
          <w:rFonts w:hint="eastAsia"/>
          <w:sz w:val="21"/>
          <w:szCs w:val="21"/>
        </w:rPr>
        <w:t>地</w:t>
      </w:r>
      <w:r>
        <w:rPr>
          <w:rFonts w:hint="eastAsia" w:eastAsia="宋体"/>
          <w:sz w:val="21"/>
          <w:szCs w:val="21"/>
          <w:lang w:val="en-US" w:eastAsia="zh-CN"/>
        </w:rPr>
        <w:t xml:space="preserve">  </w:t>
      </w:r>
      <w:r>
        <w:rPr>
          <w:rFonts w:hint="eastAsia"/>
          <w:sz w:val="21"/>
          <w:szCs w:val="21"/>
        </w:rPr>
        <w:t>址：</w:t>
      </w:r>
      <w:r>
        <w:rPr>
          <w:rFonts w:hint="eastAsia" w:eastAsia="宋体" w:cs="宋体"/>
          <w:iCs/>
          <w:color w:val="000000"/>
          <w:spacing w:val="-8"/>
          <w:sz w:val="21"/>
          <w:szCs w:val="21"/>
          <w:u w:val="single"/>
          <w:lang w:eastAsia="zh-CN"/>
        </w:rPr>
        <w:t>嵊州市三江街道</w:t>
      </w:r>
      <w:r>
        <w:rPr>
          <w:rFonts w:hint="eastAsia" w:eastAsia="宋体" w:cs="宋体"/>
          <w:iCs/>
          <w:color w:val="000000"/>
          <w:spacing w:val="-8"/>
          <w:sz w:val="21"/>
          <w:szCs w:val="21"/>
          <w:u w:val="single"/>
          <w:lang w:val="en-US" w:eastAsia="zh-CN"/>
        </w:rPr>
        <w:t>领带园二路天池创业园1号楼404室</w:t>
      </w:r>
      <w:r>
        <w:rPr>
          <w:rFonts w:hint="eastAsia"/>
          <w:spacing w:val="-8"/>
          <w:sz w:val="21"/>
          <w:szCs w:val="21"/>
        </w:rPr>
        <w:t xml:space="preserve"> </w:t>
      </w:r>
      <w:r>
        <w:rPr>
          <w:rFonts w:hint="eastAsia"/>
          <w:sz w:val="21"/>
          <w:szCs w:val="21"/>
        </w:rPr>
        <w:t xml:space="preserve">                                        </w:t>
      </w:r>
    </w:p>
    <w:p>
      <w:pPr>
        <w:spacing w:line="460" w:lineRule="exact"/>
        <w:rPr>
          <w:sz w:val="21"/>
          <w:szCs w:val="21"/>
        </w:rPr>
      </w:pPr>
      <w:r>
        <w:rPr>
          <w:rFonts w:hint="eastAsia"/>
          <w:sz w:val="21"/>
          <w:szCs w:val="21"/>
        </w:rPr>
        <w:t>邮    编：</w:t>
      </w:r>
      <w:r>
        <w:rPr>
          <w:rFonts w:hint="eastAsia"/>
          <w:sz w:val="21"/>
          <w:szCs w:val="21"/>
          <w:u w:val="single"/>
        </w:rPr>
        <w:t xml:space="preserve">            312400           　　   </w:t>
      </w:r>
      <w:r>
        <w:rPr>
          <w:rFonts w:hint="eastAsia"/>
          <w:sz w:val="21"/>
          <w:szCs w:val="21"/>
        </w:rPr>
        <w:t xml:space="preserve">   </w:t>
      </w:r>
      <w:r>
        <w:rPr>
          <w:rFonts w:hint="eastAsia"/>
          <w:sz w:val="21"/>
          <w:szCs w:val="21"/>
          <w:lang w:val="en-US" w:eastAsia="zh-CN"/>
        </w:rPr>
        <w:t xml:space="preserve">        </w:t>
      </w:r>
      <w:r>
        <w:rPr>
          <w:rFonts w:hint="eastAsia"/>
          <w:sz w:val="21"/>
          <w:szCs w:val="21"/>
        </w:rPr>
        <w:t>邮    编：</w:t>
      </w:r>
      <w:r>
        <w:rPr>
          <w:rFonts w:hint="eastAsia"/>
          <w:sz w:val="21"/>
          <w:szCs w:val="21"/>
          <w:u w:val="single"/>
        </w:rPr>
        <w:t xml:space="preserve">              312400             </w:t>
      </w:r>
      <w:r>
        <w:rPr>
          <w:rFonts w:hint="eastAsia"/>
          <w:sz w:val="21"/>
          <w:szCs w:val="21"/>
        </w:rPr>
        <w:t xml:space="preserve">    </w:t>
      </w:r>
    </w:p>
    <w:p>
      <w:pPr>
        <w:spacing w:line="460" w:lineRule="exact"/>
        <w:rPr>
          <w:color w:val="000000" w:themeColor="text1"/>
          <w:sz w:val="21"/>
          <w:szCs w:val="21"/>
          <w14:textFill>
            <w14:solidFill>
              <w14:schemeClr w14:val="tx1"/>
            </w14:solidFill>
          </w14:textFill>
        </w:rPr>
      </w:pPr>
      <w:r>
        <w:rPr>
          <w:rFonts w:hint="eastAsia"/>
          <w:sz w:val="21"/>
          <w:szCs w:val="21"/>
        </w:rPr>
        <w:t>联 系 人：</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eastAsia="宋体"/>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杨晓腾</w:t>
      </w:r>
      <w:r>
        <w:rPr>
          <w:rFonts w:hint="eastAsia"/>
          <w:color w:val="000000" w:themeColor="text1"/>
          <w:szCs w:val="21"/>
          <w:u w:val="single"/>
          <w14:textFill>
            <w14:solidFill>
              <w14:schemeClr w14:val="tx1"/>
            </w14:solidFill>
          </w14:textFill>
        </w:rPr>
        <w:t xml:space="preserve"> </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联 系 人：</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 xml:space="preserve">张工  </w:t>
      </w:r>
      <w:r>
        <w:rPr>
          <w:rFonts w:hint="eastAsia"/>
          <w:color w:val="000000" w:themeColor="text1"/>
          <w:sz w:val="21"/>
          <w:szCs w:val="21"/>
          <w:u w:val="single"/>
          <w14:textFill>
            <w14:solidFill>
              <w14:schemeClr w14:val="tx1"/>
            </w14:solidFill>
          </w14:textFill>
        </w:rPr>
        <w:t xml:space="preserve">            </w:t>
      </w:r>
    </w:p>
    <w:p>
      <w:pPr>
        <w:spacing w:line="440" w:lineRule="exact"/>
        <w:rPr>
          <w:rFonts w:hint="eastAsia"/>
          <w:sz w:val="21"/>
          <w:szCs w:val="21"/>
          <w:u w:val="single"/>
        </w:rPr>
      </w:pPr>
      <w:r>
        <w:rPr>
          <w:rFonts w:hint="eastAsia"/>
          <w:color w:val="000000" w:themeColor="text1"/>
          <w:sz w:val="21"/>
          <w:szCs w:val="21"/>
          <w14:textFill>
            <w14:solidFill>
              <w14:schemeClr w14:val="tx1"/>
            </w14:solidFill>
          </w14:textFill>
        </w:rPr>
        <w:t>电    话：</w:t>
      </w:r>
      <w:r>
        <w:rPr>
          <w:rFonts w:hint="eastAsia"/>
          <w:color w:val="000000" w:themeColor="text1"/>
          <w:sz w:val="21"/>
          <w:szCs w:val="21"/>
          <w:u w:val="single"/>
          <w14:textFill>
            <w14:solidFill>
              <w14:schemeClr w14:val="tx1"/>
            </w14:solidFill>
          </w14:textFill>
        </w:rPr>
        <w:t xml:space="preserve">    </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0575-89307517</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eastAsia="宋体"/>
          <w:sz w:val="21"/>
          <w:szCs w:val="21"/>
          <w:lang w:val="en-US" w:eastAsia="zh-CN"/>
        </w:rPr>
        <w:t xml:space="preserve"> </w:t>
      </w:r>
      <w:r>
        <w:rPr>
          <w:rFonts w:hint="eastAsia"/>
          <w:sz w:val="21"/>
          <w:szCs w:val="21"/>
        </w:rPr>
        <w:t>电    话：</w:t>
      </w:r>
      <w:r>
        <w:rPr>
          <w:rFonts w:hint="eastAsia"/>
          <w:sz w:val="21"/>
          <w:szCs w:val="21"/>
          <w:u w:val="single"/>
        </w:rPr>
        <w:t xml:space="preserve">  </w:t>
      </w:r>
      <w:r>
        <w:rPr>
          <w:rFonts w:hint="eastAsia" w:eastAsia="宋体"/>
          <w:sz w:val="21"/>
          <w:szCs w:val="21"/>
          <w:u w:val="single"/>
          <w:lang w:val="en-US" w:eastAsia="zh-CN"/>
        </w:rPr>
        <w:t>18258091702</w:t>
      </w:r>
      <w:r>
        <w:rPr>
          <w:rFonts w:hint="eastAsia"/>
          <w:sz w:val="21"/>
          <w:szCs w:val="21"/>
          <w:u w:val="single"/>
        </w:rPr>
        <w:t xml:space="preserve">     </w:t>
      </w:r>
    </w:p>
    <w:p>
      <w:pPr>
        <w:spacing w:line="440" w:lineRule="exact"/>
        <w:rPr>
          <w:sz w:val="21"/>
          <w:szCs w:val="21"/>
          <w:u w:val="single"/>
        </w:rPr>
      </w:pPr>
      <w:r>
        <w:rPr>
          <w:rFonts w:hint="eastAsia"/>
          <w:sz w:val="21"/>
          <w:szCs w:val="21"/>
        </w:rPr>
        <w:t>传    真：</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传    真：</w:t>
      </w:r>
      <w:r>
        <w:rPr>
          <w:rFonts w:hint="eastAsia"/>
          <w:sz w:val="21"/>
          <w:szCs w:val="21"/>
          <w:u w:val="single"/>
        </w:rPr>
        <w:t xml:space="preserve">                                 </w:t>
      </w:r>
      <w:r>
        <w:rPr>
          <w:rFonts w:hint="eastAsia"/>
          <w:sz w:val="21"/>
          <w:szCs w:val="21"/>
        </w:rPr>
        <w:t xml:space="preserve">    </w:t>
      </w:r>
    </w:p>
    <w:p>
      <w:pPr>
        <w:spacing w:line="460" w:lineRule="exact"/>
        <w:rPr>
          <w:rFonts w:hint="eastAsia"/>
          <w:sz w:val="21"/>
          <w:szCs w:val="21"/>
        </w:rPr>
      </w:pP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18"/>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w:t>
            </w:r>
            <w:r>
              <w:rPr>
                <w:rFonts w:hint="eastAsia" w:ascii="宋体" w:hAnsi="宋体" w:eastAsia="宋体" w:cs="宋体"/>
                <w:color w:val="000000" w:themeColor="text1"/>
                <w:kern w:val="2"/>
                <w:highlight w:val="none"/>
                <w14:textFill>
                  <w14:solidFill>
                    <w14:schemeClr w14:val="tx1"/>
                  </w14:solidFill>
                </w14:textFill>
              </w:rPr>
              <w:t>具备</w:t>
            </w:r>
            <w:r>
              <w:rPr>
                <w:rFonts w:hint="eastAsia" w:ascii="宋体" w:hAnsi="宋体" w:eastAsia="宋体" w:cs="宋体"/>
                <w:color w:val="000000" w:themeColor="text1"/>
                <w:kern w:val="2"/>
                <w:highlight w:val="none"/>
                <w:u w:val="single"/>
                <w14:textFill>
                  <w14:solidFill>
                    <w14:schemeClr w14:val="tx1"/>
                  </w14:solidFill>
                </w14:textFill>
              </w:rPr>
              <w:t>水利水电工程施工总承包</w:t>
            </w:r>
            <w:r>
              <w:rPr>
                <w:rFonts w:hint="eastAsia" w:ascii="宋体" w:hAnsi="宋体" w:eastAsia="宋体" w:cs="宋体"/>
                <w:color w:val="000000" w:themeColor="text1"/>
                <w:kern w:val="2"/>
                <w:highlight w:val="none"/>
                <w:u w:val="single"/>
                <w:lang w:val="en-US" w:eastAsia="zh-CN"/>
                <w14:textFill>
                  <w14:solidFill>
                    <w14:schemeClr w14:val="tx1"/>
                  </w14:solidFill>
                </w14:textFill>
              </w:rPr>
              <w:t>三</w:t>
            </w:r>
            <w:r>
              <w:rPr>
                <w:rFonts w:hint="eastAsia" w:ascii="宋体" w:hAnsi="宋体" w:eastAsia="宋体" w:cs="宋体"/>
                <w:color w:val="000000" w:themeColor="text1"/>
                <w:kern w:val="2"/>
                <w:highlight w:val="none"/>
                <w:u w:val="single"/>
                <w14:textFill>
                  <w14:solidFill>
                    <w14:schemeClr w14:val="tx1"/>
                  </w14:solidFill>
                </w14:textFill>
              </w:rPr>
              <w:t>级及以上</w:t>
            </w:r>
            <w:r>
              <w:rPr>
                <w:rFonts w:hint="eastAsia" w:ascii="宋体" w:hAnsi="宋体" w:eastAsia="宋体" w:cs="宋体"/>
                <w:color w:val="000000" w:themeColor="text1"/>
                <w:kern w:val="2"/>
                <w:highlight w:val="none"/>
                <w14:textFill>
                  <w14:solidFill>
                    <w14:schemeClr w14:val="tx1"/>
                  </w14:solidFill>
                </w14:textFill>
              </w:rPr>
              <w:t>资质</w:t>
            </w:r>
            <w:r>
              <w:rPr>
                <w:rFonts w:hint="eastAsia" w:ascii="宋体" w:hAnsi="宋体" w:eastAsia="宋体" w:cs="宋体"/>
                <w:color w:val="000000" w:themeColor="text1"/>
                <w:highlight w:val="none"/>
                <w14:textFill>
                  <w14:solidFill>
                    <w14:schemeClr w14:val="tx1"/>
                  </w14:solidFill>
                </w14:textFill>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不接受 </w:t>
            </w:r>
            <w:r>
              <w:rPr>
                <w:rFonts w:hint="eastAsia" w:ascii="宋体" w:hAnsi="宋体" w:eastAsia="宋体" w:cs="宋体"/>
                <w:color w:val="000000" w:themeColor="text1"/>
                <w:highlight w:val="none"/>
                <w14:textFill>
                  <w14:solidFill>
                    <w14:schemeClr w14:val="tx1"/>
                  </w14:solidFill>
                </w14:textFill>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投标人及其法定代表人自</w:t>
            </w:r>
            <w:r>
              <w:rPr>
                <w:rFonts w:hint="eastAsia" w:ascii="宋体" w:hAnsi="宋体" w:eastAsia="宋体" w:cs="宋体"/>
                <w:color w:val="000000" w:themeColor="text1"/>
                <w:highlight w:val="none"/>
                <w:u w:val="single"/>
                <w14:textFill>
                  <w14:solidFill>
                    <w14:schemeClr w14:val="tx1"/>
                  </w14:solidFill>
                </w14:textFill>
              </w:rPr>
              <w:t xml:space="preserve"> 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项目负责人应持有注册在投标人单位的</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14:textFill>
                  <w14:solidFill>
                    <w14:schemeClr w14:val="tx1"/>
                  </w14:solidFill>
                </w14:textFill>
              </w:rPr>
              <w:t>水利水电工程二级及以上建造师执业资格</w:t>
            </w:r>
            <w:r>
              <w:rPr>
                <w:rFonts w:hint="eastAsia" w:ascii="宋体" w:hAnsi="宋体" w:eastAsia="宋体" w:cs="宋体"/>
                <w:color w:val="000000" w:themeColor="text1"/>
                <w:highlight w:val="none"/>
                <w14:textFill>
                  <w14:solidFill>
                    <w14:schemeClr w14:val="tx1"/>
                  </w14:solidFill>
                </w14:textFill>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项目负责人自</w:t>
            </w:r>
            <w:r>
              <w:rPr>
                <w:rFonts w:hint="eastAsia" w:ascii="宋体" w:hAnsi="宋体" w:eastAsia="宋体" w:cs="宋体"/>
                <w:color w:val="000000" w:themeColor="text1"/>
                <w:highlight w:val="none"/>
                <w:u w:val="single"/>
                <w14:textFill>
                  <w14:solidFill>
                    <w14:schemeClr w14:val="tx1"/>
                  </w14:solidFill>
                </w14:textFill>
              </w:rPr>
              <w:t xml:space="preserve">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法定代表人的委托代理人（如有）及拟派项目组主要人员应为投标人本单位正式员工。项目负责人</w:t>
            </w:r>
            <w:r>
              <w:rPr>
                <w:rFonts w:hint="eastAsia" w:ascii="宋体" w:hAnsi="宋体"/>
                <w:snapToGrid w:val="0"/>
                <w:color w:val="000000" w:themeColor="text1"/>
                <w:szCs w:val="21"/>
                <w14:textFill>
                  <w14:solidFill>
                    <w14:schemeClr w14:val="tx1"/>
                  </w14:solidFill>
                </w14:textFill>
              </w:rPr>
              <w:t>须提供开标前</w:t>
            </w:r>
            <w:r>
              <w:rPr>
                <w:rFonts w:hint="eastAsia" w:ascii="宋体" w:hAnsi="宋体"/>
                <w:snapToGrid w:val="0"/>
                <w:color w:val="000000" w:themeColor="text1"/>
                <w:szCs w:val="21"/>
                <w:lang w:val="en-US" w:eastAsia="zh-CN"/>
                <w14:textFill>
                  <w14:solidFill>
                    <w14:schemeClr w14:val="tx1"/>
                  </w14:solidFill>
                </w14:textFill>
              </w:rPr>
              <w:t>六</w:t>
            </w:r>
            <w:r>
              <w:rPr>
                <w:rFonts w:hint="eastAsia" w:ascii="宋体" w:hAnsi="宋体"/>
                <w:snapToGrid w:val="0"/>
                <w:color w:val="000000" w:themeColor="text1"/>
                <w:szCs w:val="21"/>
                <w14:textFill>
                  <w14:solidFill>
                    <w14:schemeClr w14:val="tx1"/>
                  </w14:solidFill>
                </w14:textFill>
              </w:rPr>
              <w:t>个月投标申请人所属社保机构养老保险交纳清单或证明</w:t>
            </w:r>
            <w:r>
              <w:rPr>
                <w:rFonts w:hint="eastAsia" w:ascii="宋体" w:hAnsi="宋体" w:eastAsia="宋体"/>
                <w:snapToGrid w:val="0"/>
                <w:color w:val="000000" w:themeColor="text1"/>
                <w:szCs w:val="21"/>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如</w:t>
            </w:r>
            <w:r>
              <w:rPr>
                <w:rFonts w:hint="eastAsia" w:ascii="宋体" w:hAnsi="宋体"/>
                <w:snapToGrid w:val="0"/>
                <w:color w:val="000000" w:themeColor="text1"/>
                <w:szCs w:val="21"/>
                <w:highlight w:val="none"/>
                <w14:textFill>
                  <w14:solidFill>
                    <w14:schemeClr w14:val="tx1"/>
                  </w14:solidFill>
                </w14:textFill>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4"/>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名称：</w:t>
            </w:r>
            <w:r>
              <w:rPr>
                <w:rFonts w:hint="eastAsia" w:eastAsiaTheme="minorEastAsia"/>
                <w:color w:val="000000" w:themeColor="text1"/>
                <w:sz w:val="21"/>
                <w:szCs w:val="21"/>
                <w:u w:val="none"/>
                <w:lang w:eastAsia="zh-CN"/>
                <w14:textFill>
                  <w14:solidFill>
                    <w14:schemeClr w14:val="tx1"/>
                  </w14:solidFill>
                </w14:textFill>
              </w:rPr>
              <w:t>嵊州市谷来镇人民政府</w:t>
            </w:r>
          </w:p>
          <w:p>
            <w:pPr>
              <w:spacing w:before="10" w:after="10" w:line="360" w:lineRule="exact"/>
              <w:ind w:left="42" w:leftChars="20" w:right="42" w:rightChars="20"/>
              <w:jc w:val="both"/>
              <w:rPr>
                <w:rFonts w:hint="default" w:eastAsiaTheme="minor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地址：</w:t>
            </w:r>
            <w:r>
              <w:rPr>
                <w:rFonts w:hint="eastAsia" w:eastAsiaTheme="minorEastAsia"/>
                <w:color w:val="000000" w:themeColor="text1"/>
                <w:sz w:val="21"/>
                <w:szCs w:val="21"/>
                <w:u w:val="none"/>
                <w:lang w:eastAsia="zh-CN"/>
                <w14:textFill>
                  <w14:solidFill>
                    <w14:schemeClr w14:val="tx1"/>
                  </w14:solidFill>
                </w14:textFill>
              </w:rPr>
              <w:t xml:space="preserve">嵊州市谷来镇振兴路119号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w:t>
            </w:r>
            <w:r>
              <w:rPr>
                <w:rFonts w:hint="eastAsia"/>
                <w:color w:val="000000" w:themeColor="text1"/>
                <w:sz w:val="21"/>
                <w:szCs w:val="21"/>
                <w:u w:val="none"/>
                <w14:textFill>
                  <w14:solidFill>
                    <w14:schemeClr w14:val="tx1"/>
                  </w14:solidFill>
                </w14:textFill>
              </w:rPr>
              <w:t xml:space="preserve"> </w:t>
            </w:r>
            <w:r>
              <w:rPr>
                <w:rFonts w:hint="eastAsia"/>
                <w:color w:val="000000" w:themeColor="text1"/>
                <w:sz w:val="21"/>
                <w:szCs w:val="21"/>
                <w:u w:val="none"/>
                <w:lang w:val="en-US" w:eastAsia="zh-CN"/>
                <w14:textFill>
                  <w14:solidFill>
                    <w14:schemeClr w14:val="tx1"/>
                  </w14:solidFill>
                </w14:textFill>
              </w:rPr>
              <w:t>杨晓腾</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w:t>
            </w:r>
            <w:r>
              <w:rPr>
                <w:rFonts w:hint="eastAsia"/>
                <w:color w:val="000000" w:themeColor="text1"/>
                <w:sz w:val="21"/>
                <w:szCs w:val="21"/>
                <w:u w:val="none"/>
                <w:lang w:val="en-US" w:eastAsia="zh-CN"/>
                <w14:textFill>
                  <w14:solidFill>
                    <w14:schemeClr w14:val="tx1"/>
                  </w14:solidFill>
                </w14:textFill>
              </w:rPr>
              <w:t>0575-89307517</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default" w:eastAsia="宋体"/>
                <w:snapToGrid w:val="0"/>
                <w:color w:val="000000" w:themeColor="text1"/>
                <w:szCs w:val="21"/>
                <w:lang w:val="en-US" w:eastAsia="zh-CN"/>
                <w14:textFill>
                  <w14:solidFill>
                    <w14:schemeClr w14:val="tx1"/>
                  </w14:solidFill>
                </w14:textFill>
              </w:rPr>
            </w:pPr>
            <w:r>
              <w:rPr>
                <w:snapToGrid w:val="0"/>
                <w:color w:val="000000" w:themeColor="text1"/>
                <w:szCs w:val="21"/>
                <w14:textFill>
                  <w14:solidFill>
                    <w14:schemeClr w14:val="tx1"/>
                  </w14:solidFill>
                </w14:textFill>
              </w:rPr>
              <w:t>名</w:t>
            </w:r>
            <w:r>
              <w:rPr>
                <w:rFonts w:hint="eastAsia"/>
                <w:snapToGrid w:val="0"/>
                <w:color w:val="000000" w:themeColor="text1"/>
                <w:szCs w:val="21"/>
                <w14:textFill>
                  <w14:solidFill>
                    <w14:schemeClr w14:val="tx1"/>
                  </w14:solidFill>
                </w14:textFill>
              </w:rPr>
              <w:t>称：</w:t>
            </w:r>
            <w:r>
              <w:rPr>
                <w:rFonts w:hint="eastAsia" w:eastAsia="宋体"/>
                <w:snapToGrid w:val="0"/>
                <w:color w:val="000000" w:themeColor="text1"/>
                <w:szCs w:val="21"/>
                <w:lang w:val="en-US" w:eastAsia="zh-CN"/>
                <w14:textFill>
                  <w14:solidFill>
                    <w14:schemeClr w14:val="tx1"/>
                  </w14:solidFill>
                </w14:textFill>
              </w:rPr>
              <w:t>欧邦工程管理集团有限公司</w:t>
            </w:r>
          </w:p>
          <w:p>
            <w:pPr>
              <w:spacing w:line="400" w:lineRule="exact"/>
              <w:rPr>
                <w:rFonts w:hint="eastAsia" w:eastAsia="宋体"/>
                <w:snapToGrid w:val="0"/>
                <w:color w:val="000000" w:themeColor="text1"/>
                <w:szCs w:val="21"/>
                <w:lang w:eastAsia="zh-CN"/>
                <w14:textFill>
                  <w14:solidFill>
                    <w14:schemeClr w14:val="tx1"/>
                  </w14:solidFill>
                </w14:textFill>
              </w:rPr>
            </w:pPr>
            <w:r>
              <w:rPr>
                <w:rFonts w:hint="eastAsia"/>
                <w:snapToGrid w:val="0"/>
                <w:color w:val="000000" w:themeColor="text1"/>
                <w:szCs w:val="21"/>
                <w14:textFill>
                  <w14:solidFill>
                    <w14:schemeClr w14:val="tx1"/>
                  </w14:solidFill>
                </w14:textFill>
              </w:rPr>
              <w:t>地址：</w:t>
            </w:r>
            <w:r>
              <w:rPr>
                <w:rFonts w:hint="eastAsia" w:eastAsia="宋体"/>
                <w:snapToGrid w:val="0"/>
                <w:color w:val="000000" w:themeColor="text1"/>
                <w:szCs w:val="21"/>
                <w:lang w:eastAsia="zh-CN"/>
                <w14:textFill>
                  <w14:solidFill>
                    <w14:schemeClr w14:val="tx1"/>
                  </w14:solidFill>
                </w14:textFill>
              </w:rPr>
              <w:t xml:space="preserve">嵊州市三江街道领带园二路天池创业园1号楼404室 </w:t>
            </w:r>
          </w:p>
          <w:p>
            <w:pPr>
              <w:spacing w:line="400" w:lineRule="exact"/>
              <w:rPr>
                <w:rFonts w:hint="default"/>
                <w:snapToGrid w:val="0"/>
                <w:color w:val="000000" w:themeColor="text1"/>
                <w:szCs w:val="21"/>
                <w:lang w:val="en-US"/>
                <w14:textFill>
                  <w14:solidFill>
                    <w14:schemeClr w14:val="tx1"/>
                  </w14:solidFill>
                </w14:textFill>
              </w:rPr>
            </w:pPr>
            <w:r>
              <w:rPr>
                <w:rFonts w:hint="eastAsia"/>
                <w:snapToGrid w:val="0"/>
                <w:color w:val="000000" w:themeColor="text1"/>
                <w:szCs w:val="21"/>
                <w14:textFill>
                  <w14:solidFill>
                    <w14:schemeClr w14:val="tx1"/>
                  </w14:solidFill>
                </w14:textFill>
              </w:rPr>
              <w:t>联系人：</w:t>
            </w:r>
            <w:r>
              <w:rPr>
                <w:rFonts w:hint="eastAsia" w:eastAsia="宋体"/>
                <w:snapToGrid w:val="0"/>
                <w:color w:val="000000" w:themeColor="text1"/>
                <w:szCs w:val="21"/>
                <w:lang w:val="en-US" w:eastAsia="zh-CN"/>
                <w14:textFill>
                  <w14:solidFill>
                    <w14:schemeClr w14:val="tx1"/>
                  </w14:solidFill>
                </w14:textFill>
              </w:rPr>
              <w:t>张 工</w:t>
            </w:r>
          </w:p>
          <w:p>
            <w:pPr>
              <w:spacing w:line="400" w:lineRule="exact"/>
              <w:rPr>
                <w:rFonts w:hint="default" w:eastAsia="宋体"/>
                <w:snapToGrid w:val="0"/>
                <w:color w:val="000000" w:themeColor="text1"/>
                <w:szCs w:val="21"/>
                <w:lang w:val="en-US" w:eastAsia="zh-CN"/>
                <w14:textFill>
                  <w14:solidFill>
                    <w14:schemeClr w14:val="tx1"/>
                  </w14:solidFill>
                </w14:textFill>
              </w:rPr>
            </w:pPr>
            <w:r>
              <w:rPr>
                <w:rFonts w:hint="eastAsia"/>
                <w:snapToGrid w:val="0"/>
                <w:color w:val="000000" w:themeColor="text1"/>
                <w:szCs w:val="21"/>
                <w14:textFill>
                  <w14:solidFill>
                    <w14:schemeClr w14:val="tx1"/>
                  </w14:solidFill>
                </w14:textFill>
              </w:rPr>
              <w:t>电话：</w:t>
            </w:r>
            <w:r>
              <w:rPr>
                <w:rFonts w:hint="eastAsia" w:eastAsia="宋体"/>
                <w:snapToGrid w:val="0"/>
                <w:color w:val="000000" w:themeColor="text1"/>
                <w:szCs w:val="21"/>
                <w:lang w:val="en-US" w:eastAsia="zh-CN"/>
                <w14:textFill>
                  <w14:solidFill>
                    <w14:schemeClr w14:val="tx1"/>
                  </w14:solidFill>
                </w14:textFill>
              </w:rPr>
              <w:t>18258091702</w:t>
            </w:r>
            <w:r>
              <w:rPr>
                <w:rFonts w:hint="eastAsia"/>
                <w:snapToGrid w:val="0"/>
                <w:color w:val="000000" w:themeColor="text1"/>
                <w:szCs w:val="21"/>
                <w:lang w:val="en-US" w:eastAsia="zh-CN"/>
                <w14:textFill>
                  <w14:solidFill>
                    <w14:schemeClr w14:val="tx1"/>
                  </w14:solidFill>
                </w14:textFill>
              </w:rPr>
              <w:t xml:space="preserve"> </w:t>
            </w:r>
            <w:r>
              <w:rPr>
                <w:rFonts w:hint="eastAsia" w:eastAsia="宋体"/>
                <w:snapToGrid w:val="0"/>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532509223@qq.com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line="360" w:lineRule="exact"/>
              <w:ind w:left="63" w:leftChars="30" w:right="63" w:rightChars="3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嵊州市谷来镇 2023 年小流域建设工程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sz w:val="21"/>
                <w:szCs w:val="21"/>
                <w:u w:val="none"/>
              </w:rPr>
              <w:t>嵊州市</w:t>
            </w:r>
            <w:r>
              <w:rPr>
                <w:rFonts w:hint="eastAsia" w:eastAsia="宋体"/>
                <w:sz w:val="21"/>
                <w:szCs w:val="21"/>
                <w:u w:val="none"/>
                <w:lang w:val="en-US" w:eastAsia="zh-CN"/>
              </w:rPr>
              <w:t>谷来镇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设计人</w:t>
            </w:r>
          </w:p>
        </w:tc>
        <w:tc>
          <w:tcPr>
            <w:tcW w:w="6240" w:type="dxa"/>
            <w:vAlign w:val="center"/>
          </w:tcPr>
          <w:p>
            <w:pPr>
              <w:spacing w:beforeLines="0" w:afterLines="0"/>
              <w:jc w:val="left"/>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绍兴市水利水电勘测设计院有限公司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财政资金及项目单位自有资金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本工程招标范围为</w:t>
            </w:r>
            <w:r>
              <w:rPr>
                <w:rFonts w:hint="eastAsia" w:asciiTheme="minorEastAsia" w:hAnsiTheme="minorEastAsia" w:eastAsiaTheme="minorEastAsia" w:cstheme="minorEastAsia"/>
                <w:color w:val="auto"/>
                <w:highlight w:val="none"/>
                <w:lang w:val="en-US" w:eastAsia="zh-CN"/>
              </w:rPr>
              <w:t>嵊州市谷来镇 2023 年小流域建设工程</w:t>
            </w:r>
            <w:r>
              <w:rPr>
                <w:rFonts w:hint="eastAsia" w:asciiTheme="minorEastAsia" w:hAnsiTheme="minorEastAsia" w:eastAsiaTheme="minorEastAsia" w:cstheme="minorEastAsia"/>
                <w:color w:val="000000" w:themeColor="text1"/>
                <w:highlight w:val="none"/>
                <w14:textFill>
                  <w14:solidFill>
                    <w14:schemeClr w14:val="tx1"/>
                  </w14:solidFill>
                </w14:textFill>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计划工期：</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365</w:t>
            </w:r>
            <w:r>
              <w:rPr>
                <w:rFonts w:hint="eastAsia" w:asciiTheme="minorEastAsia" w:hAnsiTheme="minorEastAsia" w:eastAsiaTheme="minorEastAsia" w:cstheme="minorEastAsia"/>
                <w:color w:val="000000" w:themeColor="text1"/>
                <w:highlight w:val="none"/>
                <w14:textFill>
                  <w14:solidFill>
                    <w14:schemeClr w14:val="tx1"/>
                  </w14:solidFill>
                </w14:textFill>
              </w:rPr>
              <w:t>日历天。投标承诺工期不得超过该计划工期。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计划开工日期：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计划完工日期：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宋体" w:hAnsi="宋体" w:cs="宋体"/>
                <w:b/>
                <w:bCs/>
                <w:color w:val="000000" w:themeColor="text1"/>
                <w:spacing w:val="-2"/>
                <w:highlight w:val="none"/>
                <w:u w:val="single"/>
                <w14:textFill>
                  <w14:solidFill>
                    <w14:schemeClr w14:val="tx1"/>
                  </w14:solidFill>
                </w14:textFill>
              </w:rPr>
              <w:t>202</w:t>
            </w:r>
            <w:r>
              <w:rPr>
                <w:rFonts w:hint="eastAsia" w:ascii="宋体" w:hAnsi="宋体" w:eastAsia="宋体" w:cs="宋体"/>
                <w:b/>
                <w:bCs/>
                <w:color w:val="000000" w:themeColor="text1"/>
                <w:spacing w:val="-2"/>
                <w:highlight w:val="none"/>
                <w:u w:val="single"/>
                <w14:textFill>
                  <w14:solidFill>
                    <w14:schemeClr w14:val="tx1"/>
                  </w14:solidFill>
                </w14:textFill>
              </w:rPr>
              <w:t>3</w:t>
            </w:r>
            <w:r>
              <w:rPr>
                <w:rFonts w:hint="eastAsia" w:ascii="宋体" w:hAnsi="宋体" w:cs="宋体"/>
                <w:b/>
                <w:bCs/>
                <w:color w:val="000000" w:themeColor="text1"/>
                <w:spacing w:val="-2"/>
                <w:highlight w:val="none"/>
                <w:u w:val="none"/>
                <w14:textFill>
                  <w14:solidFill>
                    <w14:schemeClr w14:val="tx1"/>
                  </w14:solidFill>
                </w14:textFill>
              </w:rPr>
              <w:t>年</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6  </w:t>
            </w:r>
            <w:r>
              <w:rPr>
                <w:rFonts w:hint="eastAsia" w:ascii="宋体" w:hAnsi="宋体" w:cs="宋体"/>
                <w:b/>
                <w:bCs/>
                <w:color w:val="000000" w:themeColor="text1"/>
                <w:spacing w:val="-2"/>
                <w:highlight w:val="none"/>
                <w:u w:val="none"/>
                <w14:textFill>
                  <w14:solidFill>
                    <w14:schemeClr w14:val="tx1"/>
                  </w14:solidFill>
                </w14:textFill>
              </w:rPr>
              <w:t>月</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28  </w:t>
            </w:r>
            <w:r>
              <w:rPr>
                <w:rFonts w:hint="eastAsia" w:ascii="宋体" w:hAnsi="宋体" w:cs="宋体"/>
                <w:b/>
                <w:bCs/>
                <w:color w:val="000000" w:themeColor="text1"/>
                <w:spacing w:val="-2"/>
                <w:highlight w:val="none"/>
                <w:u w:val="none"/>
                <w14:textFill>
                  <w14:solidFill>
                    <w14:schemeClr w14:val="tx1"/>
                  </w14:solidFill>
                </w14:textFill>
              </w:rPr>
              <w:t>日</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11 时 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FF0000"/>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top"/>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w:t>
            </w:r>
            <w:r>
              <w:rPr>
                <w:rFonts w:hint="eastAsia" w:asciiTheme="minorEastAsia" w:hAnsiTheme="minorEastAsia" w:eastAsiaTheme="minorEastAsia" w:cstheme="minorEastAsia"/>
                <w:color w:val="000000" w:themeColor="text1"/>
                <w:highlight w:val="none"/>
                <w14:textFill>
                  <w14:solidFill>
                    <w14:schemeClr w14:val="tx1"/>
                  </w14:solidFill>
                </w14:textFill>
              </w:rPr>
              <w:t>投标文件商务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资信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标分别</w:t>
            </w:r>
            <w:r>
              <w:rPr>
                <w:rFonts w:hint="eastAsia" w:asciiTheme="minorEastAsia" w:hAnsiTheme="minorEastAsia" w:eastAsiaTheme="minorEastAsia" w:cstheme="minorEastAsia"/>
                <w:color w:val="000000" w:themeColor="text1"/>
                <w:highlight w:val="none"/>
                <w14:textFill>
                  <w14:solidFill>
                    <w14:schemeClr w14:val="tx1"/>
                  </w14:solidFill>
                </w14:textFill>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auto"/>
                <w:highlight w:val="none"/>
              </w:rPr>
              <w:t>投标保证金的金额：</w:t>
            </w:r>
            <w:r>
              <w:rPr>
                <w:rFonts w:hint="eastAsia" w:asciiTheme="minorEastAsia" w:hAnsiTheme="minorEastAsia" w:eastAsiaTheme="minorEastAsia" w:cstheme="minorEastAsia"/>
                <w:color w:val="000000" w:themeColor="text1"/>
                <w:highlight w:val="none"/>
                <w14:textFill>
                  <w14:solidFill>
                    <w14:schemeClr w14:val="tx1"/>
                  </w14:solidFill>
                </w14:textFill>
              </w:rPr>
              <w:t>人民币</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fldChar w:fldCharType="begin"/>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instrText xml:space="preserve"> = 500000 \* CHINESENUM2 \* MERGEFORMAT </w:instrTex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fldChar w:fldCharType="separate"/>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14</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万</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fldChar w:fldCharType="end"/>
            </w:r>
            <w:r>
              <w:rPr>
                <w:rFonts w:hint="eastAsia" w:asciiTheme="minorEastAsia" w:hAnsiTheme="minorEastAsia" w:eastAsiaTheme="minorEastAsia" w:cstheme="minorEastAsia"/>
                <w:color w:val="000000" w:themeColor="text1"/>
                <w:highlight w:val="none"/>
                <w14:textFill>
                  <w14:solidFill>
                    <w14:schemeClr w14:val="tx1"/>
                  </w14:solidFill>
                </w14:textFill>
              </w:rPr>
              <w:t>元整</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使用电子保函方式缴纳的，具体操作流程详见 《嵊州市公共资源交易电子交易平台电子保函操作手册（试 行）》，电子保函的保险期限必须不少于投标有效期； 投标保证金：提交时间：应在 </w:t>
            </w:r>
            <w:r>
              <w:rPr>
                <w:rFonts w:hint="eastAsia" w:ascii="宋体" w:hAnsi="宋体" w:eastAsia="宋体" w:cs="宋体"/>
                <w:color w:val="000000" w:themeColor="text1"/>
                <w:highlight w:val="none"/>
                <w14:textFill>
                  <w14:solidFill>
                    <w14:schemeClr w14:val="tx1"/>
                  </w14:solidFill>
                </w14:textFill>
              </w:rPr>
              <w:t>2023年</w:t>
            </w:r>
            <w:r>
              <w:rPr>
                <w:rFonts w:hint="eastAsia" w:ascii="宋体" w:hAnsi="宋体" w:eastAsia="宋体" w:cs="宋体"/>
                <w:color w:val="000000" w:themeColor="text1"/>
                <w:highlight w:val="none"/>
                <w:lang w:val="en-US" w:eastAsia="zh-CN"/>
                <w14:textFill>
                  <w14:solidFill>
                    <w14:schemeClr w14:val="tx1"/>
                  </w14:solidFill>
                </w14:textFill>
              </w:rPr>
              <w:t xml:space="preserve">  6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 xml:space="preserve">  25</w:t>
            </w:r>
            <w:bookmarkStart w:id="590" w:name="_GoBack"/>
            <w:bookmarkEnd w:id="590"/>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16：00 时</w:t>
            </w:r>
            <w:r>
              <w:rPr>
                <w:rFonts w:hint="eastAsia" w:ascii="宋体" w:hAnsi="宋体" w:eastAsia="宋体" w:cs="宋体"/>
                <w:color w:val="auto"/>
                <w:highlight w:val="none"/>
              </w:rPr>
              <w:t>（北京时间）前到账，投标保证金以到账时间为准（包括提交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5"/>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开户银行（1）：</w:t>
            </w:r>
            <w:r>
              <w:rPr>
                <w:rFonts w:ascii="微软雅黑" w:hAnsi="微软雅黑" w:eastAsia="微软雅黑" w:cs="微软雅黑"/>
                <w:color w:val="6E622E"/>
                <w:sz w:val="21"/>
                <w:szCs w:val="21"/>
              </w:rPr>
              <w:t>浙江嵊州农村商业银行股份有限公司</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帐 号：</w:t>
            </w:r>
            <w:r>
              <w:rPr>
                <w:rFonts w:ascii="微软雅黑" w:hAnsi="微软雅黑" w:eastAsia="微软雅黑" w:cs="微软雅黑"/>
                <w:color w:val="6E622E"/>
                <w:sz w:val="21"/>
                <w:szCs w:val="21"/>
              </w:rPr>
              <w:t>201000112849317001706</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开户银行（2）：</w:t>
            </w:r>
            <w:r>
              <w:rPr>
                <w:rFonts w:ascii="微软雅黑" w:hAnsi="微软雅黑" w:eastAsia="微软雅黑" w:cs="微软雅黑"/>
                <w:color w:val="6E622E"/>
                <w:sz w:val="21"/>
                <w:szCs w:val="21"/>
              </w:rPr>
              <w:t>中国建设银行股份有限公司嵊州支行营业部</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帐 号：</w:t>
            </w:r>
            <w:r>
              <w:rPr>
                <w:rFonts w:ascii="微软雅黑" w:hAnsi="微软雅黑" w:eastAsia="微软雅黑" w:cs="微软雅黑"/>
                <w:color w:val="6E622E"/>
                <w:sz w:val="21"/>
                <w:szCs w:val="21"/>
              </w:rPr>
              <w:t>6232811450000100411</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开户银行（3）：</w:t>
            </w:r>
            <w:r>
              <w:rPr>
                <w:rFonts w:ascii="微软雅黑" w:hAnsi="微软雅黑" w:eastAsia="微软雅黑" w:cs="微软雅黑"/>
                <w:color w:val="6E622E"/>
                <w:sz w:val="21"/>
                <w:szCs w:val="21"/>
              </w:rPr>
              <w:t>绍兴银行股份有限公司嵊州支行</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帐 号：</w:t>
            </w:r>
            <w:r>
              <w:rPr>
                <w:rFonts w:ascii="微软雅黑" w:hAnsi="微软雅黑" w:eastAsia="微软雅黑" w:cs="微软雅黑"/>
                <w:color w:val="6E622E"/>
                <w:sz w:val="21"/>
                <w:szCs w:val="21"/>
              </w:rPr>
              <w:t>6224861565799076021</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开户银行（4）：</w:t>
            </w:r>
            <w:r>
              <w:rPr>
                <w:rFonts w:ascii="微软雅黑" w:hAnsi="微软雅黑" w:eastAsia="微软雅黑" w:cs="微软雅黑"/>
                <w:color w:val="6E622E"/>
                <w:sz w:val="21"/>
                <w:szCs w:val="21"/>
              </w:rPr>
              <w:t>中国工商银行嵊州东城支行</w:t>
            </w:r>
          </w:p>
          <w:p>
            <w:pPr>
              <w:pStyle w:val="25"/>
              <w:snapToGrid w:val="0"/>
              <w:spacing w:line="400" w:lineRule="exact"/>
              <w:ind w:left="210" w:leftChars="100" w:firstLine="6" w:firstLineChars="3"/>
              <w:jc w:val="both"/>
              <w:rPr>
                <w:rFonts w:hint="eastAsia" w:ascii="微软雅黑" w:hAnsi="微软雅黑" w:eastAsia="微软雅黑" w:cs="微软雅黑"/>
                <w:color w:val="6E622E"/>
                <w:sz w:val="21"/>
                <w:szCs w:val="21"/>
                <w:lang w:eastAsia="zh-CN"/>
              </w:rPr>
            </w:pPr>
            <w:r>
              <w:rPr>
                <w:rFonts w:hint="eastAsia" w:ascii="微软雅黑" w:hAnsi="微软雅黑" w:eastAsia="微软雅黑" w:cs="微软雅黑"/>
                <w:color w:val="6E622E"/>
                <w:sz w:val="21"/>
                <w:szCs w:val="21"/>
                <w:lang w:eastAsia="zh-CN"/>
              </w:rPr>
              <w:t>帐 号：</w:t>
            </w:r>
            <w:r>
              <w:rPr>
                <w:rFonts w:ascii="微软雅黑" w:hAnsi="微软雅黑" w:eastAsia="微软雅黑" w:cs="微软雅黑"/>
                <w:color w:val="6E622E"/>
                <w:sz w:val="21"/>
                <w:szCs w:val="21"/>
              </w:rPr>
              <w:t>9558851211002420645</w:t>
            </w:r>
            <w:r>
              <w:rPr>
                <w:rFonts w:hint="eastAsia" w:ascii="微软雅黑" w:hAnsi="微软雅黑" w:eastAsia="微软雅黑" w:cs="微软雅黑"/>
                <w:color w:val="6E622E"/>
                <w:sz w:val="21"/>
                <w:szCs w:val="21"/>
                <w:lang w:eastAsia="zh-CN"/>
              </w:rPr>
              <w:t xml:space="preserve"> </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4</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spacing w:before="10" w:after="10" w:line="360" w:lineRule="exact"/>
              <w:ind w:left="42" w:leftChars="20" w:right="42" w:rightChars="20"/>
              <w:jc w:val="both"/>
              <w:rPr>
                <w:rFonts w:hint="eastAsia" w:eastAsia="宋体" w:asciiTheme="minorEastAsia" w:hAnsiTheme="minorEastAsia" w:cstheme="minorEastAsia"/>
                <w:b/>
                <w:bCs/>
                <w:color w:val="0000FF"/>
                <w:highlight w:val="none"/>
                <w:lang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非投标单位水利造价工程师编制时，还需提供有效期内的造价工程师（水利工程）注册证书及委托中介机构编制合同的复印件加盖单位公章</w:t>
            </w:r>
            <w:r>
              <w:rPr>
                <w:rFonts w:hint="eastAsia" w:asciiTheme="minorEastAsia" w:hAnsiTheme="minorEastAsia" w:eastAsiaTheme="minorEastAsia" w:cstheme="minorEastAsia"/>
                <w:b/>
                <w:bCs/>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投标文件的份数</w:t>
            </w:r>
          </w:p>
        </w:tc>
        <w:tc>
          <w:tcPr>
            <w:tcW w:w="6240" w:type="dxa"/>
            <w:vAlign w:val="center"/>
          </w:tcPr>
          <w:p>
            <w:pPr>
              <w:spacing w:line="34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正本一份</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副本</w:t>
            </w:r>
            <w:r>
              <w:rPr>
                <w:rFonts w:hint="eastAsia" w:ascii="宋体" w:hAnsi="宋体" w:eastAsia="宋体"/>
                <w:color w:val="000000" w:themeColor="text1"/>
                <w:highlight w:val="none"/>
                <w:lang w:val="en-US" w:eastAsia="zh-CN"/>
                <w14:textFill>
                  <w14:solidFill>
                    <w14:schemeClr w14:val="tx1"/>
                  </w14:solidFill>
                </w14:textFill>
              </w:rPr>
              <w:t>五</w:t>
            </w:r>
            <w:r>
              <w:rPr>
                <w:rFonts w:ascii="宋体" w:hAnsi="宋体"/>
                <w:color w:val="000000" w:themeColor="text1"/>
                <w:highlight w:val="none"/>
                <w14:textFill>
                  <w14:solidFill>
                    <w14:schemeClr w14:val="tx1"/>
                  </w14:solidFill>
                </w14:textFill>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宋体" w:hAnsi="宋体" w:eastAsia="宋体" w:cs="宋体"/>
                <w:color w:val="000000" w:themeColor="text1"/>
                <w:spacing w:val="3"/>
                <w:sz w:val="21"/>
                <w:szCs w:val="21"/>
                <w:lang w:eastAsia="zh-CN"/>
                <w14:textFill>
                  <w14:solidFill>
                    <w14:schemeClr w14:val="tx1"/>
                  </w14:solidFill>
                </w14:textFill>
              </w:rPr>
              <w:t>（</w:t>
            </w:r>
            <w:r>
              <w:rPr>
                <w:rFonts w:hint="eastAsia" w:ascii="宋体" w:hAnsi="宋体" w:eastAsia="宋体" w:cs="宋体"/>
                <w:color w:val="000000" w:themeColor="text1"/>
                <w:spacing w:val="3"/>
                <w:sz w:val="21"/>
                <w:szCs w:val="21"/>
                <w:lang w:val="en-US" w:eastAsia="zh-CN"/>
                <w14:textFill>
                  <w14:solidFill>
                    <w14:schemeClr w14:val="tx1"/>
                  </w14:solidFill>
                </w14:textFill>
              </w:rPr>
              <w:t>三）</w:t>
            </w:r>
            <w:r>
              <w:rPr>
                <w:rFonts w:ascii="宋体" w:hAnsi="宋体" w:eastAsia="宋体" w:cs="宋体"/>
                <w:color w:val="000000" w:themeColor="text1"/>
                <w:spacing w:val="3"/>
                <w:sz w:val="21"/>
                <w:szCs w:val="21"/>
                <w14:textFill>
                  <w14:solidFill>
                    <w14:schemeClr w14:val="tx1"/>
                  </w14:solidFill>
                </w14:textFill>
              </w:rPr>
              <w:t>公布开标结</w:t>
            </w:r>
            <w:r>
              <w:rPr>
                <w:rFonts w:ascii="宋体" w:hAnsi="宋体" w:eastAsia="宋体" w:cs="宋体"/>
                <w:color w:val="000000" w:themeColor="text1"/>
                <w:spacing w:val="1"/>
                <w:sz w:val="21"/>
                <w:szCs w:val="21"/>
                <w14:textFill>
                  <w14:solidFill>
                    <w14:schemeClr w14:val="tx1"/>
                  </w14:solidFill>
                </w14:textFill>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highlight w:val="none"/>
                <w14:textFill>
                  <w14:solidFill>
                    <w14:schemeClr w14:val="tx1"/>
                  </w14:solidFill>
                </w14:textFill>
              </w:rPr>
              <w:t>）开标结束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评标委员会成员人数：</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评标委员会成员确定方式：招标人代表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0 </w:t>
            </w:r>
            <w:r>
              <w:rPr>
                <w:rFonts w:hint="eastAsia" w:asciiTheme="minorEastAsia" w:hAnsiTheme="minorEastAsia" w:eastAsiaTheme="minorEastAsia" w:cstheme="minorEastAsia"/>
                <w:color w:val="000000" w:themeColor="text1"/>
                <w:highlight w:val="none"/>
                <w14:textFill>
                  <w14:solidFill>
                    <w14:schemeClr w14:val="tx1"/>
                  </w14:solidFill>
                </w14:textFill>
              </w:rPr>
              <w:t>人，库</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选</w:t>
            </w:r>
            <w:r>
              <w:rPr>
                <w:rFonts w:hint="eastAsia" w:asciiTheme="minorEastAsia" w:hAnsiTheme="minorEastAsia" w:eastAsiaTheme="minorEastAsia" w:cstheme="minorEastAsia"/>
                <w:color w:val="000000" w:themeColor="text1"/>
                <w:highlight w:val="none"/>
                <w14:textFill>
                  <w14:solidFill>
                    <w14:schemeClr w14:val="tx1"/>
                  </w14:solidFill>
                </w14:textFill>
              </w:rPr>
              <w:t>技术、经济专家</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技术通过制的综合评估法：</w:t>
            </w: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A8"/>
            </w:r>
            <w:r>
              <w:rPr>
                <w:rFonts w:hint="eastAsia" w:asciiTheme="minorEastAsia" w:hAnsiTheme="minorEastAsia" w:eastAsiaTheme="minorEastAsia" w:cstheme="minorEastAsia"/>
                <w:color w:val="000000" w:themeColor="text1"/>
                <w:highlight w:val="none"/>
                <w14:textFill>
                  <w14:solidFill>
                    <w14:schemeClr w14:val="tx1"/>
                  </w14:solidFill>
                </w14:textFill>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FE"/>
            </w:r>
            <w:r>
              <w:rPr>
                <w:rFonts w:hint="eastAsia" w:asciiTheme="minorEastAsia" w:hAnsiTheme="minorEastAsia" w:eastAsiaTheme="minorEastAsia" w:cstheme="minorEastAsia"/>
                <w:color w:val="000000" w:themeColor="text1"/>
                <w:highlight w:val="none"/>
                <w14:textFill>
                  <w14:solidFill>
                    <w14:schemeClr w14:val="tx1"/>
                  </w14:solidFill>
                </w14:textFill>
              </w:rPr>
              <w:t>有限数量制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评标委员会推荐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highlight w:val="none"/>
                <w14:textFill>
                  <w14:solidFill>
                    <w14:schemeClr w14:val="tx1"/>
                  </w14:solidFill>
                </w14:textFill>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公示期限：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highlight w:val="none"/>
                <w14:textFill>
                  <w14:solidFill>
                    <w14:schemeClr w14:val="tx1"/>
                  </w14:solidFill>
                </w14:textFill>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□是</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履约担保的形式：保证金</w:t>
            </w:r>
            <w:r>
              <w:rPr>
                <w:rFonts w:hint="eastAsia" w:ascii="宋体" w:hAnsi="宋体" w:cs="宋体"/>
                <w:color w:val="000000" w:themeColor="text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履约担保的金额：中标合同金额的2%；</w:t>
            </w:r>
          </w:p>
          <w:p>
            <w:pPr>
              <w:spacing w:line="420" w:lineRule="exac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履约保证金支付时间：</w:t>
            </w:r>
            <w:r>
              <w:rPr>
                <w:rFonts w:hint="eastAsia"/>
                <w:color w:val="000000" w:themeColor="text1"/>
                <w:szCs w:val="21"/>
                <w14:textFill>
                  <w14:solidFill>
                    <w14:schemeClr w14:val="tx1"/>
                  </w14:solidFill>
                </w14:textFill>
              </w:rPr>
              <w:t>中标人应在中标候选人公示结束之日起5个工作日内向招标人交付履约保证金，否则，视为中标人放弃中标</w:t>
            </w:r>
            <w:r>
              <w:rPr>
                <w:rFonts w:hint="eastAsia" w:cs="宋体"/>
                <w:color w:val="000000" w:themeColor="text1"/>
                <w:szCs w:val="2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color w:val="000000" w:themeColor="text1"/>
                <w:szCs w:val="21"/>
                <w14:textFill>
                  <w14:solidFill>
                    <w14:schemeClr w14:val="tx1"/>
                  </w14:solidFill>
                </w14:textFill>
              </w:rPr>
              <w:t>履约保证金的退还</w:t>
            </w:r>
            <w:r>
              <w:rPr>
                <w:rFonts w:hint="eastAsia" w:ascii="宋体" w:hAnsi="宋体" w:cs="宋体"/>
                <w:color w:val="000000" w:themeColor="text1"/>
                <w:szCs w:val="21"/>
                <w14:textFill>
                  <w14:solidFill>
                    <w14:schemeClr w14:val="tx1"/>
                  </w14:solidFill>
                </w14:textFill>
              </w:rPr>
              <w:t>：</w:t>
            </w:r>
            <w:r>
              <w:rPr>
                <w:rFonts w:hint="eastAsia" w:cs="宋体"/>
                <w:bCs/>
                <w:color w:val="000000" w:themeColor="text1"/>
                <w:szCs w:val="21"/>
                <w14:textFill>
                  <w14:solidFill>
                    <w14:schemeClr w14:val="tx1"/>
                  </w14:solidFill>
                </w14:textFill>
              </w:rPr>
              <w:t>工程验收合格后十日内退还（无息）</w:t>
            </w:r>
            <w:r>
              <w:rPr>
                <w:rFonts w:hint="eastAsia" w:ascii="宋体" w:hAnsi="宋体" w:cs="宋体"/>
                <w:color w:val="000000" w:themeColor="text1"/>
                <w:szCs w:val="21"/>
                <w14:textFill>
                  <w14:solidFill>
                    <w14:schemeClr w14:val="tx1"/>
                  </w14:solidFill>
                </w14:textFill>
              </w:rPr>
              <w:t>。</w:t>
            </w:r>
          </w:p>
          <w:p>
            <w:pPr>
              <w:pStyle w:val="5"/>
              <w:spacing w:line="420" w:lineRule="exact"/>
              <w:ind w:firstLine="420" w:firstLineChars="20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Arial" w:hAnsi="Arial" w:eastAsia="Arial" w:cs="宋体"/>
                <w:b w:val="0"/>
                <w:snapToGrid w:val="0"/>
                <w:color w:val="000000" w:themeColor="text1"/>
                <w:kern w:val="0"/>
                <w:sz w:val="21"/>
                <w:szCs w:val="21"/>
                <w14:textFill>
                  <w14:solidFill>
                    <w14:schemeClr w14:val="tx1"/>
                  </w14:solidFill>
                </w14:textFill>
              </w:rPr>
              <w:t>民工工资支付担保的相关约定：</w:t>
            </w:r>
            <w:r>
              <w:rPr>
                <w:rFonts w:hint="eastAsia" w:ascii="Arial" w:hAnsi="Arial" w:eastAsia="Arial" w:cs="宋体"/>
                <w:b w:val="0"/>
                <w:snapToGrid w:val="0"/>
                <w:color w:val="000000" w:themeColor="text1"/>
                <w:kern w:val="0"/>
                <w:sz w:val="21"/>
                <w:szCs w:val="21"/>
                <w:lang w:val="en-US" w:eastAsia="zh-CN"/>
                <w14:textFill>
                  <w14:solidFill>
                    <w14:schemeClr w14:val="tx1"/>
                  </w14:solidFill>
                </w14:textFill>
              </w:rPr>
              <w:t>农</w:t>
            </w:r>
            <w:r>
              <w:rPr>
                <w:rFonts w:hint="eastAsia" w:ascii="Times New Roman" w:hAnsi="Times New Roman" w:eastAsia="宋体" w:cs="Times New Roman"/>
                <w:b w:val="0"/>
                <w:color w:val="000000" w:themeColor="text1"/>
                <w:kern w:val="2"/>
                <w:sz w:val="21"/>
                <w:szCs w:val="21"/>
                <w:lang w:val="en-US" w:eastAsia="zh-CN" w:bidi="ar-SA"/>
                <w14:textFill>
                  <w14:solidFill>
                    <w14:schemeClr w14:val="tx1"/>
                  </w14:solidFill>
                </w14:textFill>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000000" w:themeColor="text1"/>
                <w:highlight w:val="none"/>
                <w14:textFill>
                  <w14:solidFill>
                    <w14:schemeClr w14:val="tx1"/>
                  </w14:solidFill>
                </w14:textFill>
              </w:rPr>
              <w:t>IP</w:t>
            </w:r>
            <w:r>
              <w:rPr>
                <w:rFonts w:hint="eastAsia" w:asciiTheme="minorEastAsia" w:hAnsiTheme="minorEastAsia" w:eastAsiaTheme="minorEastAsia" w:cstheme="minorEastAsia"/>
                <w:color w:val="000000" w:themeColor="text1"/>
                <w:highlight w:val="none"/>
                <w14:textFill>
                  <w14:solidFill>
                    <w14:schemeClr w14:val="tx1"/>
                  </w14:solidFill>
                </w14:textFill>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spacing w:val="-6"/>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6"/>
                <w:sz w:val="21"/>
                <w:highlight w:val="none"/>
                <w14:textFill>
                  <w14:solidFill>
                    <w14:schemeClr w14:val="tx1"/>
                  </w14:solidFill>
                </w14:textFill>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8.拟派技术负责人职称证书；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000000" w:themeColor="text1"/>
                <w:lang w:val="en-US" w:eastAsia="zh-CN"/>
                <w14:textFill>
                  <w14:solidFill>
                    <w14:schemeClr w14:val="tx1"/>
                  </w14:solidFill>
                </w14:textFill>
              </w:rPr>
            </w:pPr>
            <w:r>
              <w:rPr>
                <w:rFonts w:ascii="宋体" w:hAnsi="宋体" w:eastAsia="宋体" w:cs="宋体"/>
                <w:color w:val="000000" w:themeColor="text1"/>
                <w:spacing w:val="-21"/>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14.符合招标公告要求的类似项目施工业绩证明材料； </w:t>
            </w:r>
          </w:p>
          <w:p>
            <w:pPr>
              <w:pStyle w:val="28"/>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000000" w:themeColor="text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二、</w:t>
            </w:r>
            <w:r>
              <w:rPr>
                <w:rFonts w:hint="eastAsia" w:asciiTheme="minorEastAsia" w:hAnsiTheme="minorEastAsia" w:eastAsiaTheme="minorEastAsia" w:cstheme="minorEastAsia"/>
                <w:color w:val="000000" w:themeColor="text1"/>
                <w:highlight w:val="none"/>
                <w14:textFill>
                  <w14:solidFill>
                    <w14:schemeClr w14:val="tx1"/>
                  </w14:solidFill>
                </w14:textFill>
              </w:rPr>
              <w:t>评审打分资料：</w:t>
            </w:r>
            <w:bookmarkStart w:id="18" w:name="EB4a3e7d1d6dfe49deb4b5c60f4b4ab073"/>
            <w:r>
              <w:rPr>
                <w:rFonts w:hint="eastAsia" w:ascii="宋体" w:hAnsi="宋体" w:cs="宋体"/>
                <w:color w:val="000000" w:themeColor="text1"/>
                <w:szCs w:val="21"/>
                <w:highlight w:val="white"/>
                <w14:textFill>
                  <w14:solidFill>
                    <w14:schemeClr w14:val="tx1"/>
                  </w14:solidFill>
                </w14:textFill>
              </w:rPr>
              <w:t>1.符合评审打分要求的信用等级证明材料。2.符合评审打分要求的业绩证明材料。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以</w:t>
            </w:r>
            <w:r>
              <w:rPr>
                <w:rFonts w:ascii="宋体" w:hAnsi="宋体" w:eastAsia="宋体" w:cs="宋体"/>
                <w:color w:val="000000" w:themeColor="text1"/>
                <w:spacing w:val="12"/>
                <w:sz w:val="21"/>
                <w:szCs w:val="21"/>
                <w14:textFill>
                  <w14:solidFill>
                    <w14:schemeClr w14:val="tx1"/>
                  </w14:solidFill>
                </w14:textFill>
              </w:rPr>
              <w:t>上</w:t>
            </w:r>
            <w:r>
              <w:rPr>
                <w:rFonts w:hint="eastAsia" w:ascii="宋体" w:hAnsi="宋体" w:eastAsia="宋体" w:cs="宋体"/>
                <w:color w:val="000000" w:themeColor="text1"/>
                <w:spacing w:val="12"/>
                <w:sz w:val="21"/>
                <w:szCs w:val="21"/>
                <w:lang w:val="en-US" w:eastAsia="zh-CN"/>
                <w14:textFill>
                  <w14:solidFill>
                    <w14:schemeClr w14:val="tx1"/>
                  </w14:solidFill>
                </w14:textFill>
              </w:rPr>
              <w:t>一、二条</w:t>
            </w:r>
            <w:r>
              <w:rPr>
                <w:rFonts w:ascii="宋体" w:hAnsi="宋体" w:eastAsia="宋体" w:cs="宋体"/>
                <w:color w:val="000000" w:themeColor="text1"/>
                <w:spacing w:val="12"/>
                <w:sz w:val="21"/>
                <w:szCs w:val="21"/>
                <w14:textFill>
                  <w14:solidFill>
                    <w14:schemeClr w14:val="tx1"/>
                  </w14:solidFill>
                </w14:textFill>
              </w:rPr>
              <w:t>涉及证书 (均应在有效期内，已在有效期外尚在办理延期</w:t>
            </w:r>
            <w:r>
              <w:rPr>
                <w:rFonts w:ascii="宋体" w:hAnsi="宋体" w:eastAsia="宋体" w:cs="宋体"/>
                <w:color w:val="000000" w:themeColor="text1"/>
                <w:spacing w:val="16"/>
                <w:sz w:val="21"/>
                <w:szCs w:val="21"/>
                <w14:textFill>
                  <w14:solidFill>
                    <w14:schemeClr w14:val="tx1"/>
                  </w14:solidFill>
                </w14:textFill>
              </w:rPr>
              <w:t>过程</w:t>
            </w:r>
            <w:r>
              <w:rPr>
                <w:rFonts w:ascii="宋体" w:hAnsi="宋体" w:eastAsia="宋体" w:cs="宋体"/>
                <w:color w:val="000000" w:themeColor="text1"/>
                <w:spacing w:val="15"/>
                <w:sz w:val="21"/>
                <w:szCs w:val="21"/>
                <w14:textFill>
                  <w14:solidFill>
                    <w14:schemeClr w14:val="tx1"/>
                  </w14:solidFill>
                </w14:textFill>
              </w:rPr>
              <w:t>中</w:t>
            </w:r>
            <w:r>
              <w:rPr>
                <w:rFonts w:ascii="宋体" w:hAnsi="宋体" w:eastAsia="宋体" w:cs="宋体"/>
                <w:color w:val="000000" w:themeColor="text1"/>
                <w:spacing w:val="8"/>
                <w:sz w:val="21"/>
                <w:szCs w:val="21"/>
                <w14:textFill>
                  <w14:solidFill>
                    <w14:schemeClr w14:val="tx1"/>
                  </w14:solidFill>
                </w14:textFill>
              </w:rPr>
              <w:t>的视为无效； 注册建造师证书按实质性响应招标文件资料第</w:t>
            </w:r>
            <w:r>
              <w:rPr>
                <w:rFonts w:ascii="宋体" w:hAnsi="宋体" w:eastAsia="宋体" w:cs="宋体"/>
                <w:color w:val="000000" w:themeColor="text1"/>
                <w:spacing w:val="25"/>
                <w:sz w:val="21"/>
                <w:szCs w:val="21"/>
                <w14:textFill>
                  <w14:solidFill>
                    <w14:schemeClr w14:val="tx1"/>
                  </w14:solidFill>
                </w14:textFill>
              </w:rPr>
              <w:t>7</w:t>
            </w:r>
            <w:r>
              <w:rPr>
                <w:rFonts w:ascii="宋体" w:hAnsi="宋体" w:eastAsia="宋体" w:cs="宋体"/>
                <w:color w:val="000000" w:themeColor="text1"/>
                <w:spacing w:val="15"/>
                <w:sz w:val="21"/>
                <w:szCs w:val="21"/>
                <w14:textFill>
                  <w14:solidFill>
                    <w14:schemeClr w14:val="tx1"/>
                  </w14:solidFill>
                </w14:textFill>
              </w:rPr>
              <w:t>条处理)。资料应在投标文件中附复制件〔已在有关行政主管部</w:t>
            </w:r>
            <w:r>
              <w:rPr>
                <w:rFonts w:ascii="宋体" w:hAnsi="宋体" w:eastAsia="宋体" w:cs="宋体"/>
                <w:color w:val="000000" w:themeColor="text1"/>
                <w:spacing w:val="17"/>
                <w:sz w:val="21"/>
                <w:szCs w:val="21"/>
                <w14:textFill>
                  <w14:solidFill>
                    <w14:schemeClr w14:val="tx1"/>
                  </w14:solidFill>
                </w14:textFill>
              </w:rPr>
              <w:t>门</w:t>
            </w:r>
            <w:r>
              <w:rPr>
                <w:rFonts w:ascii="宋体" w:hAnsi="宋体" w:eastAsia="宋体" w:cs="宋体"/>
                <w:color w:val="000000" w:themeColor="text1"/>
                <w:spacing w:val="16"/>
                <w:sz w:val="21"/>
                <w:szCs w:val="21"/>
                <w14:textFill>
                  <w14:solidFill>
                    <w14:schemeClr w14:val="tx1"/>
                  </w14:solidFill>
                </w14:textFill>
              </w:rPr>
              <w:t>(包括浙江省水利厅“透明工程”应用公示)或有电子件的，可</w:t>
            </w:r>
            <w:r>
              <w:rPr>
                <w:rFonts w:ascii="宋体" w:hAnsi="宋体" w:eastAsia="宋体" w:cs="宋体"/>
                <w:color w:val="000000" w:themeColor="text1"/>
                <w:spacing w:val="10"/>
                <w:sz w:val="21"/>
                <w:szCs w:val="21"/>
                <w14:textFill>
                  <w14:solidFill>
                    <w14:schemeClr w14:val="tx1"/>
                  </w14:solidFill>
                </w14:textFill>
              </w:rPr>
              <w:t>附网</w:t>
            </w:r>
            <w:r>
              <w:rPr>
                <w:rFonts w:ascii="宋体" w:hAnsi="宋体" w:eastAsia="宋体" w:cs="宋体"/>
                <w:color w:val="000000" w:themeColor="text1"/>
                <w:spacing w:val="7"/>
                <w:sz w:val="21"/>
                <w:szCs w:val="21"/>
                <w14:textFill>
                  <w14:solidFill>
                    <w14:schemeClr w14:val="tx1"/>
                  </w14:solidFill>
                </w14:textFill>
              </w:rPr>
              <w:t>页</w:t>
            </w:r>
            <w:r>
              <w:rPr>
                <w:rFonts w:ascii="宋体" w:hAnsi="宋体" w:eastAsia="宋体" w:cs="宋体"/>
                <w:color w:val="000000" w:themeColor="text1"/>
                <w:spacing w:val="5"/>
                <w:sz w:val="21"/>
                <w:szCs w:val="21"/>
                <w14:textFill>
                  <w14:solidFill>
                    <w14:schemeClr w14:val="tx1"/>
                  </w14:solidFill>
                </w14:textFill>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6"/>
                <w:sz w:val="21"/>
                <w:szCs w:val="21"/>
                <w14:textFill>
                  <w14:solidFill>
                    <w14:schemeClr w14:val="tx1"/>
                  </w14:solidFill>
                </w14:textFill>
              </w:rPr>
              <w:t>如评标委员会</w:t>
            </w:r>
            <w:r>
              <w:rPr>
                <w:rFonts w:ascii="宋体" w:hAnsi="宋体" w:eastAsia="宋体" w:cs="宋体"/>
                <w:color w:val="000000" w:themeColor="text1"/>
                <w:spacing w:val="-5"/>
                <w:sz w:val="21"/>
                <w:szCs w:val="21"/>
                <w14:textFill>
                  <w14:solidFill>
                    <w14:schemeClr w14:val="tx1"/>
                  </w14:solidFill>
                </w14:textFill>
              </w:rPr>
              <w:t>要</w:t>
            </w:r>
            <w:r>
              <w:rPr>
                <w:rFonts w:ascii="宋体" w:hAnsi="宋体" w:eastAsia="宋体" w:cs="宋体"/>
                <w:color w:val="000000" w:themeColor="text1"/>
                <w:spacing w:val="-3"/>
                <w:sz w:val="21"/>
                <w:szCs w:val="21"/>
                <w14:textFill>
                  <w14:solidFill>
                    <w14:schemeClr w14:val="tx1"/>
                  </w14:solidFill>
                </w14:textFill>
              </w:rPr>
              <w:t>求核查原件时， 提供的资料不得超过投标文件的范</w:t>
            </w:r>
            <w:r>
              <w:rPr>
                <w:rFonts w:ascii="宋体" w:hAnsi="宋体" w:eastAsia="宋体" w:cs="宋体"/>
                <w:color w:val="000000" w:themeColor="text1"/>
                <w:spacing w:val="-17"/>
                <w:sz w:val="21"/>
                <w:szCs w:val="21"/>
                <w14:textFill>
                  <w14:solidFill>
                    <w14:schemeClr w14:val="tx1"/>
                  </w14:solidFill>
                </w14:textFill>
              </w:rPr>
              <w:t>围</w:t>
            </w:r>
            <w:r>
              <w:rPr>
                <w:rFonts w:ascii="宋体" w:hAnsi="宋体" w:eastAsia="宋体" w:cs="宋体"/>
                <w:color w:val="000000" w:themeColor="text1"/>
                <w:spacing w:val="-10"/>
                <w:sz w:val="21"/>
                <w:szCs w:val="21"/>
                <w14:textFill>
                  <w14:solidFill>
                    <w14:schemeClr w14:val="tx1"/>
                  </w14:solidFill>
                </w14:textFill>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w:t>
            </w:r>
            <w:r>
              <w:rPr>
                <w:rFonts w:ascii="宋体" w:hAnsi="宋体" w:eastAsia="宋体" w:cs="宋体"/>
                <w:color w:val="000000" w:themeColor="text1"/>
                <w:spacing w:val="8"/>
                <w:sz w:val="21"/>
                <w:szCs w:val="21"/>
                <w14:textFill>
                  <w14:solidFill>
                    <w14:schemeClr w14:val="tx1"/>
                  </w14:solidFill>
                </w14:textFill>
              </w:rPr>
              <w:t>企业营业执照、企业资质证书、安全生产许可证、各类人员证</w:t>
            </w:r>
            <w:r>
              <w:rPr>
                <w:rFonts w:ascii="宋体" w:hAnsi="宋体" w:eastAsia="宋体" w:cs="宋体"/>
                <w:color w:val="000000" w:themeColor="text1"/>
                <w:spacing w:val="24"/>
                <w:sz w:val="21"/>
                <w:szCs w:val="21"/>
                <w14:textFill>
                  <w14:solidFill>
                    <w14:schemeClr w14:val="tx1"/>
                  </w14:solidFill>
                </w14:textFill>
              </w:rPr>
              <w:t>书</w:t>
            </w:r>
            <w:r>
              <w:rPr>
                <w:rFonts w:ascii="宋体" w:hAnsi="宋体" w:eastAsia="宋体" w:cs="宋体"/>
                <w:color w:val="000000" w:themeColor="text1"/>
                <w:spacing w:val="14"/>
                <w:sz w:val="21"/>
                <w:szCs w:val="21"/>
                <w14:textFill>
                  <w14:solidFill>
                    <w14:schemeClr w14:val="tx1"/>
                  </w14:solidFill>
                </w14:textFill>
              </w:rPr>
              <w:t>等</w:t>
            </w:r>
            <w:r>
              <w:rPr>
                <w:rFonts w:ascii="宋体" w:hAnsi="宋体" w:eastAsia="宋体" w:cs="宋体"/>
                <w:color w:val="000000" w:themeColor="text1"/>
                <w:spacing w:val="12"/>
                <w:sz w:val="21"/>
                <w:szCs w:val="21"/>
                <w14:textFill>
                  <w14:solidFill>
                    <w14:schemeClr w14:val="tx1"/>
                  </w14:solidFill>
                </w14:textFill>
              </w:rPr>
              <w:t>已在有关行政主管部门 (包括浙江省水利厅“透明工程”应</w:t>
            </w:r>
            <w:r>
              <w:rPr>
                <w:rFonts w:ascii="宋体" w:hAnsi="宋体" w:eastAsia="宋体" w:cs="宋体"/>
                <w:color w:val="000000" w:themeColor="text1"/>
                <w:spacing w:val="13"/>
                <w:sz w:val="21"/>
                <w:szCs w:val="21"/>
                <w14:textFill>
                  <w14:solidFill>
                    <w14:schemeClr w14:val="tx1"/>
                  </w14:solidFill>
                </w14:textFill>
              </w:rPr>
              <w:t>用</w:t>
            </w:r>
            <w:r>
              <w:rPr>
                <w:rFonts w:ascii="宋体" w:hAnsi="宋体" w:eastAsia="宋体" w:cs="宋体"/>
                <w:color w:val="000000" w:themeColor="text1"/>
                <w:spacing w:val="12"/>
                <w:sz w:val="21"/>
                <w:szCs w:val="21"/>
                <w14:textFill>
                  <w14:solidFill>
                    <w14:schemeClr w14:val="tx1"/>
                  </w14:solidFill>
                </w14:textFill>
              </w:rPr>
              <w:t>公示)或有电子件的，投标人必须在评标委员会规定的时间内提供</w:t>
            </w:r>
            <w:r>
              <w:rPr>
                <w:rFonts w:ascii="宋体" w:hAnsi="宋体" w:eastAsia="宋体" w:cs="宋体"/>
                <w:color w:val="000000" w:themeColor="text1"/>
                <w:spacing w:val="7"/>
                <w:sz w:val="21"/>
                <w:szCs w:val="21"/>
                <w14:textFill>
                  <w14:solidFill>
                    <w14:schemeClr w14:val="tx1"/>
                  </w14:solidFill>
                </w14:textFill>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8"/>
                <w:sz w:val="21"/>
                <w:szCs w:val="21"/>
                <w14:textFill>
                  <w14:solidFill>
                    <w14:schemeClr w14:val="tx1"/>
                  </w14:solidFill>
                </w14:textFill>
              </w:rPr>
              <w:t>2</w:t>
            </w:r>
            <w:r>
              <w:rPr>
                <w:rFonts w:ascii="宋体" w:hAnsi="宋体" w:eastAsia="宋体" w:cs="宋体"/>
                <w:color w:val="000000" w:themeColor="text1"/>
                <w:spacing w:val="15"/>
                <w:sz w:val="21"/>
                <w:szCs w:val="21"/>
                <w14:textFill>
                  <w14:solidFill>
                    <w14:schemeClr w14:val="tx1"/>
                  </w14:solidFill>
                </w14:textFill>
              </w:rPr>
              <w:t>)其他未在有关行政主管部门(包括浙江省水利厅“透明工</w:t>
            </w:r>
            <w:r>
              <w:rPr>
                <w:rFonts w:ascii="宋体" w:hAnsi="宋体" w:eastAsia="宋体" w:cs="宋体"/>
                <w:color w:val="000000" w:themeColor="text1"/>
                <w:spacing w:val="4"/>
                <w:sz w:val="21"/>
                <w:szCs w:val="21"/>
                <w14:textFill>
                  <w14:solidFill>
                    <w14:schemeClr w14:val="tx1"/>
                  </w14:solidFill>
                </w14:textFill>
              </w:rPr>
              <w:t>程”应用</w:t>
            </w:r>
            <w:r>
              <w:rPr>
                <w:rFonts w:ascii="宋体" w:hAnsi="宋体" w:eastAsia="宋体" w:cs="宋体"/>
                <w:color w:val="000000" w:themeColor="text1"/>
                <w:spacing w:val="2"/>
                <w:sz w:val="21"/>
                <w:szCs w:val="21"/>
                <w14:textFill>
                  <w14:solidFill>
                    <w14:schemeClr w14:val="tx1"/>
                  </w14:solidFill>
                </w14:textFill>
              </w:rPr>
              <w:t>公示)的材料，投标人必须在评标委员会规定的时间</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1"/>
                <w:sz w:val="21"/>
                <w:szCs w:val="21"/>
                <w14:textFill>
                  <w14:solidFill>
                    <w14:schemeClr w14:val="tx1"/>
                  </w14:solidFill>
                </w14:textFill>
              </w:rPr>
              <w:t xml:space="preserve">内送达 </w:t>
            </w:r>
            <w:r>
              <w:rPr>
                <w:rFonts w:ascii="宋体" w:hAnsi="宋体" w:eastAsia="宋体" w:cs="宋体"/>
                <w:color w:val="000000" w:themeColor="text1"/>
                <w:spacing w:val="-2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若投标文件中未附上述资料或未能在规定的时间内提供截图(或电</w:t>
            </w:r>
            <w:r>
              <w:rPr>
                <w:rFonts w:ascii="宋体" w:hAnsi="宋体" w:eastAsia="宋体" w:cs="宋体"/>
                <w:color w:val="000000" w:themeColor="text1"/>
                <w:spacing w:val="2"/>
                <w:sz w:val="21"/>
                <w:szCs w:val="21"/>
                <w14:textFill>
                  <w14:solidFill>
                    <w14:schemeClr w14:val="tx1"/>
                  </w14:solidFill>
                </w14:textFill>
              </w:rPr>
              <w:t>子</w:t>
            </w:r>
            <w:r>
              <w:rPr>
                <w:rFonts w:ascii="宋体" w:hAnsi="宋体" w:eastAsia="宋体" w:cs="宋体"/>
                <w:color w:val="000000" w:themeColor="text1"/>
                <w:spacing w:val="4"/>
                <w:sz w:val="21"/>
                <w:szCs w:val="21"/>
                <w14:textFill>
                  <w14:solidFill>
                    <w14:schemeClr w14:val="tx1"/>
                  </w14:solidFill>
                </w14:textFill>
              </w:rPr>
              <w:t>件)或将</w:t>
            </w:r>
            <w:r>
              <w:rPr>
                <w:rFonts w:ascii="宋体" w:hAnsi="宋体" w:eastAsia="宋体" w:cs="宋体"/>
                <w:color w:val="000000" w:themeColor="text1"/>
                <w:spacing w:val="3"/>
                <w:sz w:val="21"/>
                <w:szCs w:val="21"/>
                <w14:textFill>
                  <w14:solidFill>
                    <w14:schemeClr w14:val="tx1"/>
                  </w14:solidFill>
                </w14:textFill>
              </w:rPr>
              <w:t>原</w:t>
            </w:r>
            <w:r>
              <w:rPr>
                <w:rFonts w:ascii="宋体" w:hAnsi="宋体" w:eastAsia="宋体" w:cs="宋体"/>
                <w:color w:val="000000" w:themeColor="text1"/>
                <w:spacing w:val="2"/>
                <w:sz w:val="21"/>
                <w:szCs w:val="21"/>
                <w14:textFill>
                  <w14:solidFill>
                    <w14:schemeClr w14:val="tx1"/>
                  </w14:solidFill>
                </w14:textFill>
              </w:rPr>
              <w:t>件送达的，属招标文件实质性要求响应资料的，评标委员会</w:t>
            </w:r>
            <w:r>
              <w:rPr>
                <w:rFonts w:ascii="宋体" w:hAnsi="宋体" w:eastAsia="宋体" w:cs="宋体"/>
                <w:color w:val="000000" w:themeColor="text1"/>
                <w:spacing w:val="-2"/>
                <w:sz w:val="21"/>
                <w:szCs w:val="21"/>
                <w14:textFill>
                  <w14:solidFill>
                    <w14:schemeClr w14:val="tx1"/>
                  </w14:solidFill>
                </w14:textFill>
              </w:rPr>
              <w:t>将按相关证明资料缺少或无效处理；属打分评审资料的，按相应评分</w:t>
            </w:r>
            <w:r>
              <w:rPr>
                <w:rFonts w:ascii="宋体" w:hAnsi="宋体" w:eastAsia="宋体" w:cs="宋体"/>
                <w:color w:val="000000" w:themeColor="text1"/>
                <w:sz w:val="21"/>
                <w:szCs w:val="21"/>
                <w14:textFill>
                  <w14:solidFill>
                    <w14:schemeClr w14:val="tx1"/>
                  </w14:solidFill>
                </w14:textFill>
              </w:rPr>
              <w:t>内</w:t>
            </w:r>
            <w:r>
              <w:rPr>
                <w:rFonts w:ascii="宋体" w:hAnsi="宋体" w:eastAsia="宋体" w:cs="宋体"/>
                <w:color w:val="000000" w:themeColor="text1"/>
                <w:spacing w:val="20"/>
                <w:sz w:val="21"/>
                <w:szCs w:val="21"/>
                <w14:textFill>
                  <w14:solidFill>
                    <w14:schemeClr w14:val="tx1"/>
                  </w14:solidFill>
                </w14:textFill>
              </w:rPr>
              <w:t>容</w:t>
            </w:r>
            <w:r>
              <w:rPr>
                <w:rFonts w:ascii="宋体" w:hAnsi="宋体" w:eastAsia="宋体" w:cs="宋体"/>
                <w:color w:val="000000" w:themeColor="text1"/>
                <w:spacing w:val="17"/>
                <w:sz w:val="21"/>
                <w:szCs w:val="21"/>
                <w14:textFill>
                  <w14:solidFill>
                    <w14:schemeClr w14:val="tx1"/>
                  </w14:solidFill>
                </w14:textFill>
              </w:rPr>
              <w:t>不得分处理。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最高投标限价人民币</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（大写</w:t>
            </w:r>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陆佰捌拾玖万零柒佰肆拾壹</w:t>
            </w:r>
            <w:r>
              <w:rPr>
                <w:rFonts w:hint="eastAsia" w:asciiTheme="minorEastAsia" w:hAnsiTheme="minorEastAsia" w:eastAsiaTheme="minorEastAsia" w:cstheme="minorEastAsia"/>
                <w:b/>
                <w:bCs/>
                <w:color w:val="000000" w:themeColor="text1"/>
                <w:highlight w:val="none"/>
                <w14:textFill>
                  <w14:solidFill>
                    <w14:schemeClr w14:val="tx1"/>
                  </w14:solidFill>
                </w14:textFill>
              </w:rPr>
              <w:t>元</w:t>
            </w: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6890741</w:t>
            </w:r>
            <w:r>
              <w:rPr>
                <w:rFonts w:hint="eastAsia" w:asciiTheme="minorEastAsia" w:hAnsiTheme="minorEastAsia" w:eastAsiaTheme="minorEastAsia" w:cstheme="minorEastAsia"/>
                <w:b/>
                <w:bCs/>
                <w:color w:val="000000" w:themeColor="text1"/>
                <w:highlight w:val="none"/>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eastAsia="宋体"/>
                <w:snapToGrid w:val="0"/>
                <w:color w:val="000000" w:themeColor="text1"/>
                <w:szCs w:val="21"/>
                <w:u w:val="single"/>
                <w:lang w:val="en-US" w:eastAsia="zh-CN"/>
                <w14:textFill>
                  <w14:solidFill>
                    <w14:schemeClr w14:val="tx1"/>
                  </w14:solidFill>
                </w14:textFill>
              </w:rPr>
              <w:t>7472545</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kern w:val="0"/>
                <w:szCs w:val="21"/>
                <w:u w:val="single"/>
                <w:lang w:val="en-US" w:eastAsia="zh-CN"/>
                <w14:textFill>
                  <w14:solidFill>
                    <w14:schemeClr w14:val="tx1"/>
                  </w14:solidFill>
                </w14:textFill>
              </w:rPr>
              <w:t xml:space="preserve"> 200000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。最高投标限价的计算方法：最高投标限价=（预算价-预留金-暂估价）×（1-下浮值）+预留金+暂估价，下浮值</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为8%</w:t>
            </w:r>
            <w:r>
              <w:rPr>
                <w:rFonts w:hint="eastAsia" w:asciiTheme="minorEastAsia" w:hAnsiTheme="minorEastAsia" w:eastAsiaTheme="minorEastAsia" w:cstheme="minorEastAsia"/>
                <w:color w:val="000000" w:themeColor="text1"/>
                <w:highlight w:val="none"/>
                <w14:textFill>
                  <w14:solidFill>
                    <w14:schemeClr w14:val="tx1"/>
                  </w14:solidFill>
                </w14:textFill>
              </w:rPr>
              <w:t>，投标报价不得超过最高限价</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sz w:val="21"/>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3693"/>
      <w:bookmarkStart w:id="21" w:name="_Toc15558"/>
      <w:bookmarkStart w:id="22" w:name="_Toc4966"/>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5107"/>
      <w:bookmarkStart w:id="24" w:name="_Toc19901"/>
      <w:bookmarkStart w:id="25" w:name="_Toc10735"/>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14892"/>
      <w:bookmarkStart w:id="27" w:name="_Toc30958"/>
      <w:bookmarkStart w:id="28" w:name="_Toc22316"/>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29781"/>
      <w:bookmarkStart w:id="30" w:name="_Toc18952"/>
      <w:bookmarkStart w:id="31" w:name="_Toc9240"/>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1468"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924"/>
      <w:bookmarkStart w:id="33" w:name="_Toc22500"/>
      <w:bookmarkStart w:id="34" w:name="_Toc462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32578"/>
      <w:bookmarkStart w:id="36" w:name="_Toc1453"/>
      <w:bookmarkStart w:id="37" w:name="_Toc7234"/>
      <w:r>
        <w:rPr>
          <w:rFonts w:hint="eastAsia" w:ascii="宋体" w:hAnsi="宋体" w:eastAsia="宋体" w:cs="宋体"/>
          <w:b/>
          <w:bCs/>
          <w:color w:val="auto"/>
          <w:sz w:val="24"/>
          <w:szCs w:val="24"/>
          <w:highlight w:val="none"/>
        </w:rPr>
        <w:t>1.6  保密</w:t>
      </w:r>
      <w:bookmarkEnd w:id="35"/>
      <w:bookmarkEnd w:id="36"/>
      <w:bookmarkEnd w:id="3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22791"/>
      <w:bookmarkStart w:id="39" w:name="_Toc849"/>
      <w:bookmarkStart w:id="40" w:name="_Toc15293"/>
      <w:r>
        <w:rPr>
          <w:rFonts w:hint="eastAsia" w:ascii="宋体" w:hAnsi="宋体" w:eastAsia="宋体" w:cs="宋体"/>
          <w:b/>
          <w:bCs/>
          <w:color w:val="auto"/>
          <w:sz w:val="24"/>
          <w:szCs w:val="24"/>
          <w:highlight w:val="none"/>
        </w:rPr>
        <w:t>1.7  语言文字</w:t>
      </w:r>
      <w:bookmarkEnd w:id="38"/>
      <w:bookmarkEnd w:id="39"/>
      <w:bookmarkEnd w:id="4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3534"/>
      <w:bookmarkStart w:id="42" w:name="_Toc21521"/>
      <w:bookmarkStart w:id="43" w:name="_Toc10857"/>
      <w:r>
        <w:rPr>
          <w:rFonts w:hint="eastAsia" w:ascii="宋体" w:hAnsi="宋体" w:eastAsia="宋体" w:cs="宋体"/>
          <w:b/>
          <w:bCs/>
          <w:color w:val="auto"/>
          <w:sz w:val="24"/>
          <w:szCs w:val="24"/>
          <w:highlight w:val="none"/>
        </w:rPr>
        <w:t>1.8  计量单位</w:t>
      </w:r>
      <w:bookmarkEnd w:id="41"/>
      <w:bookmarkEnd w:id="42"/>
      <w:bookmarkEnd w:id="4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30536"/>
      <w:bookmarkStart w:id="45" w:name="_Toc8730"/>
      <w:bookmarkStart w:id="46" w:name="_Toc8377"/>
      <w:r>
        <w:rPr>
          <w:rFonts w:hint="eastAsia" w:ascii="宋体" w:hAnsi="宋体" w:eastAsia="宋体" w:cs="宋体"/>
          <w:b/>
          <w:bCs/>
          <w:color w:val="auto"/>
          <w:sz w:val="24"/>
          <w:szCs w:val="24"/>
          <w:highlight w:val="none"/>
        </w:rPr>
        <w:t>1.9  踏勘现场</w:t>
      </w:r>
      <w:bookmarkEnd w:id="44"/>
      <w:bookmarkEnd w:id="45"/>
      <w:bookmarkEnd w:id="4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6"/>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9853"/>
      <w:bookmarkStart w:id="49" w:name="_Toc12793"/>
      <w:bookmarkStart w:id="50" w:name="_Toc14782"/>
      <w:r>
        <w:rPr>
          <w:rFonts w:hint="eastAsia" w:ascii="宋体" w:hAnsi="宋体" w:eastAsia="宋体" w:cs="宋体"/>
          <w:b/>
          <w:bCs/>
          <w:color w:val="auto"/>
          <w:sz w:val="24"/>
          <w:szCs w:val="24"/>
          <w:highlight w:val="none"/>
        </w:rPr>
        <w:t>1.10  投标预备会</w:t>
      </w:r>
      <w:bookmarkEnd w:id="48"/>
      <w:bookmarkEnd w:id="49"/>
      <w:bookmarkEnd w:id="50"/>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11802"/>
      <w:bookmarkStart w:id="53" w:name="_Toc674"/>
      <w:bookmarkStart w:id="54" w:name="_Toc29185"/>
      <w:r>
        <w:rPr>
          <w:rFonts w:hint="eastAsia" w:ascii="宋体" w:hAnsi="宋体" w:eastAsia="宋体" w:cs="宋体"/>
          <w:b/>
          <w:bCs/>
          <w:color w:val="auto"/>
          <w:sz w:val="24"/>
          <w:szCs w:val="24"/>
          <w:highlight w:val="none"/>
        </w:rPr>
        <w:t>1.11  分包</w:t>
      </w:r>
      <w:bookmarkEnd w:id="52"/>
      <w:bookmarkEnd w:id="53"/>
      <w:bookmarkEnd w:id="5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10599"/>
      <w:bookmarkStart w:id="56" w:name="_Toc27348"/>
      <w:bookmarkStart w:id="57" w:name="_Toc6573"/>
      <w:r>
        <w:rPr>
          <w:rFonts w:hint="eastAsia" w:ascii="宋体" w:hAnsi="宋体" w:eastAsia="宋体" w:cs="宋体"/>
          <w:b/>
          <w:bCs/>
          <w:color w:val="auto"/>
          <w:sz w:val="24"/>
          <w:szCs w:val="24"/>
          <w:highlight w:val="none"/>
        </w:rPr>
        <w:t>1.12  偏离</w:t>
      </w:r>
      <w:bookmarkEnd w:id="55"/>
      <w:bookmarkEnd w:id="56"/>
      <w:bookmarkEnd w:id="5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bookmark2"/>
      <w:bookmarkStart w:id="59" w:name="bookmark3"/>
      <w:bookmarkStart w:id="60" w:name="bookmark4"/>
      <w:bookmarkStart w:id="61" w:name="_Toc20385"/>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22480"/>
      <w:bookmarkStart w:id="63" w:name="_Toc30983"/>
      <w:bookmarkStart w:id="64" w:name="_Toc7938"/>
      <w:r>
        <w:rPr>
          <w:rFonts w:hint="eastAsia" w:ascii="宋体" w:hAnsi="宋体" w:eastAsia="宋体" w:cs="宋体"/>
          <w:b/>
          <w:bCs/>
          <w:color w:val="auto"/>
          <w:sz w:val="24"/>
          <w:szCs w:val="24"/>
          <w:highlight w:val="none"/>
        </w:rPr>
        <w:t>2.1  招标文件的组成</w:t>
      </w:r>
      <w:bookmarkEnd w:id="62"/>
      <w:bookmarkEnd w:id="63"/>
      <w:bookmarkEnd w:id="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2911"/>
      <w:bookmarkStart w:id="75" w:name="_Toc16993"/>
      <w:bookmarkStart w:id="76" w:name="_Toc6704"/>
      <w:r>
        <w:rPr>
          <w:rFonts w:hint="eastAsia" w:ascii="宋体" w:hAnsi="宋体" w:eastAsia="宋体" w:cs="宋体"/>
          <w:b/>
          <w:bCs/>
          <w:color w:val="auto"/>
          <w:sz w:val="24"/>
          <w:szCs w:val="24"/>
          <w:highlight w:val="none"/>
        </w:rPr>
        <w:t>2.2  招标文件的澄清</w:t>
      </w:r>
      <w:bookmarkEnd w:id="74"/>
      <w:bookmarkEnd w:id="75"/>
      <w:bookmarkEnd w:id="7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17582"/>
      <w:bookmarkStart w:id="81" w:name="_Toc5309"/>
      <w:bookmarkStart w:id="82" w:name="_Toc8522"/>
      <w:r>
        <w:rPr>
          <w:rFonts w:hint="eastAsia" w:ascii="宋体" w:hAnsi="宋体" w:eastAsia="宋体" w:cs="宋体"/>
          <w:b/>
          <w:bCs/>
          <w:color w:val="auto"/>
          <w:sz w:val="24"/>
          <w:szCs w:val="24"/>
          <w:highlight w:val="none"/>
        </w:rPr>
        <w:t>2.3  招标文件的修改</w:t>
      </w:r>
      <w:bookmarkEnd w:id="80"/>
      <w:bookmarkEnd w:id="81"/>
      <w:bookmarkEnd w:id="82"/>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_Toc13175"/>
      <w:bookmarkStart w:id="87" w:name="bookmark20"/>
      <w:bookmarkStart w:id="88" w:name="bookmark22"/>
      <w:bookmarkStart w:id="89" w:name="bookmark21"/>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29754"/>
      <w:bookmarkStart w:id="91" w:name="_Toc3377"/>
      <w:bookmarkStart w:id="92" w:name="_Toc26343"/>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6"/>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szCs w:val="21"/>
        </w:rPr>
      </w:pPr>
      <w:bookmarkStart w:id="94" w:name="bookmark24"/>
      <w:bookmarkEnd w:id="94"/>
      <w:r>
        <w:rPr>
          <w:rFonts w:hint="eastAsia" w:ascii="宋体" w:hAnsi="宋体" w:cs="宋体"/>
          <w:bCs/>
          <w:szCs w:val="21"/>
        </w:rPr>
        <w:t>（一）商务标</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szCs w:val="21"/>
        </w:rPr>
      </w:pPr>
      <w:r>
        <w:rPr>
          <w:rFonts w:hint="eastAsia"/>
          <w:b/>
          <w:szCs w:val="21"/>
        </w:rPr>
        <w:t>（</w:t>
      </w:r>
      <w:r>
        <w:rPr>
          <w:rFonts w:hint="eastAsia" w:eastAsia="宋体"/>
          <w:b/>
          <w:szCs w:val="21"/>
          <w:lang w:val="en-US" w:eastAsia="zh-CN"/>
        </w:rPr>
        <w:t>二</w:t>
      </w:r>
      <w:r>
        <w:rPr>
          <w:rFonts w:hint="eastAsia"/>
          <w:szCs w:val="21"/>
        </w:rPr>
        <w:t>）资信标</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法定代表人身份证明的授权委托书。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szCs w:val="21"/>
        </w:rPr>
      </w:pPr>
      <w:r>
        <w:rPr>
          <w:rFonts w:hint="eastAsia"/>
          <w:szCs w:val="21"/>
        </w:rPr>
        <w:t>（</w:t>
      </w:r>
      <w:r>
        <w:rPr>
          <w:rFonts w:hint="eastAsia" w:eastAsia="宋体"/>
          <w:szCs w:val="21"/>
          <w:lang w:val="en-US" w:eastAsia="zh-CN"/>
        </w:rPr>
        <w:t>三</w:t>
      </w:r>
      <w:r>
        <w:rPr>
          <w:rFonts w:hint="eastAsia"/>
          <w:szCs w:val="21"/>
        </w:rPr>
        <w:t>）技术标</w:t>
      </w:r>
    </w:p>
    <w:p>
      <w:pPr>
        <w:spacing w:line="400" w:lineRule="exact"/>
        <w:ind w:firstLine="625" w:firstLineChars="298"/>
        <w:rPr>
          <w:rFonts w:hint="eastAsia"/>
          <w:color w:val="auto"/>
          <w:sz w:val="21"/>
          <w:szCs w:val="21"/>
          <w:highlight w:val="none"/>
          <w:lang w:eastAsia="zh-CN"/>
        </w:rPr>
      </w:pPr>
      <w:r>
        <w:rPr>
          <w:rFonts w:hint="eastAsia"/>
          <w:szCs w:val="21"/>
        </w:rPr>
        <w:t>施工组织设计</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1882"/>
      <w:bookmarkStart w:id="98" w:name="_Toc29461"/>
      <w:bookmarkStart w:id="99" w:name="_Toc13002"/>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5532"/>
      <w:bookmarkStart w:id="103" w:name="_Toc11645"/>
      <w:bookmarkStart w:id="104" w:name="_Toc1869"/>
      <w:r>
        <w:rPr>
          <w:rFonts w:hint="eastAsia" w:ascii="宋体" w:hAnsi="宋体" w:eastAsia="宋体" w:cs="宋体"/>
          <w:b/>
          <w:bCs/>
          <w:color w:val="auto"/>
          <w:sz w:val="24"/>
          <w:szCs w:val="24"/>
          <w:highlight w:val="none"/>
        </w:rPr>
        <w:t>3.3  投标有效期</w:t>
      </w:r>
      <w:bookmarkEnd w:id="102"/>
      <w:bookmarkEnd w:id="103"/>
      <w:bookmarkEnd w:id="1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15563"/>
      <w:bookmarkStart w:id="107" w:name="_Toc12138"/>
      <w:bookmarkStart w:id="108" w:name="_Toc964"/>
      <w:r>
        <w:rPr>
          <w:rFonts w:hint="eastAsia" w:ascii="宋体" w:hAnsi="宋体" w:eastAsia="宋体" w:cs="宋体"/>
          <w:b/>
          <w:bCs/>
          <w:color w:val="auto"/>
          <w:sz w:val="24"/>
          <w:szCs w:val="24"/>
          <w:highlight w:val="none"/>
        </w:rPr>
        <w:t>3.4  投标保证金</w:t>
      </w:r>
      <w:bookmarkEnd w:id="106"/>
      <w:bookmarkEnd w:id="107"/>
      <w:bookmarkEnd w:id="108"/>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000000" w:themeColor="text1"/>
          <w:sz w:val="21"/>
          <w:szCs w:val="21"/>
          <w:highlight w:val="none"/>
          <w14:textFill>
            <w14:solidFill>
              <w14:schemeClr w14:val="tx1"/>
            </w14:solidFill>
          </w14:textFill>
        </w:rPr>
      </w:pPr>
      <w:bookmarkStart w:id="109" w:name="bookmark39"/>
      <w:bookmarkEnd w:id="109"/>
      <w:r>
        <w:rPr>
          <w:rFonts w:hint="eastAsia"/>
          <w:b w:val="0"/>
          <w:bCs w:val="0"/>
          <w:color w:val="000000" w:themeColor="text1"/>
          <w:sz w:val="21"/>
          <w:szCs w:val="21"/>
          <w:highlight w:val="none"/>
          <w:lang w:val="en-US" w:eastAsia="zh-CN" w:bidi="en-US"/>
          <w14:textFill>
            <w14:solidFill>
              <w14:schemeClr w14:val="tx1"/>
            </w14:solidFill>
          </w14:textFill>
        </w:rPr>
        <w:t xml:space="preserve">3.4.3  </w:t>
      </w:r>
      <w:r>
        <w:rPr>
          <w:rFonts w:hint="eastAsia" w:ascii="宋体" w:hAnsi="宋体" w:eastAsia="宋体" w:cs="宋体"/>
          <w:color w:val="000000" w:themeColor="text1"/>
          <w:spacing w:val="-1"/>
          <w:highlight w:val="none"/>
          <w:lang w:val="en-US" w:eastAsia="zh-CN"/>
          <w14:textFill>
            <w14:solidFill>
              <w14:schemeClr w14:val="tx1"/>
            </w14:solidFill>
          </w14:textFill>
        </w:rPr>
        <w:t>非中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的投标保证金将在中标通知书发出</w:t>
      </w:r>
      <w:r>
        <w:rPr>
          <w:rFonts w:hint="eastAsia" w:ascii="宋体" w:hAnsi="宋体" w:eastAsia="宋体" w:cs="宋体"/>
          <w:color w:val="000000" w:themeColor="text1"/>
          <w:spacing w:val="-1"/>
          <w:highlight w:val="none"/>
          <w:lang w:val="en-US" w:eastAsia="zh-CN"/>
          <w14:textFill>
            <w14:solidFill>
              <w14:schemeClr w14:val="tx1"/>
            </w14:solidFill>
          </w14:textFill>
        </w:rPr>
        <w:t>后5</w:t>
      </w:r>
      <w:r>
        <w:rPr>
          <w:rFonts w:hint="eastAsia" w:ascii="宋体" w:hAnsi="宋体" w:eastAsia="宋体" w:cs="宋体"/>
          <w:color w:val="000000" w:themeColor="text1"/>
          <w:spacing w:val="-1"/>
          <w:highlight w:val="none"/>
          <w14:textFill>
            <w14:solidFill>
              <w14:schemeClr w14:val="tx1"/>
            </w14:solidFill>
          </w14:textFill>
        </w:rPr>
        <w:t>日内退还，</w:t>
      </w:r>
      <w:r>
        <w:rPr>
          <w:rFonts w:hint="eastAsia" w:ascii="宋体" w:hAnsi="宋体" w:eastAsia="宋体" w:cs="宋体"/>
          <w:color w:val="000000" w:themeColor="text1"/>
          <w:spacing w:val="-1"/>
          <w:highlight w:val="none"/>
          <w:lang w:val="en-US" w:eastAsia="zh-CN"/>
          <w14:textFill>
            <w14:solidFill>
              <w14:schemeClr w14:val="tx1"/>
            </w14:solidFill>
          </w14:textFill>
        </w:rPr>
        <w:t>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的投标保证金在招标人与中标人签订</w:t>
      </w:r>
      <w:r>
        <w:rPr>
          <w:rFonts w:hint="eastAsia" w:ascii="宋体" w:hAnsi="宋体" w:eastAsia="宋体" w:cs="宋体"/>
          <w:color w:val="000000" w:themeColor="text1"/>
          <w:spacing w:val="-1"/>
          <w:highlight w:val="none"/>
          <w:lang w:val="en-US" w:eastAsia="zh-CN"/>
          <w14:textFill>
            <w14:solidFill>
              <w14:schemeClr w14:val="tx1"/>
            </w14:solidFill>
          </w14:textFill>
        </w:rPr>
        <w:t>书面</w:t>
      </w:r>
      <w:r>
        <w:rPr>
          <w:rFonts w:hint="eastAsia" w:ascii="宋体" w:hAnsi="宋体" w:eastAsia="宋体" w:cs="宋体"/>
          <w:color w:val="000000" w:themeColor="text1"/>
          <w:spacing w:val="-1"/>
          <w:highlight w:val="none"/>
          <w14:textFill>
            <w14:solidFill>
              <w14:schemeClr w14:val="tx1"/>
            </w14:solidFill>
          </w14:textFill>
        </w:rPr>
        <w:t>合同后5日内退</w:t>
      </w:r>
      <w:r>
        <w:rPr>
          <w:rFonts w:hint="eastAsia" w:ascii="宋体" w:hAnsi="宋体" w:eastAsia="宋体" w:cs="宋体"/>
          <w:color w:val="000000" w:themeColor="text1"/>
          <w:spacing w:val="-1"/>
          <w:highlight w:val="none"/>
          <w:lang w:val="en-US" w:eastAsia="zh-CN"/>
          <w14:textFill>
            <w14:solidFill>
              <w14:schemeClr w14:val="tx1"/>
            </w14:solidFill>
          </w14:textFill>
        </w:rPr>
        <w:t>回</w:t>
      </w:r>
      <w:r>
        <w:rPr>
          <w:rFonts w:hint="eastAsia" w:ascii="宋体" w:hAnsi="宋体" w:eastAsia="宋体" w:cs="宋体"/>
          <w:color w:val="000000" w:themeColor="text1"/>
          <w:spacing w:val="-1"/>
          <w:highlight w:val="none"/>
          <w14:textFill>
            <w14:solidFill>
              <w14:schemeClr w14:val="tx1"/>
            </w14:solidFill>
          </w14:textFill>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000000" w:themeColor="text1"/>
          <w:sz w:val="21"/>
          <w:szCs w:val="21"/>
          <w:highlight w:val="none"/>
          <w:lang w:val="en-US" w:eastAsia="zh-CN" w:bidi="en-US"/>
          <w14:textFill>
            <w14:solidFill>
              <w14:schemeClr w14:val="tx1"/>
            </w14:solidFill>
          </w14:textFill>
        </w:rPr>
        <w:t xml:space="preserve">3.4.4  </w:t>
      </w:r>
      <w:r>
        <w:rPr>
          <w:rFonts w:hint="eastAsia"/>
          <w:color w:val="000000" w:themeColor="text1"/>
          <w:sz w:val="21"/>
          <w:szCs w:val="21"/>
          <w:highlight w:val="none"/>
          <w14:textFill>
            <w14:solidFill>
              <w14:schemeClr w14:val="tx1"/>
            </w14:solidFill>
          </w14:textFill>
        </w:rPr>
        <w:t>有下列情形之一的，投标保证金将不予退还：</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21506"/>
      <w:bookmarkStart w:id="111" w:name="_Toc30939"/>
      <w:bookmarkStart w:id="112" w:name="_Toc31154"/>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31696"/>
      <w:bookmarkStart w:id="120" w:name="_Toc9675"/>
      <w:bookmarkStart w:id="121" w:name="_Toc20325"/>
      <w:r>
        <w:rPr>
          <w:rFonts w:hint="eastAsia" w:ascii="宋体" w:hAnsi="宋体" w:eastAsia="宋体" w:cs="宋体"/>
          <w:b/>
          <w:bCs/>
          <w:color w:val="auto"/>
          <w:sz w:val="24"/>
          <w:szCs w:val="24"/>
          <w:highlight w:val="none"/>
        </w:rPr>
        <w:t>3.6  备选投标方案</w:t>
      </w:r>
      <w:bookmarkEnd w:id="119"/>
      <w:bookmarkEnd w:id="120"/>
      <w:bookmarkEnd w:id="12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30128"/>
      <w:bookmarkStart w:id="123" w:name="_Toc10035"/>
      <w:bookmarkStart w:id="124" w:name="_Toc7305"/>
      <w:r>
        <w:rPr>
          <w:rFonts w:hint="eastAsia" w:ascii="宋体" w:hAnsi="宋体" w:eastAsia="宋体" w:cs="宋体"/>
          <w:b/>
          <w:bCs/>
          <w:color w:val="auto"/>
          <w:sz w:val="24"/>
          <w:szCs w:val="24"/>
          <w:highlight w:val="none"/>
        </w:rPr>
        <w:t>3.7  投标文件的编制</w:t>
      </w:r>
      <w:bookmarkEnd w:id="122"/>
      <w:bookmarkEnd w:id="123"/>
      <w:bookmarkEnd w:id="12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6"/>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3.7.5  投标文件正本一份，副本份数见投标人须知前附表。</w:t>
      </w:r>
      <w:r>
        <w:rPr>
          <w:rFonts w:hint="eastAsia"/>
          <w:b/>
          <w:bCs/>
          <w:color w:val="000000" w:themeColor="text1"/>
          <w:sz w:val="21"/>
          <w:szCs w:val="21"/>
          <w:highlight w:val="none"/>
          <w14:textFill>
            <w14:solidFill>
              <w14:schemeClr w14:val="tx1"/>
            </w14:solidFill>
          </w14:textFill>
        </w:rPr>
        <w:t>投标文件正本和副本的封面上应清楚地标记“正本”或“副本”的字样。当副本和正本不一致时，以正本为准。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000000" w:themeColor="text1"/>
          <w:sz w:val="28"/>
          <w:szCs w:val="28"/>
          <w:highlight w:val="none"/>
          <w14:textFill>
            <w14:solidFill>
              <w14:schemeClr w14:val="tx1"/>
            </w14:solidFill>
          </w14:textFill>
        </w:rPr>
      </w:pPr>
      <w:bookmarkStart w:id="127" w:name="bookmark53"/>
      <w:bookmarkStart w:id="128" w:name="bookmark51"/>
      <w:bookmarkStart w:id="129" w:name="bookmark52"/>
      <w:bookmarkStart w:id="130" w:name="_Toc27251"/>
      <w:r>
        <w:rPr>
          <w:rFonts w:hint="eastAsia" w:ascii="宋体" w:hAnsi="宋体" w:eastAsia="宋体" w:cs="宋体"/>
          <w:b/>
          <w:bCs/>
          <w:color w:val="000000" w:themeColor="text1"/>
          <w:sz w:val="28"/>
          <w:szCs w:val="28"/>
          <w:highlight w:val="none"/>
          <w14:textFill>
            <w14:solidFill>
              <w14:schemeClr w14:val="tx1"/>
            </w14:solidFill>
          </w14:textFill>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31" w:name="_Toc4990"/>
      <w:bookmarkStart w:id="132" w:name="_Toc579"/>
      <w:bookmarkStart w:id="133" w:name="_Toc480"/>
      <w:r>
        <w:rPr>
          <w:rFonts w:hint="eastAsia" w:ascii="宋体" w:hAnsi="宋体" w:eastAsia="宋体" w:cs="宋体"/>
          <w:b/>
          <w:bCs/>
          <w:color w:val="000000" w:themeColor="text1"/>
          <w:sz w:val="24"/>
          <w:szCs w:val="24"/>
          <w:highlight w:val="none"/>
          <w14:textFill>
            <w14:solidFill>
              <w14:schemeClr w14:val="tx1"/>
            </w14:solidFill>
          </w14:textFill>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000000" w:themeColor="text1"/>
          <w:kern w:val="0"/>
          <w14:textFill>
            <w14:solidFill>
              <w14:schemeClr w14:val="tx1"/>
            </w14:solidFill>
          </w14:textFill>
        </w:rPr>
      </w:pPr>
      <w:bookmarkStart w:id="134" w:name="bookmark54"/>
      <w:bookmarkEnd w:id="134"/>
      <w:bookmarkStart w:id="135" w:name="_Toc11832"/>
      <w:bookmarkStart w:id="136" w:name="_Toc8783"/>
      <w:bookmarkStart w:id="137" w:name="_Toc22968"/>
      <w:r>
        <w:rPr>
          <w:rFonts w:hint="eastAsia"/>
          <w:snapToGrid w:val="0"/>
          <w:color w:val="000000" w:themeColor="text1"/>
          <w:kern w:val="0"/>
          <w14:textFill>
            <w14:solidFill>
              <w14:schemeClr w14:val="tx1"/>
            </w14:solidFill>
          </w14:textFill>
        </w:rPr>
        <w:t>4.1.1</w:t>
      </w:r>
      <w:r>
        <w:rPr>
          <w:rFonts w:hint="eastAsia" w:eastAsia="宋体"/>
          <w:snapToGrid w:val="0"/>
          <w:color w:val="000000" w:themeColor="text1"/>
          <w:kern w:val="0"/>
          <w:lang w:val="en-US" w:eastAsia="zh-CN"/>
          <w14:textFill>
            <w14:solidFill>
              <w14:schemeClr w14:val="tx1"/>
            </w14:solidFill>
          </w14:textFill>
        </w:rPr>
        <w:t xml:space="preserve"> </w:t>
      </w:r>
      <w:r>
        <w:rPr>
          <w:rFonts w:hint="eastAsia"/>
          <w:snapToGrid w:val="0"/>
          <w:color w:val="000000" w:themeColor="text1"/>
          <w:kern w:val="0"/>
          <w14:textFill>
            <w14:solidFill>
              <w14:schemeClr w14:val="tx1"/>
            </w14:solidFill>
          </w14:textFill>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00B0F0"/>
          <w:kern w:val="0"/>
          <w:lang w:eastAsia="zh-CN"/>
        </w:rPr>
      </w:pPr>
      <w:r>
        <w:rPr>
          <w:rFonts w:hint="eastAsia" w:asciiTheme="minorEastAsia" w:hAnsiTheme="minorEastAsia" w:eastAsiaTheme="minorEastAsia" w:cstheme="minorEastAsia"/>
          <w:color w:val="auto"/>
          <w:highlight w:val="none"/>
        </w:rPr>
        <w:t>在    年   月   日  时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kern w:val="0"/>
          <w14:textFill>
            <w14:solidFill>
              <w14:schemeClr w14:val="tx1"/>
            </w14:solidFill>
          </w14:textFill>
        </w:rPr>
        <w:t>4.1.2 投标文件的封套上应清楚地标记“商务标”或“资信标”或“技术标”字样</w:t>
      </w:r>
      <w:r>
        <w:rPr>
          <w:rFonts w:hint="eastAsia" w:eastAsia="宋体"/>
          <w:snapToGrid w:val="0"/>
          <w:color w:val="000000" w:themeColor="text1"/>
          <w:kern w:val="0"/>
          <w:lang w:eastAsia="zh-CN"/>
          <w14:textFill>
            <w14:solidFill>
              <w14:schemeClr w14:val="tx1"/>
            </w14:solidFill>
          </w14:textFill>
        </w:rPr>
        <w:t>。</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4.2  投标文件的递交</w:t>
      </w:r>
      <w:bookmarkEnd w:id="135"/>
      <w:bookmarkEnd w:id="136"/>
      <w:bookmarkEnd w:id="137"/>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8" w:name="bookmark55"/>
      <w:bookmarkEnd w:id="138"/>
      <w:r>
        <w:rPr>
          <w:rFonts w:hint="eastAsia"/>
          <w:b/>
          <w:bCs/>
          <w:color w:val="000000" w:themeColor="text1"/>
          <w:sz w:val="21"/>
          <w:szCs w:val="21"/>
          <w:highlight w:val="none"/>
          <w:lang w:val="en-US" w:eastAsia="zh-CN" w:bidi="en-US"/>
          <w14:textFill>
            <w14:solidFill>
              <w14:schemeClr w14:val="tx1"/>
            </w14:solidFill>
          </w14:textFill>
        </w:rPr>
        <w:t>4.2.</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投标人应在本章第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3项规定的投标截止时间前递交投标文件。</w:t>
      </w:r>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9" w:name="bookmark56"/>
      <w:bookmarkEnd w:id="139"/>
      <w:r>
        <w:rPr>
          <w:rFonts w:hint="eastAsia"/>
          <w:b/>
          <w:bCs/>
          <w:color w:val="000000" w:themeColor="text1"/>
          <w:sz w:val="21"/>
          <w:szCs w:val="21"/>
          <w:highlight w:val="none"/>
          <w:lang w:val="en-US" w:eastAsia="zh-CN" w:bidi="en-US"/>
          <w14:textFill>
            <w14:solidFill>
              <w14:schemeClr w14:val="tx1"/>
            </w14:solidFill>
          </w14:textFill>
        </w:rPr>
        <w:t xml:space="preserve">4.2.2  </w:t>
      </w:r>
      <w:r>
        <w:rPr>
          <w:rFonts w:hint="eastAsia"/>
          <w:color w:val="000000" w:themeColor="text1"/>
          <w:sz w:val="21"/>
          <w:szCs w:val="21"/>
          <w:highlight w:val="none"/>
          <w14:textFill>
            <w14:solidFill>
              <w14:schemeClr w14:val="tx1"/>
            </w14:solidFill>
          </w14:textFill>
        </w:rPr>
        <w:t>投标人递交投标文件的方式和地点见投标人须知前附表。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0" w:name="bookmark57"/>
      <w:bookmarkEnd w:id="140"/>
      <w:r>
        <w:rPr>
          <w:rFonts w:hint="eastAsia"/>
          <w:b/>
          <w:bCs/>
          <w:color w:val="000000" w:themeColor="text1"/>
          <w:sz w:val="21"/>
          <w:szCs w:val="21"/>
          <w:highlight w:val="none"/>
          <w:lang w:val="en-US" w:eastAsia="zh-CN" w:bidi="en-US"/>
          <w14:textFill>
            <w14:solidFill>
              <w14:schemeClr w14:val="tx1"/>
            </w14:solidFill>
          </w14:textFill>
        </w:rPr>
        <w:t xml:space="preserve">4.2.3  </w:t>
      </w:r>
      <w:r>
        <w:rPr>
          <w:rFonts w:hint="eastAsia"/>
          <w:color w:val="000000" w:themeColor="text1"/>
          <w:sz w:val="21"/>
          <w:szCs w:val="21"/>
          <w:highlight w:val="none"/>
          <w14:textFill>
            <w14:solidFill>
              <w14:schemeClr w14:val="tx1"/>
            </w14:solidFill>
          </w14:textFill>
        </w:rPr>
        <w:t>投标人所递交的投标文件不予退还。</w:t>
      </w:r>
    </w:p>
    <w:p>
      <w:pPr>
        <w:pStyle w:val="26"/>
        <w:keepNext w:val="0"/>
        <w:keepLines w:val="0"/>
        <w:pageBreakBefore w:val="0"/>
        <w:tabs>
          <w:tab w:val="left" w:pos="1124"/>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1" w:name="bookmark59"/>
      <w:bookmarkEnd w:id="141"/>
      <w:bookmarkStart w:id="142" w:name="bookmark58"/>
      <w:bookmarkEnd w:id="142"/>
      <w:r>
        <w:rPr>
          <w:rFonts w:hint="eastAsia"/>
          <w:b/>
          <w:bCs/>
          <w:color w:val="000000" w:themeColor="text1"/>
          <w:sz w:val="21"/>
          <w:szCs w:val="21"/>
          <w:highlight w:val="none"/>
          <w:lang w:val="en-US" w:eastAsia="zh-CN" w:bidi="en-US"/>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43" w:name="_Toc29399"/>
      <w:bookmarkStart w:id="144" w:name="_Toc20767"/>
      <w:bookmarkStart w:id="145" w:name="_Toc3871"/>
      <w:r>
        <w:rPr>
          <w:rFonts w:hint="eastAsia" w:ascii="宋体" w:hAnsi="宋体" w:eastAsia="宋体" w:cs="宋体"/>
          <w:b/>
          <w:bCs/>
          <w:color w:val="000000" w:themeColor="text1"/>
          <w:sz w:val="24"/>
          <w:szCs w:val="24"/>
          <w:highlight w:val="none"/>
          <w14:textFill>
            <w14:solidFill>
              <w14:schemeClr w14:val="tx1"/>
            </w14:solidFill>
          </w14:textFill>
        </w:rPr>
        <w:t>4.3  投标文件的修改与撤回</w:t>
      </w:r>
      <w:bookmarkEnd w:id="143"/>
      <w:bookmarkEnd w:id="144"/>
      <w:bookmarkEnd w:id="145"/>
    </w:p>
    <w:p>
      <w:pPr>
        <w:pStyle w:val="26"/>
        <w:keepNext w:val="0"/>
        <w:keepLines w:val="0"/>
        <w:pageBreakBefore w:val="0"/>
        <w:tabs>
          <w:tab w:val="left" w:pos="108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6" w:name="bookmark60"/>
      <w:bookmarkEnd w:id="146"/>
      <w:r>
        <w:rPr>
          <w:rFonts w:hint="eastAsia"/>
          <w:b/>
          <w:bCs/>
          <w:color w:val="000000" w:themeColor="text1"/>
          <w:sz w:val="21"/>
          <w:szCs w:val="21"/>
          <w:highlight w:val="none"/>
          <w:lang w:val="en-US" w:eastAsia="zh-CN" w:bidi="en-US"/>
          <w14:textFill>
            <w14:solidFill>
              <w14:schemeClr w14:val="tx1"/>
            </w14:solidFill>
          </w14:textFill>
        </w:rPr>
        <w:t xml:space="preserve">4.3.1  </w:t>
      </w:r>
      <w:r>
        <w:rPr>
          <w:rFonts w:hint="eastAsia"/>
          <w:color w:val="000000" w:themeColor="text1"/>
          <w:sz w:val="21"/>
          <w:szCs w:val="21"/>
          <w:highlight w:val="none"/>
          <w14:textFill>
            <w14:solidFill>
              <w14:schemeClr w14:val="tx1"/>
            </w14:solidFill>
          </w14:textFill>
        </w:rPr>
        <w:t>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3项规定的投标截止时间前，投标人可以修改或撤回已递交的投标文件。</w:t>
      </w:r>
    </w:p>
    <w:p>
      <w:pPr>
        <w:spacing w:line="440" w:lineRule="exact"/>
        <w:ind w:firstLine="422" w:firstLineChars="200"/>
        <w:rPr>
          <w:color w:val="000000" w:themeColor="text1"/>
          <w:sz w:val="21"/>
          <w:szCs w:val="21"/>
          <w:highlight w:val="none"/>
          <w14:textFill>
            <w14:solidFill>
              <w14:schemeClr w14:val="tx1"/>
            </w14:solidFill>
          </w14:textFill>
        </w:rPr>
      </w:pPr>
      <w:bookmarkStart w:id="147" w:name="bookmark61"/>
      <w:bookmarkEnd w:id="147"/>
      <w:r>
        <w:rPr>
          <w:rFonts w:hint="eastAsia" w:ascii="宋体" w:hAnsi="宋体" w:eastAsia="宋体" w:cs="宋体"/>
          <w:b/>
          <w:bCs/>
          <w:snapToGrid/>
          <w:color w:val="000000" w:themeColor="text1"/>
          <w:kern w:val="0"/>
          <w:sz w:val="21"/>
          <w:szCs w:val="21"/>
          <w:highlight w:val="none"/>
          <w:lang w:val="en-US" w:eastAsia="zh-CN" w:bidi="zh-TW"/>
          <w14:textFill>
            <w14:solidFill>
              <w14:schemeClr w14:val="tx1"/>
            </w14:solidFill>
          </w14:textFill>
        </w:rPr>
        <w:t xml:space="preserve">4.3.2  </w:t>
      </w:r>
      <w:r>
        <w:rPr>
          <w:rFonts w:hint="eastAsia"/>
          <w:color w:val="000000" w:themeColor="text1"/>
          <w:szCs w:val="21"/>
          <w14:textFill>
            <w14:solidFill>
              <w14:schemeClr w14:val="tx1"/>
            </w14:solidFill>
          </w14:textFill>
        </w:rPr>
        <w:t>投标人修改或撤回已递交的投标文件，应以书面形式通知招标人。</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3"/>
      <w:bookmarkStart w:id="149" w:name="bookmark62"/>
      <w:bookmarkStart w:id="150" w:name="bookmark64"/>
      <w:bookmarkStart w:id="151" w:name="_Toc16710"/>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7536"/>
      <w:bookmarkStart w:id="153" w:name="_Toc16842"/>
      <w:bookmarkStart w:id="154" w:name="_Toc25263"/>
      <w:r>
        <w:rPr>
          <w:rFonts w:hint="eastAsia" w:ascii="宋体" w:hAnsi="宋体" w:eastAsia="宋体" w:cs="宋体"/>
          <w:b/>
          <w:bCs/>
          <w:color w:val="auto"/>
          <w:sz w:val="24"/>
          <w:szCs w:val="24"/>
          <w:highlight w:val="none"/>
        </w:rPr>
        <w:t>5.1  开标时间和地点</w:t>
      </w:r>
      <w:bookmarkEnd w:id="152"/>
      <w:bookmarkEnd w:id="153"/>
      <w:bookmarkEnd w:id="154"/>
    </w:p>
    <w:p>
      <w:pPr>
        <w:pStyle w:val="26"/>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1317"/>
      <w:bookmarkStart w:id="156" w:name="_Toc29576"/>
      <w:bookmarkStart w:id="157" w:name="_Toc14932"/>
      <w:r>
        <w:rPr>
          <w:rFonts w:hint="eastAsia" w:ascii="宋体" w:hAnsi="宋体" w:eastAsia="宋体" w:cs="宋体"/>
          <w:b/>
          <w:bCs/>
          <w:color w:val="auto"/>
          <w:sz w:val="24"/>
          <w:szCs w:val="24"/>
          <w:highlight w:val="none"/>
        </w:rPr>
        <w:t>5.2  开标程序</w:t>
      </w:r>
      <w:bookmarkEnd w:id="155"/>
      <w:bookmarkEnd w:id="156"/>
      <w:bookmarkEnd w:id="157"/>
    </w:p>
    <w:p>
      <w:pPr>
        <w:pStyle w:val="26"/>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27069"/>
      <w:bookmarkStart w:id="159" w:name="_Toc19383"/>
      <w:bookmarkStart w:id="160" w:name="_Toc4939"/>
      <w:r>
        <w:rPr>
          <w:rFonts w:hint="eastAsia" w:ascii="宋体" w:hAnsi="宋体" w:eastAsia="宋体" w:cs="宋体"/>
          <w:b/>
          <w:bCs/>
          <w:color w:val="auto"/>
          <w:sz w:val="24"/>
          <w:szCs w:val="24"/>
          <w:highlight w:val="none"/>
        </w:rPr>
        <w:t>5.3  特殊情况处置</w:t>
      </w:r>
      <w:bookmarkEnd w:id="158"/>
      <w:bookmarkEnd w:id="159"/>
      <w:bookmarkEnd w:id="16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9511"/>
      <w:bookmarkStart w:id="162" w:name="_Toc15721"/>
      <w:bookmarkStart w:id="163" w:name="_Toc27892"/>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_Toc11337"/>
      <w:bookmarkStart w:id="165" w:name="bookmark66"/>
      <w:bookmarkStart w:id="166" w:name="bookmark65"/>
      <w:bookmarkStart w:id="167" w:name="bookmark67"/>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28737"/>
      <w:bookmarkStart w:id="169" w:name="_Toc7769"/>
      <w:bookmarkStart w:id="170" w:name="_Toc11012"/>
      <w:r>
        <w:rPr>
          <w:rFonts w:hint="eastAsia" w:ascii="宋体" w:hAnsi="宋体" w:eastAsia="宋体" w:cs="宋体"/>
          <w:b/>
          <w:bCs/>
          <w:color w:val="auto"/>
          <w:sz w:val="24"/>
          <w:szCs w:val="24"/>
          <w:highlight w:val="none"/>
        </w:rPr>
        <w:t>6.1  评标委员会</w:t>
      </w:r>
      <w:bookmarkEnd w:id="168"/>
      <w:bookmarkEnd w:id="169"/>
      <w:bookmarkEnd w:id="170"/>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6"/>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6"/>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11652"/>
      <w:bookmarkStart w:id="179" w:name="_Toc7474"/>
      <w:bookmarkStart w:id="180" w:name="_Toc28"/>
      <w:r>
        <w:rPr>
          <w:rFonts w:hint="eastAsia" w:ascii="宋体" w:hAnsi="宋体" w:eastAsia="宋体" w:cs="宋体"/>
          <w:b/>
          <w:bCs/>
          <w:color w:val="auto"/>
          <w:sz w:val="24"/>
          <w:szCs w:val="24"/>
          <w:highlight w:val="none"/>
        </w:rPr>
        <w:t>6.2  评标原则</w:t>
      </w:r>
      <w:bookmarkEnd w:id="178"/>
      <w:bookmarkEnd w:id="179"/>
      <w:bookmarkEnd w:id="18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13039"/>
      <w:bookmarkStart w:id="182" w:name="_Toc12122"/>
      <w:bookmarkStart w:id="183" w:name="_Toc23807"/>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30247"/>
      <w:bookmarkStart w:id="185" w:name="_Toc31683"/>
      <w:bookmarkStart w:id="186" w:name="_Toc20369"/>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bookmark75"/>
      <w:bookmarkStart w:id="188" w:name="_Toc23475"/>
      <w:bookmarkStart w:id="189" w:name="bookmark77"/>
      <w:bookmarkStart w:id="190" w:name="bookmark76"/>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20847"/>
      <w:bookmarkStart w:id="192" w:name="_Toc10228"/>
      <w:bookmarkStart w:id="193" w:name="_Toc27258"/>
      <w:r>
        <w:rPr>
          <w:rFonts w:hint="eastAsia" w:ascii="宋体" w:hAnsi="宋体" w:eastAsia="宋体" w:cs="宋体"/>
          <w:b/>
          <w:bCs/>
          <w:color w:val="auto"/>
          <w:sz w:val="24"/>
          <w:szCs w:val="24"/>
          <w:highlight w:val="none"/>
        </w:rPr>
        <w:t>7.1  定标方式</w:t>
      </w:r>
      <w:bookmarkEnd w:id="191"/>
      <w:bookmarkEnd w:id="192"/>
      <w:bookmarkEnd w:id="193"/>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23727"/>
      <w:bookmarkStart w:id="197" w:name="_Toc8556"/>
      <w:bookmarkStart w:id="198" w:name="_Toc23245"/>
      <w:r>
        <w:rPr>
          <w:rFonts w:hint="eastAsia" w:ascii="宋体" w:hAnsi="宋体" w:eastAsia="宋体" w:cs="宋体"/>
          <w:b/>
          <w:bCs/>
          <w:color w:val="auto"/>
          <w:sz w:val="24"/>
          <w:szCs w:val="24"/>
          <w:highlight w:val="none"/>
        </w:rPr>
        <w:t>7.2  中标通知</w:t>
      </w:r>
      <w:bookmarkEnd w:id="196"/>
      <w:bookmarkEnd w:id="197"/>
      <w:bookmarkEnd w:id="198"/>
    </w:p>
    <w:p>
      <w:pPr>
        <w:pStyle w:val="11"/>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20821"/>
      <w:bookmarkStart w:id="200" w:name="_Toc2134"/>
      <w:bookmarkStart w:id="201" w:name="_Toc374"/>
      <w:r>
        <w:rPr>
          <w:rFonts w:hint="eastAsia" w:ascii="宋体" w:hAnsi="宋体" w:eastAsia="宋体" w:cs="宋体"/>
          <w:b/>
          <w:bCs/>
          <w:color w:val="auto"/>
          <w:sz w:val="24"/>
          <w:szCs w:val="24"/>
          <w:highlight w:val="none"/>
        </w:rPr>
        <w:t>7.3  履约担保</w:t>
      </w:r>
      <w:bookmarkEnd w:id="199"/>
      <w:bookmarkEnd w:id="200"/>
      <w:bookmarkEnd w:id="201"/>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15337"/>
      <w:bookmarkStart w:id="203" w:name="_Toc23527"/>
      <w:bookmarkStart w:id="204" w:name="_Toc32290"/>
      <w:r>
        <w:rPr>
          <w:rFonts w:hint="eastAsia" w:ascii="宋体" w:hAnsi="宋体" w:eastAsia="宋体" w:cs="宋体"/>
          <w:b/>
          <w:bCs/>
          <w:color w:val="auto"/>
          <w:sz w:val="24"/>
          <w:szCs w:val="24"/>
          <w:highlight w:val="none"/>
        </w:rPr>
        <w:t>7.4  签订合同</w:t>
      </w:r>
      <w:bookmarkEnd w:id="202"/>
      <w:bookmarkEnd w:id="203"/>
      <w:bookmarkEnd w:id="2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2"/>
      <w:bookmarkStart w:id="206" w:name="_Toc32051"/>
      <w:bookmarkStart w:id="207" w:name="bookmark81"/>
      <w:bookmarkStart w:id="208" w:name="bookmark80"/>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9892"/>
      <w:bookmarkStart w:id="210" w:name="_Toc116"/>
      <w:bookmarkStart w:id="211" w:name="_Toc27517"/>
      <w:r>
        <w:rPr>
          <w:rFonts w:hint="eastAsia" w:ascii="宋体" w:hAnsi="宋体" w:eastAsia="宋体" w:cs="宋体"/>
          <w:b/>
          <w:bCs/>
          <w:color w:val="auto"/>
          <w:sz w:val="24"/>
          <w:szCs w:val="24"/>
          <w:highlight w:val="none"/>
        </w:rPr>
        <w:t>8.1  重新招标</w:t>
      </w:r>
      <w:bookmarkEnd w:id="209"/>
      <w:bookmarkEnd w:id="210"/>
      <w:bookmarkEnd w:id="21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25792"/>
      <w:bookmarkStart w:id="219" w:name="_Toc11519"/>
      <w:bookmarkStart w:id="220" w:name="_Toc20372"/>
      <w:r>
        <w:rPr>
          <w:rFonts w:hint="eastAsia" w:ascii="宋体" w:hAnsi="宋体" w:eastAsia="宋体" w:cs="宋体"/>
          <w:b/>
          <w:bCs/>
          <w:color w:val="auto"/>
          <w:sz w:val="24"/>
          <w:szCs w:val="24"/>
          <w:highlight w:val="none"/>
        </w:rPr>
        <w:t>8.2  不再招标</w:t>
      </w:r>
      <w:bookmarkEnd w:id="218"/>
      <w:bookmarkEnd w:id="219"/>
      <w:bookmarkEnd w:id="22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bookmark90"/>
      <w:bookmarkStart w:id="222" w:name="bookmark89"/>
      <w:bookmarkStart w:id="223" w:name="bookmark91"/>
      <w:bookmarkStart w:id="224" w:name="_Toc5075"/>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7310"/>
      <w:bookmarkStart w:id="226" w:name="_Toc16475"/>
      <w:bookmarkStart w:id="227" w:name="_Toc16982"/>
      <w:r>
        <w:rPr>
          <w:rFonts w:hint="eastAsia" w:ascii="宋体" w:hAnsi="宋体" w:eastAsia="宋体" w:cs="宋体"/>
          <w:b/>
          <w:bCs/>
          <w:color w:val="auto"/>
          <w:sz w:val="24"/>
          <w:szCs w:val="24"/>
          <w:highlight w:val="none"/>
        </w:rPr>
        <w:t>9.1  对招标人的纪律要求</w:t>
      </w:r>
      <w:bookmarkEnd w:id="225"/>
      <w:bookmarkEnd w:id="226"/>
      <w:bookmarkEnd w:id="22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4066"/>
      <w:bookmarkStart w:id="235" w:name="_Toc21339"/>
      <w:bookmarkStart w:id="236" w:name="_Toc27564"/>
      <w:r>
        <w:rPr>
          <w:rFonts w:hint="eastAsia" w:ascii="宋体" w:hAnsi="宋体" w:eastAsia="宋体" w:cs="宋体"/>
          <w:b/>
          <w:bCs/>
          <w:color w:val="auto"/>
          <w:sz w:val="24"/>
          <w:szCs w:val="24"/>
          <w:highlight w:val="none"/>
        </w:rPr>
        <w:t>9.2  对投标人的纪律要求</w:t>
      </w:r>
      <w:bookmarkEnd w:id="234"/>
      <w:bookmarkEnd w:id="235"/>
      <w:bookmarkEnd w:id="23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24508"/>
      <w:bookmarkStart w:id="238" w:name="_Toc19884"/>
      <w:bookmarkStart w:id="239" w:name="_Toc31850"/>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8029"/>
      <w:bookmarkStart w:id="241" w:name="_Toc25039"/>
      <w:bookmarkStart w:id="242" w:name="_Toc1611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28845"/>
      <w:bookmarkStart w:id="244" w:name="_Toc3102"/>
      <w:bookmarkStart w:id="245" w:name="_Toc15281"/>
      <w:r>
        <w:rPr>
          <w:rFonts w:hint="eastAsia" w:ascii="宋体" w:hAnsi="宋体" w:eastAsia="宋体" w:cs="宋体"/>
          <w:b/>
          <w:bCs/>
          <w:color w:val="auto"/>
          <w:sz w:val="24"/>
          <w:szCs w:val="24"/>
          <w:highlight w:val="none"/>
        </w:rPr>
        <w:t>9.5  异议与投诉</w:t>
      </w:r>
      <w:bookmarkEnd w:id="243"/>
      <w:bookmarkEnd w:id="244"/>
      <w:bookmarkEnd w:id="24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bookmark100"/>
      <w:bookmarkStart w:id="247" w:name="bookmark99"/>
      <w:bookmarkStart w:id="248" w:name="_Toc23816"/>
      <w:bookmarkStart w:id="249" w:name="bookmark98"/>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17"/>
      <w:bookmarkStart w:id="251" w:name="_Toc7215"/>
      <w:bookmarkStart w:id="252" w:name="_Toc17537"/>
      <w:r>
        <w:rPr>
          <w:rFonts w:hint="eastAsia" w:ascii="宋体" w:hAnsi="宋体" w:eastAsia="宋体" w:cs="宋体"/>
          <w:b/>
          <w:bCs/>
          <w:color w:val="auto"/>
          <w:sz w:val="24"/>
          <w:szCs w:val="24"/>
          <w:highlight w:val="none"/>
        </w:rPr>
        <w:t>10.1  类似项目</w:t>
      </w:r>
      <w:bookmarkEnd w:id="250"/>
      <w:bookmarkEnd w:id="251"/>
      <w:bookmarkEnd w:id="25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4979"/>
      <w:bookmarkStart w:id="254" w:name="_Toc17625"/>
      <w:bookmarkStart w:id="255" w:name="_Toc25165"/>
      <w:r>
        <w:rPr>
          <w:rFonts w:hint="eastAsia" w:ascii="宋体" w:hAnsi="宋体" w:eastAsia="宋体" w:cs="宋体"/>
          <w:b/>
          <w:bCs/>
          <w:color w:val="auto"/>
          <w:sz w:val="24"/>
          <w:szCs w:val="24"/>
          <w:highlight w:val="none"/>
        </w:rPr>
        <w:t>10.2  投标文件的澄清、质询</w:t>
      </w:r>
      <w:bookmarkEnd w:id="253"/>
      <w:bookmarkEnd w:id="254"/>
      <w:bookmarkEnd w:id="25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21564"/>
      <w:bookmarkStart w:id="257" w:name="_Toc25867"/>
      <w:bookmarkStart w:id="258" w:name="_Toc10294"/>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5983"/>
      <w:bookmarkStart w:id="260" w:name="_Toc7444"/>
      <w:bookmarkStart w:id="261" w:name="_Toc25794"/>
      <w:r>
        <w:rPr>
          <w:rFonts w:hint="eastAsia" w:ascii="宋体" w:hAnsi="宋体" w:eastAsia="宋体" w:cs="宋体"/>
          <w:b/>
          <w:bCs/>
          <w:color w:val="auto"/>
          <w:sz w:val="24"/>
          <w:szCs w:val="24"/>
          <w:highlight w:val="none"/>
        </w:rPr>
        <w:t>10.4  中标人的投标文件</w:t>
      </w:r>
      <w:bookmarkEnd w:id="259"/>
      <w:bookmarkEnd w:id="260"/>
      <w:bookmarkEnd w:id="26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25713"/>
      <w:bookmarkStart w:id="263" w:name="_Toc32694"/>
      <w:bookmarkStart w:id="264" w:name="_Toc13707"/>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279"/>
      <w:bookmarkStart w:id="266" w:name="_Toc2756"/>
      <w:bookmarkStart w:id="267" w:name="_Toc19235"/>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19281"/>
      <w:bookmarkStart w:id="269" w:name="_Toc11470"/>
      <w:bookmarkStart w:id="270" w:name="_Toc27253"/>
      <w:r>
        <w:rPr>
          <w:rFonts w:hint="eastAsia" w:ascii="宋体" w:hAnsi="宋体" w:eastAsia="宋体" w:cs="宋体"/>
          <w:b/>
          <w:bCs/>
          <w:color w:val="auto"/>
          <w:sz w:val="24"/>
          <w:szCs w:val="24"/>
          <w:highlight w:val="none"/>
        </w:rPr>
        <w:t>10.7  特别说明</w:t>
      </w:r>
      <w:bookmarkEnd w:id="268"/>
      <w:bookmarkEnd w:id="269"/>
      <w:bookmarkEnd w:id="27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_Toc14401"/>
      <w:bookmarkStart w:id="272" w:name="bookmark103"/>
      <w:bookmarkStart w:id="273" w:name="bookmark101"/>
      <w:bookmarkStart w:id="274" w:name="bookmark102"/>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1468" w:gutter="0"/>
          <w:pgNumType w:fmt="decimal"/>
          <w:cols w:space="0" w:num="1"/>
          <w:docGrid w:linePitch="360" w:charSpace="0"/>
        </w:sectPr>
      </w:pPr>
    </w:p>
    <w:p>
      <w:pPr>
        <w:pStyle w:val="27"/>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8"/>
        <w:keepNext/>
        <w:keepLines/>
        <w:spacing w:before="480" w:beforeLines="200" w:after="680"/>
        <w:jc w:val="center"/>
        <w:outlineLvl w:val="9"/>
        <w:rPr>
          <w:b/>
          <w:bCs/>
          <w:color w:val="auto"/>
          <w:sz w:val="36"/>
          <w:szCs w:val="36"/>
          <w:highlight w:val="none"/>
        </w:rPr>
      </w:pPr>
      <w:bookmarkStart w:id="275" w:name="_Toc6656"/>
      <w:bookmarkStart w:id="276" w:name="_Toc4267"/>
      <w:bookmarkStart w:id="277" w:name="_Toc10543"/>
      <w:bookmarkStart w:id="278" w:name="bookmark106"/>
      <w:bookmarkStart w:id="279" w:name="_Toc20390"/>
      <w:bookmarkStart w:id="280" w:name="bookmark105"/>
      <w:bookmarkStart w:id="281" w:name="bookmark104"/>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29"/>
        <w:keepNext/>
        <w:keepLines/>
        <w:spacing w:before="240" w:beforeLines="100" w:after="1000"/>
        <w:jc w:val="center"/>
        <w:outlineLvl w:val="9"/>
        <w:rPr>
          <w:color w:val="auto"/>
          <w:sz w:val="30"/>
          <w:szCs w:val="30"/>
          <w:highlight w:val="none"/>
        </w:rPr>
      </w:pPr>
      <w:bookmarkStart w:id="282" w:name="_Toc9548"/>
      <w:bookmarkStart w:id="283" w:name="_Toc28909"/>
      <w:bookmarkStart w:id="284" w:name="_Toc6355"/>
      <w:bookmarkStart w:id="285" w:name="_Toc31247"/>
      <w:r>
        <w:rPr>
          <w:color w:val="auto"/>
          <w:sz w:val="30"/>
          <w:szCs w:val="30"/>
          <w:highlight w:val="none"/>
        </w:rPr>
        <w:t>编号：</w:t>
      </w:r>
      <w:bookmarkEnd w:id="282"/>
      <w:bookmarkEnd w:id="283"/>
      <w:bookmarkEnd w:id="284"/>
      <w:bookmarkEnd w:id="285"/>
    </w:p>
    <w:p>
      <w:pPr>
        <w:pStyle w:val="27"/>
        <w:spacing w:after="0"/>
        <w:jc w:val="center"/>
        <w:rPr>
          <w:color w:val="auto"/>
          <w:sz w:val="40"/>
          <w:szCs w:val="40"/>
          <w:highlight w:val="none"/>
        </w:rPr>
      </w:pPr>
    </w:p>
    <w:p>
      <w:pPr>
        <w:pStyle w:val="26"/>
        <w:tabs>
          <w:tab w:val="left" w:pos="2796"/>
          <w:tab w:val="left" w:pos="5640"/>
          <w:tab w:val="left" w:pos="9180"/>
        </w:tabs>
        <w:spacing w:after="0" w:line="540" w:lineRule="exact"/>
        <w:ind w:firstLine="0"/>
        <w:rPr>
          <w:color w:val="auto"/>
          <w:sz w:val="28"/>
          <w:szCs w:val="28"/>
          <w:highlight w:val="none"/>
        </w:rPr>
      </w:pPr>
    </w:p>
    <w:p>
      <w:pPr>
        <w:pStyle w:val="26"/>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86" w:name="_Toc8891"/>
      <w:bookmarkStart w:id="287" w:name="_Toc22689"/>
      <w:bookmarkStart w:id="288" w:name="bookmark109"/>
      <w:bookmarkStart w:id="289" w:name="bookmark108"/>
      <w:bookmarkStart w:id="290" w:name="bookmark107"/>
      <w:bookmarkStart w:id="291" w:name="_Toc1968"/>
      <w:bookmarkStart w:id="292" w:name="_Toc8665"/>
      <w:r>
        <w:rPr>
          <w:b/>
          <w:bCs/>
          <w:color w:val="auto"/>
          <w:sz w:val="36"/>
          <w:szCs w:val="36"/>
          <w:highlight w:val="none"/>
        </w:rPr>
        <w:t>招标文件澄清通知</w:t>
      </w:r>
      <w:bookmarkEnd w:id="286"/>
      <w:bookmarkEnd w:id="287"/>
      <w:bookmarkEnd w:id="288"/>
      <w:bookmarkEnd w:id="289"/>
      <w:bookmarkEnd w:id="290"/>
      <w:bookmarkEnd w:id="291"/>
      <w:bookmarkEnd w:id="292"/>
    </w:p>
    <w:p>
      <w:pPr>
        <w:pStyle w:val="29"/>
        <w:keepNext/>
        <w:keepLines/>
        <w:spacing w:before="240" w:beforeLines="100" w:after="1000"/>
        <w:jc w:val="center"/>
        <w:outlineLvl w:val="9"/>
        <w:rPr>
          <w:color w:val="auto"/>
          <w:sz w:val="30"/>
          <w:szCs w:val="30"/>
          <w:highlight w:val="none"/>
        </w:rPr>
      </w:pPr>
      <w:bookmarkStart w:id="293" w:name="_Toc28344"/>
      <w:bookmarkStart w:id="294" w:name="_Toc16592"/>
      <w:bookmarkStart w:id="295" w:name="_Toc31002"/>
      <w:bookmarkStart w:id="296" w:name="_Toc20511"/>
      <w:r>
        <w:rPr>
          <w:color w:val="auto"/>
          <w:sz w:val="30"/>
          <w:szCs w:val="30"/>
          <w:highlight w:val="none"/>
        </w:rPr>
        <w:t>编号：</w:t>
      </w:r>
      <w:bookmarkEnd w:id="293"/>
      <w:bookmarkEnd w:id="294"/>
      <w:bookmarkEnd w:id="295"/>
      <w:bookmarkEnd w:id="296"/>
    </w:p>
    <w:p>
      <w:pPr>
        <w:pStyle w:val="26"/>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6"/>
        <w:tabs>
          <w:tab w:val="left" w:pos="2796"/>
          <w:tab w:val="left" w:pos="5640"/>
          <w:tab w:val="left" w:pos="9180"/>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97" w:name="_Toc16635"/>
      <w:bookmarkStart w:id="298" w:name="bookmark110"/>
      <w:bookmarkStart w:id="299" w:name="_Toc28987"/>
      <w:bookmarkStart w:id="300" w:name="_Toc3049"/>
      <w:bookmarkStart w:id="301" w:name="bookmark112"/>
      <w:bookmarkStart w:id="302" w:name="bookmark111"/>
      <w:bookmarkStart w:id="303" w:name="_Toc8799"/>
      <w:r>
        <w:rPr>
          <w:b/>
          <w:bCs/>
          <w:color w:val="auto"/>
          <w:sz w:val="36"/>
          <w:szCs w:val="36"/>
          <w:highlight w:val="none"/>
        </w:rPr>
        <w:t>招标文件修改通知</w:t>
      </w:r>
      <w:bookmarkEnd w:id="297"/>
      <w:bookmarkEnd w:id="298"/>
      <w:bookmarkEnd w:id="299"/>
      <w:bookmarkEnd w:id="300"/>
      <w:bookmarkEnd w:id="301"/>
      <w:bookmarkEnd w:id="302"/>
      <w:bookmarkEnd w:id="303"/>
    </w:p>
    <w:p>
      <w:pPr>
        <w:pStyle w:val="29"/>
        <w:keepNext/>
        <w:keepLines/>
        <w:spacing w:before="240" w:beforeLines="100" w:after="1000"/>
        <w:jc w:val="center"/>
        <w:outlineLvl w:val="9"/>
        <w:rPr>
          <w:color w:val="auto"/>
          <w:sz w:val="30"/>
          <w:szCs w:val="30"/>
          <w:highlight w:val="none"/>
        </w:rPr>
      </w:pPr>
      <w:bookmarkStart w:id="304" w:name="_Toc7706"/>
      <w:bookmarkStart w:id="305" w:name="_Toc4658"/>
      <w:bookmarkStart w:id="306" w:name="_Toc17861"/>
      <w:bookmarkStart w:id="307" w:name="_Toc24130"/>
      <w:r>
        <w:rPr>
          <w:color w:val="auto"/>
          <w:sz w:val="30"/>
          <w:szCs w:val="30"/>
          <w:highlight w:val="none"/>
        </w:rPr>
        <w:t>编号：</w:t>
      </w:r>
      <w:bookmarkEnd w:id="304"/>
      <w:bookmarkEnd w:id="305"/>
      <w:bookmarkEnd w:id="306"/>
      <w:bookmarkEnd w:id="307"/>
    </w:p>
    <w:p>
      <w:pPr>
        <w:pStyle w:val="26"/>
        <w:spacing w:after="0" w:line="700" w:lineRule="exact"/>
        <w:ind w:firstLine="0"/>
        <w:rPr>
          <w:color w:val="auto"/>
          <w:sz w:val="24"/>
          <w:szCs w:val="24"/>
          <w:highlight w:val="none"/>
        </w:rPr>
      </w:pPr>
      <w:r>
        <w:rPr>
          <w:color w:val="auto"/>
          <w:sz w:val="24"/>
          <w:szCs w:val="24"/>
          <w:highlight w:val="none"/>
        </w:rPr>
        <w:t>各投标人：</w:t>
      </w:r>
    </w:p>
    <w:p>
      <w:pPr>
        <w:pStyle w:val="26"/>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6"/>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08" w:name="bookmark114"/>
      <w:bookmarkStart w:id="309" w:name="_Toc20011"/>
      <w:bookmarkStart w:id="310" w:name="_Toc7362"/>
      <w:bookmarkStart w:id="311" w:name="_Toc27448"/>
      <w:bookmarkStart w:id="312" w:name="_Toc8840"/>
      <w:bookmarkStart w:id="313" w:name="bookmark115"/>
      <w:bookmarkStart w:id="314" w:name="bookmark113"/>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18"/>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2"/>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2"/>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2"/>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2"/>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0"/>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0"/>
        <w:tabs>
          <w:tab w:val="left" w:pos="3648"/>
        </w:tabs>
        <w:spacing w:after="0" w:line="500" w:lineRule="exact"/>
        <w:jc w:val="right"/>
        <w:rPr>
          <w:color w:val="auto"/>
          <w:sz w:val="24"/>
          <w:szCs w:val="24"/>
          <w:highlight w:val="none"/>
          <w:u w:val="single"/>
          <w:lang w:val="en-US" w:eastAsia="zh-CN"/>
        </w:rPr>
      </w:pPr>
    </w:p>
    <w:p>
      <w:pPr>
        <w:pStyle w:val="30"/>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spacing w:after="0" w:line="500" w:lineRule="exact"/>
        <w:ind w:firstLine="420" w:firstLineChars="200"/>
        <w:rPr>
          <w:color w:val="auto"/>
          <w:sz w:val="21"/>
          <w:szCs w:val="21"/>
          <w:highlight w:val="none"/>
        </w:rPr>
      </w:pPr>
    </w:p>
    <w:p>
      <w:pPr>
        <w:pStyle w:val="30"/>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1468"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7"/>
        <w:spacing w:after="0" w:line="240" w:lineRule="exact"/>
        <w:rPr>
          <w:color w:val="auto"/>
          <w:sz w:val="21"/>
          <w:szCs w:val="21"/>
          <w:highlight w:val="none"/>
          <w:lang w:eastAsia="zh-CN"/>
        </w:rPr>
      </w:pPr>
      <w:bookmarkStart w:id="315" w:name="bookmark117"/>
      <w:bookmarkStart w:id="316" w:name="bookmark116"/>
      <w:bookmarkStart w:id="317" w:name="bookmark118"/>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18" w:name="bookmark120"/>
      <w:bookmarkStart w:id="319" w:name="_Toc295"/>
      <w:bookmarkStart w:id="320" w:name="_Toc23394"/>
      <w:bookmarkStart w:id="321" w:name="_Toc22569"/>
      <w:bookmarkStart w:id="322" w:name="bookmark119"/>
      <w:bookmarkStart w:id="323" w:name="_Toc21595"/>
      <w:bookmarkStart w:id="324" w:name="bookmark121"/>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29"/>
        <w:keepNext/>
        <w:keepLines/>
        <w:spacing w:before="240" w:beforeLines="100" w:after="1000"/>
        <w:jc w:val="center"/>
        <w:outlineLvl w:val="9"/>
        <w:rPr>
          <w:color w:val="auto"/>
          <w:sz w:val="21"/>
          <w:szCs w:val="21"/>
          <w:highlight w:val="none"/>
        </w:rPr>
      </w:pPr>
      <w:bookmarkStart w:id="325" w:name="bookmark124"/>
      <w:bookmarkStart w:id="326" w:name="_Toc6432"/>
      <w:bookmarkStart w:id="327" w:name="bookmark123"/>
      <w:bookmarkStart w:id="328" w:name="_Toc1130"/>
      <w:bookmarkStart w:id="329" w:name="_Toc16470"/>
      <w:bookmarkStart w:id="330" w:name="_Toc2753"/>
      <w:bookmarkStart w:id="331" w:name="bookmark122"/>
      <w:r>
        <w:rPr>
          <w:color w:val="auto"/>
          <w:sz w:val="21"/>
          <w:szCs w:val="21"/>
          <w:highlight w:val="none"/>
        </w:rPr>
        <w:t>编号：</w:t>
      </w:r>
      <w:bookmarkEnd w:id="325"/>
      <w:bookmarkEnd w:id="326"/>
      <w:bookmarkEnd w:id="327"/>
      <w:bookmarkEnd w:id="328"/>
      <w:bookmarkEnd w:id="329"/>
      <w:bookmarkEnd w:id="330"/>
      <w:bookmarkEnd w:id="331"/>
    </w:p>
    <w:p>
      <w:pPr>
        <w:pStyle w:val="26"/>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6"/>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6"/>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6"/>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6"/>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6"/>
      <w:bookmarkStart w:id="333" w:name="bookmark125"/>
      <w:bookmarkStart w:id="334" w:name="bookmark127"/>
    </w:p>
    <w:p>
      <w:pPr>
        <w:pStyle w:val="26"/>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9508"/>
          <w:tab w:val="left" w:pos="9688"/>
        </w:tabs>
        <w:spacing w:after="180" w:line="546" w:lineRule="exact"/>
        <w:jc w:val="right"/>
        <w:rPr>
          <w:color w:val="auto"/>
          <w:sz w:val="22"/>
          <w:szCs w:val="22"/>
          <w:highlight w:val="none"/>
        </w:rPr>
      </w:pPr>
    </w:p>
    <w:p>
      <w:pPr>
        <w:pStyle w:val="27"/>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7"/>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35" w:name="_Toc2564"/>
      <w:bookmarkStart w:id="336" w:name="bookmark128"/>
      <w:bookmarkStart w:id="337" w:name="bookmark130"/>
      <w:bookmarkStart w:id="338" w:name="_Toc16733"/>
      <w:bookmarkStart w:id="339" w:name="_Toc512"/>
      <w:bookmarkStart w:id="340" w:name="_Toc12132"/>
      <w:bookmarkStart w:id="341" w:name="bookmark129"/>
      <w:r>
        <w:rPr>
          <w:b/>
          <w:bCs/>
          <w:color w:val="auto"/>
          <w:sz w:val="36"/>
          <w:szCs w:val="36"/>
          <w:highlight w:val="none"/>
        </w:rPr>
        <w:t>中标结果通知书</w:t>
      </w:r>
      <w:bookmarkEnd w:id="335"/>
      <w:bookmarkEnd w:id="336"/>
      <w:bookmarkEnd w:id="337"/>
      <w:bookmarkEnd w:id="338"/>
      <w:bookmarkEnd w:id="339"/>
      <w:bookmarkEnd w:id="340"/>
      <w:bookmarkEnd w:id="341"/>
    </w:p>
    <w:p>
      <w:pPr>
        <w:pStyle w:val="29"/>
        <w:keepNext/>
        <w:keepLines/>
        <w:spacing w:before="240" w:beforeLines="100" w:after="1000"/>
        <w:jc w:val="center"/>
        <w:outlineLvl w:val="9"/>
        <w:rPr>
          <w:color w:val="auto"/>
          <w:sz w:val="21"/>
          <w:szCs w:val="21"/>
          <w:highlight w:val="none"/>
        </w:rPr>
      </w:pPr>
      <w:bookmarkStart w:id="342" w:name="_Toc28498"/>
      <w:bookmarkStart w:id="343" w:name="bookmark133"/>
      <w:bookmarkStart w:id="344" w:name="_Toc2319"/>
      <w:bookmarkStart w:id="345" w:name="bookmark131"/>
      <w:bookmarkStart w:id="346" w:name="bookmark132"/>
      <w:bookmarkStart w:id="347" w:name="_Toc28049"/>
      <w:bookmarkStart w:id="348" w:name="_Toc4812"/>
      <w:r>
        <w:rPr>
          <w:color w:val="auto"/>
          <w:sz w:val="21"/>
          <w:szCs w:val="21"/>
          <w:highlight w:val="none"/>
        </w:rPr>
        <w:t>编号：</w:t>
      </w:r>
      <w:bookmarkEnd w:id="342"/>
      <w:bookmarkEnd w:id="343"/>
      <w:bookmarkEnd w:id="344"/>
      <w:bookmarkEnd w:id="345"/>
      <w:bookmarkEnd w:id="346"/>
      <w:bookmarkEnd w:id="347"/>
      <w:bookmarkEnd w:id="348"/>
    </w:p>
    <w:p>
      <w:pPr>
        <w:pStyle w:val="26"/>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6"/>
        <w:tabs>
          <w:tab w:val="left" w:pos="9508"/>
          <w:tab w:val="left" w:pos="9688"/>
        </w:tabs>
        <w:spacing w:after="0" w:line="700" w:lineRule="exact"/>
        <w:ind w:firstLine="420" w:firstLineChars="200"/>
        <w:jc w:val="both"/>
        <w:rPr>
          <w:color w:val="auto"/>
          <w:sz w:val="21"/>
          <w:szCs w:val="21"/>
          <w:highlight w:val="none"/>
        </w:rPr>
      </w:pPr>
      <w:bookmarkStart w:id="349" w:name="bookmark135"/>
      <w:bookmarkStart w:id="350" w:name="bookmark136"/>
      <w:bookmarkStart w:id="351" w:name="bookmark134"/>
    </w:p>
    <w:p>
      <w:pPr>
        <w:pStyle w:val="26"/>
        <w:tabs>
          <w:tab w:val="left" w:pos="9508"/>
          <w:tab w:val="left" w:pos="9688"/>
        </w:tabs>
        <w:spacing w:after="0" w:line="700" w:lineRule="exact"/>
        <w:ind w:firstLine="420" w:firstLineChars="200"/>
        <w:jc w:val="both"/>
        <w:rPr>
          <w:color w:val="auto"/>
          <w:sz w:val="21"/>
          <w:szCs w:val="21"/>
          <w:highlight w:val="none"/>
        </w:rPr>
      </w:pPr>
    </w:p>
    <w:p>
      <w:pPr>
        <w:pStyle w:val="26"/>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19553"/>
      <w:bookmarkStart w:id="354" w:name="_Toc4272"/>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4268"/>
      <w:bookmarkStart w:id="356" w:name="_Toc1249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20568"/>
      <w:bookmarkStart w:id="358" w:name="_Toc19486"/>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4241"/>
      <w:bookmarkStart w:id="360" w:name="_Toc17120"/>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sz w:val="24"/>
          <w:szCs w:val="24"/>
        </w:rPr>
      </w:pPr>
      <w:bookmarkStart w:id="361" w:name="_Toc25627"/>
      <w:bookmarkStart w:id="362" w:name="_Toc4371"/>
      <w:bookmarkStart w:id="363" w:name="_Toc6788"/>
      <w:r>
        <w:rPr>
          <w:rFonts w:ascii="宋体" w:hAnsi="宋体" w:eastAsia="宋体" w:cs="宋体"/>
          <w:spacing w:val="-12"/>
          <w:sz w:val="24"/>
          <w:szCs w:val="24"/>
          <w14:textOutline w14:w="3831" w14:cap="flat" w14:cmpd="sng">
            <w14:solidFill>
              <w14:srgbClr w14:val="000000"/>
            </w14:solidFill>
            <w14:prstDash w14:val="solid"/>
            <w14:miter w14:val="0"/>
          </w14:textOutline>
        </w:rPr>
        <w:t>4.2</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sz w:val="21"/>
          <w:szCs w:val="21"/>
        </w:rPr>
      </w:pPr>
      <w:r>
        <w:rPr>
          <w:rFonts w:ascii="宋体" w:hAnsi="宋体" w:eastAsia="宋体" w:cs="宋体"/>
          <w:spacing w:val="-18"/>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.2.1</w:t>
      </w:r>
      <w:r>
        <w:rPr>
          <w:rFonts w:ascii="宋体" w:hAnsi="宋体" w:eastAsia="宋体" w:cs="宋体"/>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spacing w:val="-1"/>
          <w:sz w:val="21"/>
          <w:szCs w:val="21"/>
        </w:rPr>
        <w:t>若投标报价在最高投标限价以下投标人在</w:t>
      </w:r>
      <w:r>
        <w:rPr>
          <w:rFonts w:ascii="宋体" w:hAnsi="宋体" w:eastAsia="宋体" w:cs="宋体"/>
          <w:sz w:val="21"/>
          <w:szCs w:val="21"/>
        </w:rPr>
        <w:t xml:space="preserve"> 100 家及以上时，入评基准价为最高投标限价以下所 </w:t>
      </w:r>
      <w:r>
        <w:rPr>
          <w:rFonts w:ascii="宋体" w:hAnsi="宋体" w:eastAsia="宋体" w:cs="宋体"/>
          <w:spacing w:val="-2"/>
          <w:sz w:val="21"/>
          <w:szCs w:val="21"/>
        </w:rPr>
        <w:t>有投标人的投标报价中剔除投标报价</w:t>
      </w:r>
      <w:r>
        <w:rPr>
          <w:rFonts w:ascii="宋体" w:hAnsi="宋体" w:eastAsia="宋体" w:cs="宋体"/>
          <w:spacing w:val="-1"/>
          <w:sz w:val="21"/>
          <w:szCs w:val="21"/>
        </w:rPr>
        <w:t>由高到低排序前A个投标报价和投标报价由低到高排序前A个投</w:t>
      </w:r>
      <w:r>
        <w:rPr>
          <w:rFonts w:ascii="宋体" w:hAnsi="宋体" w:eastAsia="宋体" w:cs="宋体"/>
          <w:sz w:val="21"/>
          <w:szCs w:val="21"/>
        </w:rPr>
        <w:t xml:space="preserve"> </w:t>
      </w:r>
      <w:r>
        <w:rPr>
          <w:rFonts w:ascii="宋体" w:hAnsi="宋体" w:eastAsia="宋体" w:cs="宋体"/>
          <w:spacing w:val="-6"/>
          <w:sz w:val="21"/>
          <w:szCs w:val="21"/>
        </w:rPr>
        <w:t>标报</w:t>
      </w:r>
      <w:r>
        <w:rPr>
          <w:rFonts w:ascii="宋体" w:hAnsi="宋体" w:eastAsia="宋体" w:cs="宋体"/>
          <w:spacing w:val="-4"/>
          <w:sz w:val="21"/>
          <w:szCs w:val="21"/>
        </w:rPr>
        <w:t>价</w:t>
      </w:r>
      <w:r>
        <w:rPr>
          <w:rFonts w:ascii="宋体" w:hAnsi="宋体" w:eastAsia="宋体" w:cs="宋体"/>
          <w:spacing w:val="-3"/>
          <w:sz w:val="21"/>
          <w:szCs w:val="21"/>
        </w:rPr>
        <w:t>后的算术平均值 [A 为最高投标限价以下</w:t>
      </w:r>
      <w:r>
        <w:rPr>
          <w:rFonts w:ascii="宋体" w:hAnsi="宋体" w:eastAsia="宋体" w:cs="宋体"/>
          <w:color w:val="FF0000"/>
          <w:spacing w:val="-3"/>
          <w:sz w:val="21"/>
          <w:szCs w:val="21"/>
        </w:rPr>
        <w:t xml:space="preserve">投标人个数的 </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FF0000"/>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FF0000"/>
          <w:spacing w:val="-3"/>
          <w:sz w:val="21"/>
          <w:szCs w:val="21"/>
        </w:rPr>
        <w:t>,</w:t>
      </w:r>
      <w:r>
        <w:rPr>
          <w:rFonts w:ascii="宋体" w:hAnsi="宋体" w:eastAsia="宋体" w:cs="宋体"/>
          <w:spacing w:val="-3"/>
          <w:sz w:val="21"/>
          <w:szCs w:val="21"/>
        </w:rPr>
        <w:t>并取整数，小数点后四舍五入] ；</w:t>
      </w:r>
      <w:r>
        <w:rPr>
          <w:rFonts w:ascii="宋体" w:hAnsi="宋体" w:eastAsia="宋体" w:cs="宋体"/>
          <w:sz w:val="21"/>
          <w:szCs w:val="21"/>
        </w:rPr>
        <w:t xml:space="preserve"> </w:t>
      </w:r>
      <w:r>
        <w:rPr>
          <w:rFonts w:ascii="宋体" w:hAnsi="宋体" w:eastAsia="宋体" w:cs="宋体"/>
          <w:spacing w:val="-10"/>
          <w:sz w:val="21"/>
          <w:szCs w:val="21"/>
        </w:rPr>
        <w:t>若投标报</w:t>
      </w:r>
      <w:r>
        <w:rPr>
          <w:rFonts w:ascii="宋体" w:hAnsi="宋体" w:eastAsia="宋体" w:cs="宋体"/>
          <w:spacing w:val="-8"/>
          <w:sz w:val="21"/>
          <w:szCs w:val="21"/>
        </w:rPr>
        <w:t>价</w:t>
      </w:r>
      <w:r>
        <w:rPr>
          <w:rFonts w:ascii="宋体" w:hAnsi="宋体" w:eastAsia="宋体" w:cs="宋体"/>
          <w:spacing w:val="-5"/>
          <w:sz w:val="21"/>
          <w:szCs w:val="21"/>
        </w:rPr>
        <w:t>在最高投标限价以下投标人大于等于 50 家但少于 100 家时， 入评基准价为最高投标限价</w:t>
      </w:r>
      <w:r>
        <w:rPr>
          <w:rFonts w:ascii="宋体" w:hAnsi="宋体" w:eastAsia="宋体" w:cs="宋体"/>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sz w:val="21"/>
          <w:szCs w:val="21"/>
        </w:rPr>
      </w:pPr>
      <w:r>
        <w:rPr>
          <w:rFonts w:ascii="宋体" w:hAnsi="宋体" w:eastAsia="宋体" w:cs="宋体"/>
          <w:spacing w:val="-6"/>
          <w:sz w:val="21"/>
          <w:szCs w:val="21"/>
        </w:rPr>
        <w:t>以下所有投标人的</w:t>
      </w:r>
      <w:r>
        <w:rPr>
          <w:rFonts w:ascii="宋体" w:hAnsi="宋体" w:eastAsia="宋体" w:cs="宋体"/>
          <w:spacing w:val="-5"/>
          <w:sz w:val="21"/>
          <w:szCs w:val="21"/>
        </w:rPr>
        <w:t>投</w:t>
      </w:r>
      <w:r>
        <w:rPr>
          <w:rFonts w:ascii="宋体" w:hAnsi="宋体" w:eastAsia="宋体" w:cs="宋体"/>
          <w:spacing w:val="-3"/>
          <w:sz w:val="21"/>
          <w:szCs w:val="21"/>
        </w:rPr>
        <w:t>标报价的算术平均值。若投标报价在最高投标限价以下投标人少于 50 家时， 不</w:t>
      </w:r>
      <w:r>
        <w:rPr>
          <w:rFonts w:ascii="宋体" w:hAnsi="宋体" w:eastAsia="宋体" w:cs="宋体"/>
          <w:spacing w:val="-1"/>
          <w:sz w:val="21"/>
          <w:szCs w:val="21"/>
        </w:rPr>
        <w:t>计算入评基</w:t>
      </w:r>
      <w:r>
        <w:rPr>
          <w:rFonts w:ascii="宋体" w:hAnsi="宋体" w:eastAsia="宋体" w:cs="宋体"/>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sz w:val="21"/>
          <w:szCs w:val="21"/>
        </w:rPr>
      </w:pPr>
      <w:r>
        <w:rPr>
          <w:rFonts w:ascii="宋体" w:hAnsi="宋体" w:eastAsia="宋体" w:cs="宋体"/>
          <w:spacing w:val="-24"/>
          <w:sz w:val="21"/>
          <w:szCs w:val="21"/>
        </w:rPr>
        <w:t>入</w:t>
      </w:r>
      <w:r>
        <w:rPr>
          <w:rFonts w:ascii="宋体" w:hAnsi="宋体" w:eastAsia="宋体" w:cs="宋体"/>
          <w:spacing w:val="-20"/>
          <w:sz w:val="21"/>
          <w:szCs w:val="21"/>
        </w:rPr>
        <w:t>评</w:t>
      </w:r>
      <w:r>
        <w:rPr>
          <w:rFonts w:ascii="宋体" w:hAnsi="宋体" w:eastAsia="宋体" w:cs="宋体"/>
          <w:spacing w:val="-12"/>
          <w:sz w:val="21"/>
          <w:szCs w:val="21"/>
        </w:rPr>
        <w:t>基准价由评标委员会依据上述方法计算，除计算差错外，确认后的入评基准价在评标期间保持不</w:t>
      </w:r>
      <w:r>
        <w:rPr>
          <w:rFonts w:ascii="宋体" w:hAnsi="宋体" w:eastAsia="宋体" w:cs="宋体"/>
          <w:sz w:val="21"/>
          <w:szCs w:val="21"/>
        </w:rPr>
        <w:t xml:space="preserve"> </w:t>
      </w:r>
      <w:r>
        <w:rPr>
          <w:rFonts w:ascii="宋体" w:hAnsi="宋体" w:eastAsia="宋体" w:cs="宋体"/>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sz w:val="21"/>
          <w:szCs w:val="21"/>
        </w:rPr>
      </w:pPr>
      <w:r>
        <w:rPr>
          <w:rFonts w:ascii="宋体" w:hAnsi="宋体" w:eastAsia="宋体" w:cs="宋体"/>
          <w:spacing w:val="-22"/>
          <w:sz w:val="21"/>
          <w:szCs w:val="21"/>
        </w:rPr>
        <w:t>计算</w:t>
      </w:r>
      <w:r>
        <w:rPr>
          <w:rFonts w:ascii="宋体" w:hAnsi="宋体" w:eastAsia="宋体" w:cs="宋体"/>
          <w:spacing w:val="-15"/>
          <w:sz w:val="21"/>
          <w:szCs w:val="21"/>
        </w:rPr>
        <w:t>差</w:t>
      </w:r>
      <w:r>
        <w:rPr>
          <w:rFonts w:ascii="宋体" w:hAnsi="宋体" w:eastAsia="宋体" w:cs="宋体"/>
          <w:spacing w:val="-11"/>
          <w:sz w:val="21"/>
          <w:szCs w:val="21"/>
        </w:rPr>
        <w:t>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.2.2</w:t>
      </w:r>
      <w:r>
        <w:rPr>
          <w:rFonts w:ascii="宋体" w:hAnsi="宋体" w:eastAsia="宋体" w:cs="宋体"/>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sz w:val="21"/>
          <w:szCs w:val="21"/>
        </w:rPr>
      </w:pPr>
      <w:r>
        <w:rPr>
          <w:rFonts w:ascii="宋体" w:hAnsi="宋体" w:eastAsia="宋体" w:cs="宋体"/>
          <w:spacing w:val="-18"/>
          <w:sz w:val="21"/>
          <w:szCs w:val="21"/>
        </w:rPr>
        <w:t>以</w:t>
      </w:r>
      <w:r>
        <w:rPr>
          <w:rFonts w:ascii="宋体" w:hAnsi="宋体" w:eastAsia="宋体" w:cs="宋体"/>
          <w:spacing w:val="-13"/>
          <w:sz w:val="21"/>
          <w:szCs w:val="21"/>
        </w:rPr>
        <w:t>入评基准价为基础，将各投标人的投标报价与入评基准价比较，计算出偏离基准价的百分数后，再</w:t>
      </w:r>
      <w:r>
        <w:rPr>
          <w:rFonts w:ascii="宋体" w:hAnsi="宋体" w:eastAsia="宋体" w:cs="宋体"/>
          <w:sz w:val="21"/>
          <w:szCs w:val="21"/>
        </w:rPr>
        <w:t xml:space="preserve"> </w:t>
      </w:r>
      <w:r>
        <w:rPr>
          <w:rFonts w:ascii="宋体" w:hAnsi="宋体" w:eastAsia="宋体" w:cs="宋体"/>
          <w:spacing w:val="-13"/>
          <w:sz w:val="21"/>
          <w:szCs w:val="21"/>
        </w:rPr>
        <w:t>进</w:t>
      </w:r>
      <w:r>
        <w:rPr>
          <w:rFonts w:ascii="宋体" w:hAnsi="宋体" w:eastAsia="宋体" w:cs="宋体"/>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1"/>
          <w:sz w:val="21"/>
          <w:szCs w:val="21"/>
        </w:rPr>
        <w:t>a</w:t>
      </w:r>
      <w:r>
        <w:rPr>
          <w:rFonts w:ascii="宋体" w:hAnsi="宋体" w:eastAsia="宋体" w:cs="宋体"/>
          <w:spacing w:val="-22"/>
          <w:sz w:val="21"/>
          <w:szCs w:val="21"/>
        </w:rPr>
        <w:t>.</w:t>
      </w:r>
      <w:r>
        <w:rPr>
          <w:rFonts w:ascii="宋体" w:hAnsi="宋体" w:eastAsia="宋体" w:cs="宋体"/>
          <w:spacing w:val="-19"/>
          <w:sz w:val="21"/>
          <w:szCs w:val="21"/>
        </w:rPr>
        <w:t>投</w:t>
      </w:r>
      <w:r>
        <w:rPr>
          <w:rFonts w:ascii="宋体" w:hAnsi="宋体" w:eastAsia="宋体" w:cs="宋体"/>
          <w:spacing w:val="-11"/>
          <w:sz w:val="21"/>
          <w:szCs w:val="21"/>
        </w:rPr>
        <w:t>标报价等于入评基准价时，得满分(</w:t>
      </w:r>
      <w:r>
        <w:rPr>
          <w:rFonts w:ascii="宋体" w:hAnsi="宋体" w:eastAsia="宋体" w:cs="宋体"/>
          <w:spacing w:val="-11"/>
          <w:sz w:val="21"/>
          <w:szCs w:val="21"/>
          <w:u w:val="single" w:color="auto"/>
        </w:rPr>
        <w:t xml:space="preserve">100 </w:t>
      </w:r>
      <w:r>
        <w:rPr>
          <w:rFonts w:ascii="宋体" w:hAnsi="宋体" w:eastAsia="宋体" w:cs="宋体"/>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sz w:val="21"/>
          <w:szCs w:val="21"/>
        </w:rPr>
      </w:pPr>
      <w:r>
        <w:rPr>
          <w:rFonts w:ascii="宋体" w:hAnsi="宋体" w:eastAsia="宋体" w:cs="宋体"/>
          <w:spacing w:val="-17"/>
          <w:sz w:val="21"/>
          <w:szCs w:val="21"/>
        </w:rPr>
        <w:t>b</w:t>
      </w:r>
      <w:r>
        <w:rPr>
          <w:rFonts w:ascii="宋体" w:hAnsi="宋体" w:eastAsia="宋体" w:cs="宋体"/>
          <w:spacing w:val="-24"/>
          <w:sz w:val="21"/>
          <w:szCs w:val="21"/>
        </w:rPr>
        <w:t>.</w:t>
      </w:r>
      <w:r>
        <w:rPr>
          <w:rFonts w:ascii="宋体" w:hAnsi="宋体" w:eastAsia="宋体" w:cs="宋体"/>
          <w:spacing w:val="-17"/>
          <w:sz w:val="21"/>
          <w:szCs w:val="21"/>
        </w:rPr>
        <w:t xml:space="preserve">投标报价每低于入评基准价 1 个百分点，扣 </w:t>
      </w:r>
      <w:r>
        <w:rPr>
          <w:rFonts w:ascii="宋体" w:hAnsi="宋体" w:eastAsia="宋体" w:cs="宋体"/>
          <w:spacing w:val="-17"/>
          <w:sz w:val="21"/>
          <w:szCs w:val="21"/>
          <w:u w:val="single" w:color="auto"/>
        </w:rPr>
        <w:t xml:space="preserve">2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sz w:val="21"/>
          <w:szCs w:val="21"/>
        </w:rPr>
      </w:pPr>
      <w:r>
        <w:rPr>
          <w:rFonts w:ascii="宋体" w:hAnsi="宋体" w:eastAsia="宋体" w:cs="宋体"/>
          <w:spacing w:val="-17"/>
          <w:sz w:val="21"/>
          <w:szCs w:val="21"/>
        </w:rPr>
        <w:t>c</w:t>
      </w:r>
      <w:r>
        <w:rPr>
          <w:rFonts w:ascii="宋体" w:hAnsi="宋体" w:eastAsia="宋体" w:cs="宋体"/>
          <w:spacing w:val="-31"/>
          <w:sz w:val="21"/>
          <w:szCs w:val="21"/>
        </w:rPr>
        <w:t>.</w:t>
      </w:r>
      <w:r>
        <w:rPr>
          <w:rFonts w:ascii="宋体" w:hAnsi="宋体" w:eastAsia="宋体" w:cs="宋体"/>
          <w:spacing w:val="-17"/>
          <w:sz w:val="21"/>
          <w:szCs w:val="21"/>
        </w:rPr>
        <w:t xml:space="preserve">投标报价每高于入评基准价 1 个百分点，扣 </w:t>
      </w:r>
      <w:r>
        <w:rPr>
          <w:rFonts w:ascii="宋体" w:hAnsi="宋体" w:eastAsia="宋体" w:cs="宋体"/>
          <w:spacing w:val="-17"/>
          <w:sz w:val="21"/>
          <w:szCs w:val="21"/>
          <w:u w:val="single" w:color="auto"/>
        </w:rPr>
        <w:t xml:space="preserve">4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sz w:val="21"/>
          <w:szCs w:val="21"/>
        </w:rPr>
      </w:pPr>
      <w:r>
        <w:rPr>
          <w:rFonts w:ascii="宋体" w:hAnsi="宋体" w:eastAsia="宋体" w:cs="宋体"/>
          <w:spacing w:val="-20"/>
          <w:sz w:val="21"/>
          <w:szCs w:val="21"/>
        </w:rPr>
        <w:t>以</w:t>
      </w:r>
      <w:r>
        <w:rPr>
          <w:rFonts w:ascii="宋体" w:hAnsi="宋体" w:eastAsia="宋体" w:cs="宋体"/>
          <w:spacing w:val="-19"/>
          <w:sz w:val="21"/>
          <w:szCs w:val="21"/>
        </w:rPr>
        <w:t>上评分计算过程保留小数 3 位，第 4 位四舍五入，最终结果保留小数 2 位，第 3 位四舍五入，评分</w:t>
      </w:r>
      <w:r>
        <w:rPr>
          <w:rFonts w:ascii="宋体" w:hAnsi="宋体" w:eastAsia="宋体" w:cs="宋体"/>
          <w:sz w:val="21"/>
          <w:szCs w:val="21"/>
        </w:rPr>
        <w:t xml:space="preserve"> </w:t>
      </w:r>
      <w:r>
        <w:rPr>
          <w:rFonts w:ascii="宋体" w:hAnsi="宋体" w:eastAsia="宋体" w:cs="宋体"/>
          <w:spacing w:val="-18"/>
          <w:sz w:val="21"/>
          <w:szCs w:val="21"/>
        </w:rPr>
        <w:t>不</w:t>
      </w:r>
      <w:r>
        <w:rPr>
          <w:rFonts w:ascii="宋体" w:hAnsi="宋体" w:eastAsia="宋体" w:cs="宋体"/>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.2.3</w:t>
      </w:r>
      <w:r>
        <w:rPr>
          <w:rFonts w:ascii="宋体" w:hAnsi="宋体" w:eastAsia="宋体" w:cs="宋体"/>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spacing w:val="-22"/>
          <w:sz w:val="21"/>
          <w:szCs w:val="21"/>
        </w:rPr>
        <w:t>投标</w:t>
      </w:r>
      <w:r>
        <w:rPr>
          <w:rFonts w:ascii="宋体" w:hAnsi="宋体" w:eastAsia="宋体" w:cs="宋体"/>
          <w:spacing w:val="-12"/>
          <w:sz w:val="21"/>
          <w:szCs w:val="21"/>
        </w:rPr>
        <w:t>报</w:t>
      </w:r>
      <w:r>
        <w:rPr>
          <w:rFonts w:ascii="宋体" w:hAnsi="宋体" w:eastAsia="宋体" w:cs="宋体"/>
          <w:spacing w:val="-11"/>
          <w:sz w:val="21"/>
          <w:szCs w:val="21"/>
        </w:rPr>
        <w:t>价在最高投标限价以下的投标人在 50 家及以上时，评标委员会按投标人的入评得分由高到低</w:t>
      </w:r>
      <w:r>
        <w:rPr>
          <w:rFonts w:ascii="宋体" w:hAnsi="宋体" w:eastAsia="宋体" w:cs="宋体"/>
          <w:sz w:val="21"/>
          <w:szCs w:val="21"/>
        </w:rPr>
        <w:t xml:space="preserve"> </w:t>
      </w:r>
      <w:r>
        <w:rPr>
          <w:rFonts w:ascii="宋体" w:hAnsi="宋体" w:eastAsia="宋体" w:cs="宋体"/>
          <w:spacing w:val="-26"/>
          <w:sz w:val="21"/>
          <w:szCs w:val="21"/>
        </w:rPr>
        <w:t>的顺</w:t>
      </w:r>
      <w:r>
        <w:rPr>
          <w:rFonts w:ascii="宋体" w:hAnsi="宋体" w:eastAsia="宋体" w:cs="宋体"/>
          <w:spacing w:val="-23"/>
          <w:sz w:val="21"/>
          <w:szCs w:val="21"/>
        </w:rPr>
        <w:t>序</w:t>
      </w:r>
      <w:r>
        <w:rPr>
          <w:rFonts w:ascii="宋体" w:hAnsi="宋体" w:eastAsia="宋体" w:cs="宋体"/>
          <w:spacing w:val="-13"/>
          <w:sz w:val="21"/>
          <w:szCs w:val="21"/>
        </w:rPr>
        <w:t>(入评得分相同时，按投标报价由低到高的顺序)取 10 名投标人作为入评投标人进入后续评审</w:t>
      </w:r>
      <w:r>
        <w:rPr>
          <w:rFonts w:hint="eastAsia" w:ascii="宋体" w:hAnsi="宋体" w:eastAsia="宋体" w:cs="宋体"/>
          <w:spacing w:val="-13"/>
          <w:sz w:val="21"/>
          <w:szCs w:val="21"/>
          <w:lang w:eastAsia="zh-CN"/>
        </w:rPr>
        <w:t>。</w:t>
      </w:r>
      <w:r>
        <w:rPr>
          <w:rFonts w:hint="eastAsia" w:ascii="宋体" w:hAnsi="宋体" w:eastAsia="宋体" w:cs="宋体"/>
          <w:color w:val="000000" w:themeColor="text1"/>
          <w:spacing w:val="-13"/>
          <w:sz w:val="21"/>
          <w:szCs w:val="21"/>
          <w:lang w:val="en-US" w:eastAsia="zh-CN"/>
          <w14:textFill>
            <w14:solidFill>
              <w14:schemeClr w14:val="tx1"/>
            </w14:solidFill>
          </w14:textFill>
        </w:rPr>
        <w:t>如果出现并列第10名时，</w:t>
      </w:r>
      <w:r>
        <w:rPr>
          <w:rFonts w:ascii="宋体" w:hAnsi="宋体" w:eastAsia="宋体" w:cs="宋体"/>
          <w:color w:val="000000" w:themeColor="text1"/>
          <w:spacing w:val="-13"/>
          <w:sz w:val="21"/>
          <w:szCs w:val="21"/>
          <w14:textFill>
            <w14:solidFill>
              <w14:schemeClr w14:val="tx1"/>
            </w14:solidFill>
          </w14:textFill>
        </w:rPr>
        <w:t>入评得分相同</w:t>
      </w:r>
      <w:r>
        <w:rPr>
          <w:rFonts w:hint="eastAsia" w:ascii="宋体" w:hAnsi="宋体" w:eastAsia="宋体" w:cs="宋体"/>
          <w:color w:val="000000" w:themeColor="text1"/>
          <w:spacing w:val="-13"/>
          <w:sz w:val="21"/>
          <w:szCs w:val="21"/>
          <w:lang w:val="en-US" w:eastAsia="zh-CN"/>
          <w14:textFill>
            <w14:solidFill>
              <w14:schemeClr w14:val="tx1"/>
            </w14:solidFill>
          </w14:textFill>
        </w:rPr>
        <w:t>且</w:t>
      </w:r>
      <w:r>
        <w:rPr>
          <w:rFonts w:ascii="宋体" w:hAnsi="宋体" w:eastAsia="宋体" w:cs="宋体"/>
          <w:color w:val="000000" w:themeColor="text1"/>
          <w:spacing w:val="-13"/>
          <w:sz w:val="21"/>
          <w:szCs w:val="21"/>
          <w14:textFill>
            <w14:solidFill>
              <w14:schemeClr w14:val="tx1"/>
            </w14:solidFill>
          </w14:textFill>
        </w:rPr>
        <w:t>投标报价</w:t>
      </w:r>
      <w:r>
        <w:rPr>
          <w:rFonts w:hint="eastAsia" w:ascii="宋体" w:hAnsi="宋体" w:eastAsia="宋体" w:cs="宋体"/>
          <w:color w:val="000000" w:themeColor="text1"/>
          <w:spacing w:val="-13"/>
          <w:sz w:val="21"/>
          <w:szCs w:val="21"/>
          <w:lang w:val="en-US" w:eastAsia="zh-CN"/>
          <w14:textFill>
            <w14:solidFill>
              <w14:schemeClr w14:val="tx1"/>
            </w14:solidFill>
          </w14:textFill>
        </w:rPr>
        <w:t>也相同时，并列第10名全部进入评审</w:t>
      </w:r>
      <w:r>
        <w:rPr>
          <w:rFonts w:ascii="宋体" w:hAnsi="宋体" w:eastAsia="宋体" w:cs="宋体"/>
          <w:color w:val="000000" w:themeColor="text1"/>
          <w:spacing w:val="-13"/>
          <w:sz w:val="21"/>
          <w:szCs w:val="21"/>
          <w14:textFill>
            <w14:solidFill>
              <w14:schemeClr w14:val="tx1"/>
            </w14:solidFill>
          </w14:textFill>
        </w:rPr>
        <w:t>。在后</w:t>
      </w:r>
      <w:r>
        <w:rPr>
          <w:rFonts w:ascii="宋体" w:hAnsi="宋体" w:eastAsia="宋体" w:cs="宋体"/>
          <w:color w:val="000000" w:themeColor="text1"/>
          <w:spacing w:val="-28"/>
          <w:sz w:val="21"/>
          <w:szCs w:val="21"/>
          <w14:textFill>
            <w14:solidFill>
              <w14:schemeClr w14:val="tx1"/>
            </w14:solidFill>
          </w14:textFill>
        </w:rPr>
        <w:t>续</w:t>
      </w:r>
      <w:r>
        <w:rPr>
          <w:rFonts w:ascii="宋体" w:hAnsi="宋体" w:eastAsia="宋体" w:cs="宋体"/>
          <w:color w:val="000000" w:themeColor="text1"/>
          <w:spacing w:val="-15"/>
          <w:sz w:val="21"/>
          <w:szCs w:val="21"/>
          <w14:textFill>
            <w14:solidFill>
              <w14:schemeClr w14:val="tx1"/>
            </w14:solidFill>
          </w14:textFill>
        </w:rPr>
        <w:t>评审过程中出现否决投标情况的，其他投标人按入评得分由高到低的顺序依次递补满 10 名(少于 10 名时</w:t>
      </w:r>
      <w:r>
        <w:rPr>
          <w:rFonts w:ascii="宋体" w:hAnsi="宋体" w:eastAsia="宋体" w:cs="宋体"/>
          <w:color w:val="000000" w:themeColor="text1"/>
          <w:spacing w:val="-12"/>
          <w:sz w:val="21"/>
          <w:szCs w:val="21"/>
          <w14:textFill>
            <w14:solidFill>
              <w14:schemeClr w14:val="tx1"/>
            </w14:solidFill>
          </w14:textFill>
        </w:rPr>
        <w:t>全部进入评审范围)。若投标报价在最高投标限价以下的投标人少于 50 家时，所有投标人均作为入评投</w:t>
      </w:r>
      <w:r>
        <w:rPr>
          <w:rFonts w:ascii="宋体" w:hAnsi="宋体" w:eastAsia="宋体" w:cs="宋体"/>
          <w:color w:val="000000" w:themeColor="text1"/>
          <w:spacing w:val="-5"/>
          <w:sz w:val="21"/>
          <w:szCs w:val="21"/>
          <w14:textFill>
            <w14:solidFill>
              <w14:schemeClr w14:val="tx1"/>
            </w14:solidFill>
          </w14:textFill>
        </w:rPr>
        <w:t>标</w:t>
      </w:r>
      <w:r>
        <w:rPr>
          <w:rFonts w:ascii="宋体" w:hAnsi="宋体" w:eastAsia="宋体" w:cs="宋体"/>
          <w:color w:val="000000" w:themeColor="text1"/>
          <w:spacing w:val="-10"/>
          <w:sz w:val="21"/>
          <w:szCs w:val="21"/>
          <w14:textFill>
            <w14:solidFill>
              <w14:schemeClr w14:val="tx1"/>
            </w14:solidFill>
          </w14:textFill>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2"/>
          <w:sz w:val="24"/>
          <w:szCs w:val="24"/>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4"/>
          <w:szCs w:val="24"/>
          <w14:textFill>
            <w14:solidFill>
              <w14:schemeClr w14:val="tx1"/>
            </w14:solidFill>
          </w14:textFill>
        </w:rPr>
        <w:t xml:space="preserve"> </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5"/>
          <w:sz w:val="21"/>
          <w:szCs w:val="21"/>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 xml:space="preserve"> 评标委员会应依照招标文件的要求和规定，首先对入评投标人的投标资格和投标文件进行符合</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性审查</w:t>
      </w:r>
      <w:r>
        <w:rPr>
          <w:rFonts w:ascii="宋体" w:hAnsi="宋体" w:eastAsia="宋体" w:cs="宋体"/>
          <w:color w:val="000000" w:themeColor="text1"/>
          <w:spacing w:val="-11"/>
          <w:sz w:val="21"/>
          <w:szCs w:val="21"/>
          <w14:textFill>
            <w14:solidFill>
              <w14:schemeClr w14:val="tx1"/>
            </w14:solidFill>
          </w14:textFill>
        </w:rPr>
        <w:t>。</w:t>
      </w:r>
      <w:r>
        <w:rPr>
          <w:rFonts w:ascii="宋体" w:hAnsi="宋体" w:eastAsia="宋体" w:cs="宋体"/>
          <w:color w:val="000000" w:themeColor="text1"/>
          <w:spacing w:val="-10"/>
          <w:sz w:val="21"/>
          <w:szCs w:val="21"/>
          <w14:textFill>
            <w14:solidFill>
              <w14:schemeClr w14:val="tx1"/>
            </w14:solidFill>
          </w14:textFill>
        </w:rPr>
        <w:t>符合性审查应包括三个方面内容：投标人资格审查、投标文件实质性格式要求响应性审查、投标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文件</w:t>
      </w:r>
      <w:r>
        <w:rPr>
          <w:rFonts w:ascii="宋体" w:hAnsi="宋体" w:eastAsia="宋体" w:cs="宋体"/>
          <w:color w:val="000000" w:themeColor="text1"/>
          <w:spacing w:val="-12"/>
          <w:sz w:val="21"/>
          <w:szCs w:val="21"/>
          <w14:textFill>
            <w14:solidFill>
              <w14:schemeClr w14:val="tx1"/>
            </w14:solidFill>
          </w14:textFill>
        </w:rPr>
        <w:t>实</w:t>
      </w:r>
      <w:r>
        <w:rPr>
          <w:rFonts w:ascii="宋体" w:hAnsi="宋体" w:eastAsia="宋体" w:cs="宋体"/>
          <w:color w:val="000000" w:themeColor="text1"/>
          <w:spacing w:val="-11"/>
          <w:sz w:val="21"/>
          <w:szCs w:val="21"/>
          <w14:textFill>
            <w14:solidFill>
              <w14:schemeClr w14:val="tx1"/>
            </w14:solidFill>
          </w14:textFill>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.2</w:t>
      </w:r>
      <w:r>
        <w:rPr>
          <w:rFonts w:ascii="宋体" w:hAnsi="宋体" w:eastAsia="宋体" w:cs="宋体"/>
          <w:color w:val="000000" w:themeColor="text1"/>
          <w:spacing w:val="-11"/>
          <w:sz w:val="21"/>
          <w:szCs w:val="21"/>
          <w14:textFill>
            <w14:solidFill>
              <w14:schemeClr w14:val="tx1"/>
            </w14:solidFill>
          </w14:textFill>
        </w:rPr>
        <w:t xml:space="preserve"> 投标人不得通过补充、修改或撤销投标文件中的内容使其成为实质性响应的投标。投标人在投</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标</w:t>
      </w:r>
      <w:r>
        <w:rPr>
          <w:rFonts w:ascii="宋体" w:hAnsi="宋体" w:eastAsia="宋体" w:cs="宋体"/>
          <w:color w:val="000000" w:themeColor="text1"/>
          <w:spacing w:val="-11"/>
          <w:sz w:val="21"/>
          <w:szCs w:val="21"/>
          <w14:textFill>
            <w14:solidFill>
              <w14:schemeClr w14:val="tx1"/>
            </w14:solidFill>
          </w14:textFill>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20"/>
          <w:sz w:val="21"/>
          <w:szCs w:val="21"/>
          <w14:textOutline w14:w="3831" w14:cap="flat" w14:cmpd="sng">
            <w14:solidFill>
              <w14:srgbClr w14:val="000000"/>
            </w14:solidFill>
            <w14:prstDash w14:val="solid"/>
            <w14:miter w14:val="0"/>
          </w14:textOutline>
          <w14:textFill>
            <w14:solidFill>
              <w14:schemeClr w14:val="tx1"/>
            </w14:solidFill>
          </w14:textFill>
        </w:rPr>
        <w:t>.</w:t>
      </w:r>
      <w:r>
        <w:rPr>
          <w:rFonts w:ascii="宋体" w:hAnsi="宋体" w:eastAsia="宋体" w:cs="宋体"/>
          <w:color w:val="000000" w:themeColor="text1"/>
          <w:spacing w:val="-13"/>
          <w:sz w:val="21"/>
          <w:szCs w:val="21"/>
          <w14:textOutline w14:w="3831" w14:cap="flat" w14:cmpd="sng">
            <w14:solidFill>
              <w14:srgbClr w14:val="000000"/>
            </w14:solidFill>
            <w14:prstDash w14:val="solid"/>
            <w14:miter w14:val="0"/>
          </w14:textOutline>
          <w14:textFill>
            <w14:solidFill>
              <w14:schemeClr w14:val="tx1"/>
            </w14:solidFill>
          </w14:textFill>
        </w:rPr>
        <w:t>3.3</w:t>
      </w:r>
      <w:r>
        <w:rPr>
          <w:rFonts w:ascii="宋体" w:hAnsi="宋体" w:eastAsia="宋体" w:cs="宋体"/>
          <w:color w:val="000000" w:themeColor="text1"/>
          <w:spacing w:val="-13"/>
          <w:sz w:val="21"/>
          <w:szCs w:val="21"/>
          <w14:textFill>
            <w14:solidFill>
              <w14:schemeClr w14:val="tx1"/>
            </w14:solidFill>
          </w14:textFill>
        </w:rPr>
        <w:t xml:space="preserve"> 投标文件如存在以下情况之一的，由评标委员会全体成员按照少数服从多数的原则记名投票(不</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得</w:t>
      </w:r>
      <w:r>
        <w:rPr>
          <w:rFonts w:ascii="宋体" w:hAnsi="宋体" w:eastAsia="宋体" w:cs="宋体"/>
          <w:color w:val="000000" w:themeColor="text1"/>
          <w:spacing w:val="-16"/>
          <w:sz w:val="21"/>
          <w:szCs w:val="21"/>
          <w14:textFill>
            <w14:solidFill>
              <w14:schemeClr w14:val="tx1"/>
            </w14:solidFill>
          </w14:textFill>
        </w:rPr>
        <w:t>弃</w:t>
      </w:r>
      <w:r>
        <w:rPr>
          <w:rFonts w:ascii="宋体" w:hAnsi="宋体" w:eastAsia="宋体" w:cs="宋体"/>
          <w:color w:val="000000" w:themeColor="text1"/>
          <w:spacing w:val="-11"/>
          <w:sz w:val="21"/>
          <w:szCs w:val="21"/>
          <w14:textFill>
            <w14:solidFill>
              <w14:schemeClr w14:val="tx1"/>
            </w14:solidFill>
          </w14:textFill>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5"/>
          <w:sz w:val="21"/>
          <w:szCs w:val="21"/>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w:t>
      </w:r>
      <w:r>
        <w:rPr>
          <w:rFonts w:hint="eastAsia" w:ascii="宋体" w:hAnsi="宋体" w:eastAsia="宋体" w:cs="宋体"/>
          <w:color w:val="000000" w:themeColor="text1"/>
          <w:spacing w:val="-11"/>
          <w:sz w:val="21"/>
          <w:szCs w:val="21"/>
          <w:lang w:val="en-US" w:eastAsia="zh-CN"/>
          <w14:textFill>
            <w14:solidFill>
              <w14:schemeClr w14:val="tx1"/>
            </w14:solidFill>
          </w14:textFill>
        </w:rPr>
        <w:t>资信标、</w:t>
      </w:r>
      <w:r>
        <w:rPr>
          <w:rFonts w:ascii="宋体" w:hAnsi="宋体" w:eastAsia="宋体" w:cs="宋体"/>
          <w:color w:val="000000" w:themeColor="text1"/>
          <w:spacing w:val="-11"/>
          <w:sz w:val="21"/>
          <w:szCs w:val="21"/>
          <w14:textFill>
            <w14:solidFill>
              <w14:schemeClr w14:val="tx1"/>
            </w14:solidFill>
          </w14:textFill>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(1)投标人未按招标文件要求加盖单位印章或投标人的法定代表人(或其委托代理人)未按招标文</w:t>
      </w:r>
      <w:r>
        <w:rPr>
          <w:rFonts w:ascii="宋体" w:hAnsi="宋体" w:eastAsia="宋体" w:cs="宋体"/>
          <w:color w:val="000000" w:themeColor="text1"/>
          <w:spacing w:val="-5"/>
          <w:sz w:val="21"/>
          <w:szCs w:val="21"/>
          <w14:textFill>
            <w14:solidFill>
              <w14:schemeClr w14:val="tx1"/>
            </w14:solidFill>
          </w14:textFill>
        </w:rPr>
        <w:t>件</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4"/>
          <w:sz w:val="21"/>
          <w:szCs w:val="21"/>
          <w14:textFill>
            <w14:solidFill>
              <w14:schemeClr w14:val="tx1"/>
            </w14:solidFill>
          </w14:textFill>
        </w:rPr>
        <w:t>要</w:t>
      </w:r>
      <w:r>
        <w:rPr>
          <w:rFonts w:ascii="宋体" w:hAnsi="宋体" w:eastAsia="宋体" w:cs="宋体"/>
          <w:color w:val="000000" w:themeColor="text1"/>
          <w:spacing w:val="-10"/>
          <w:sz w:val="21"/>
          <w:szCs w:val="21"/>
          <w14:textFill>
            <w14:solidFill>
              <w14:schemeClr w14:val="tx1"/>
            </w14:solidFill>
          </w14:textFill>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2)投标人法定代表人授权委托代理人签署投标文件，未提供有效授权委托书的或投标人法定代表</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人</w:t>
      </w:r>
      <w:r>
        <w:rPr>
          <w:rFonts w:ascii="宋体" w:hAnsi="宋体" w:eastAsia="宋体" w:cs="宋体"/>
          <w:color w:val="000000" w:themeColor="text1"/>
          <w:spacing w:val="-11"/>
          <w:sz w:val="21"/>
          <w:szCs w:val="21"/>
          <w14:textFill>
            <w14:solidFill>
              <w14:schemeClr w14:val="tx1"/>
            </w14:solidFill>
          </w14:textFill>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3"/>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4)投标人的投标资格不满足招标文件载明的强制性要求的(以投标人须知前附表第 10.3 款实质性</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响</w:t>
      </w:r>
      <w:r>
        <w:rPr>
          <w:rFonts w:ascii="宋体" w:hAnsi="宋体" w:eastAsia="宋体" w:cs="宋体"/>
          <w:color w:val="000000" w:themeColor="text1"/>
          <w:spacing w:val="-11"/>
          <w:sz w:val="21"/>
          <w:szCs w:val="21"/>
          <w14:textFill>
            <w14:solidFill>
              <w14:schemeClr w14:val="tx1"/>
            </w14:solidFill>
          </w14:textFill>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(5)拟实行分包的，其分包的工作不满足招标文件载明的强制性要求的(以投标人须知前附</w:t>
      </w:r>
      <w:r>
        <w:rPr>
          <w:rFonts w:ascii="宋体" w:hAnsi="宋体" w:eastAsia="宋体" w:cs="宋体"/>
          <w:color w:val="000000" w:themeColor="text1"/>
          <w:spacing w:val="-4"/>
          <w:sz w:val="21"/>
          <w:szCs w:val="21"/>
          <w14:textFill>
            <w14:solidFill>
              <w14:schemeClr w14:val="tx1"/>
            </w14:solidFill>
          </w14:textFill>
        </w:rPr>
        <w:t>表</w:t>
      </w:r>
      <w:r>
        <w:rPr>
          <w:rFonts w:ascii="宋体" w:hAnsi="宋体" w:eastAsia="宋体" w:cs="宋体"/>
          <w:color w:val="000000" w:themeColor="text1"/>
          <w:sz w:val="21"/>
          <w:szCs w:val="21"/>
          <w14:textFill>
            <w14:solidFill>
              <w14:schemeClr w14:val="tx1"/>
            </w14:solidFill>
          </w14:textFill>
        </w:rPr>
        <w:t xml:space="preserve">第 </w:t>
      </w: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(6</w:t>
      </w: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9"/>
          <w:sz w:val="21"/>
          <w:szCs w:val="21"/>
          <w14:textFill>
            <w14:solidFill>
              <w14:schemeClr w14:val="tx1"/>
            </w14:solidFill>
          </w14:textFill>
        </w:rPr>
        <w:t>同一投标人提交两个以上不同的投标文件且未声明哪一个有效的(招标文件要求提交备选投标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的</w:t>
      </w:r>
      <w:r>
        <w:rPr>
          <w:rFonts w:ascii="宋体" w:hAnsi="宋体" w:eastAsia="宋体" w:cs="宋体"/>
          <w:color w:val="000000" w:themeColor="text1"/>
          <w:spacing w:val="-12"/>
          <w:sz w:val="21"/>
          <w:szCs w:val="21"/>
          <w14:textFill>
            <w14:solidFill>
              <w14:schemeClr w14:val="tx1"/>
            </w14:solidFill>
          </w14:textFill>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(7)投标人不以自己的名义或未按招标文件要求提供投标保证金或提供的投标保证金有缺陷而不</w:t>
      </w:r>
      <w:r>
        <w:rPr>
          <w:rFonts w:ascii="宋体" w:hAnsi="宋体" w:eastAsia="宋体" w:cs="宋体"/>
          <w:color w:val="000000" w:themeColor="text1"/>
          <w:spacing w:val="-10"/>
          <w:sz w:val="21"/>
          <w:szCs w:val="21"/>
          <w14:textFill>
            <w14:solidFill>
              <w14:schemeClr w14:val="tx1"/>
            </w14:solidFill>
          </w14:textFill>
        </w:rPr>
        <w:t>能</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0"/>
          <w:sz w:val="21"/>
          <w:szCs w:val="21"/>
          <w14:textFill>
            <w14:solidFill>
              <w14:schemeClr w14:val="tx1"/>
            </w14:solidFill>
          </w14:textFill>
        </w:rPr>
        <w:t>接</w:t>
      </w:r>
      <w:r>
        <w:rPr>
          <w:rFonts w:ascii="宋体" w:hAnsi="宋体" w:eastAsia="宋体" w:cs="宋体"/>
          <w:color w:val="000000" w:themeColor="text1"/>
          <w:spacing w:val="-7"/>
          <w:sz w:val="21"/>
          <w:szCs w:val="21"/>
          <w14:textFill>
            <w14:solidFill>
              <w14:schemeClr w14:val="tx1"/>
            </w14:solidFill>
          </w14:textFill>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4"/>
          <w:sz w:val="21"/>
          <w:szCs w:val="21"/>
          <w14:textFill>
            <w14:solidFill>
              <w14:schemeClr w14:val="tx1"/>
            </w14:solidFill>
          </w14:textFill>
        </w:rPr>
        <w:t>(8</w:t>
      </w:r>
      <w:r>
        <w:rPr>
          <w:rFonts w:ascii="宋体" w:hAnsi="宋体" w:eastAsia="宋体" w:cs="宋体"/>
          <w:color w:val="000000" w:themeColor="text1"/>
          <w:spacing w:val="-13"/>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000000" w:themeColor="text1"/>
          <w:sz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(10)采用的施工工艺、方法或质量安全管理措施不能满足国家强制性标准或要求的</w:t>
      </w:r>
      <w:r>
        <w:rPr>
          <w:rFonts w:ascii="宋体" w:hAnsi="宋体" w:eastAsia="宋体" w:cs="宋体"/>
          <w:color w:val="000000" w:themeColor="text1"/>
          <w:spacing w:val="-1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w:t>
      </w:r>
      <w:r>
        <w:rPr>
          <w:rFonts w:ascii="宋体" w:hAnsi="宋体" w:eastAsia="宋体" w:cs="宋体"/>
          <w:color w:val="000000" w:themeColor="text1"/>
          <w:spacing w:val="11"/>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1)投标人存在投标人须知正文第“1.4.3 投标人不得存在下列情形之一”项或投标人须</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3"/>
          <w:sz w:val="21"/>
          <w:szCs w:val="21"/>
          <w14:textFill>
            <w14:solidFill>
              <w14:schemeClr w14:val="tx1"/>
            </w14:solidFill>
          </w14:textFill>
        </w:rPr>
        <w:t>知</w:t>
      </w:r>
      <w:r>
        <w:rPr>
          <w:rFonts w:ascii="宋体" w:hAnsi="宋体" w:eastAsia="宋体" w:cs="宋体"/>
          <w:color w:val="000000" w:themeColor="text1"/>
          <w:spacing w:val="-11"/>
          <w:sz w:val="21"/>
          <w:szCs w:val="21"/>
          <w14:textFill>
            <w14:solidFill>
              <w14:schemeClr w14:val="tx1"/>
            </w14:solidFill>
          </w14:textFill>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12)存在法律、法规、规章规定的其他无效投标情况的。</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2</w:t>
      </w:r>
      <w:r>
        <w:rPr>
          <w:rFonts w:ascii="宋体" w:hAnsi="宋体" w:eastAsia="宋体" w:cs="宋体"/>
          <w:color w:val="000000" w:themeColor="text1"/>
          <w:spacing w:val="-10"/>
          <w:sz w:val="21"/>
          <w:szCs w:val="21"/>
          <w14:textFill>
            <w14:solidFill>
              <w14:schemeClr w14:val="tx1"/>
            </w14:solidFill>
          </w14:textFill>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sz w:val="21"/>
          <w:szCs w:val="21"/>
        </w:rPr>
      </w:pPr>
      <w:r>
        <w:rPr>
          <w:rFonts w:ascii="宋体" w:hAnsi="宋体" w:eastAsia="宋体" w:cs="宋体"/>
          <w:spacing w:val="-16"/>
          <w:sz w:val="21"/>
          <w:szCs w:val="21"/>
        </w:rPr>
        <w:t>(</w:t>
      </w:r>
      <w:r>
        <w:rPr>
          <w:rFonts w:ascii="宋体" w:hAnsi="宋体" w:eastAsia="宋体" w:cs="宋体"/>
          <w:spacing w:val="-11"/>
          <w:sz w:val="21"/>
          <w:szCs w:val="21"/>
        </w:rPr>
        <w:t>1)投标人未按招标文件要求加盖单位印章或投标人的法定代表人(或其委托代理人)未按招标文件</w:t>
      </w:r>
      <w:r>
        <w:rPr>
          <w:rFonts w:ascii="宋体" w:hAnsi="宋体" w:eastAsia="宋体" w:cs="宋体"/>
          <w:sz w:val="21"/>
          <w:szCs w:val="21"/>
        </w:rPr>
        <w:t xml:space="preserve"> </w:t>
      </w:r>
      <w:r>
        <w:rPr>
          <w:rFonts w:ascii="宋体" w:hAnsi="宋体" w:eastAsia="宋体" w:cs="宋体"/>
          <w:spacing w:val="-14"/>
          <w:sz w:val="21"/>
          <w:szCs w:val="21"/>
        </w:rPr>
        <w:t>要</w:t>
      </w:r>
      <w:r>
        <w:rPr>
          <w:rFonts w:ascii="宋体" w:hAnsi="宋体" w:eastAsia="宋体" w:cs="宋体"/>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sz w:val="21"/>
          <w:szCs w:val="21"/>
        </w:rPr>
      </w:pPr>
      <w:r>
        <w:rPr>
          <w:rFonts w:ascii="宋体" w:hAnsi="宋体" w:eastAsia="宋体" w:cs="宋体"/>
          <w:spacing w:val="-9"/>
          <w:sz w:val="21"/>
          <w:szCs w:val="21"/>
        </w:rPr>
        <w:t>(2)同一投标人提交两个以上不同的投标报价且未声明哪一个有效的(招标文件要求提交备选投</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15"/>
          <w:sz w:val="21"/>
          <w:szCs w:val="21"/>
        </w:rPr>
        <w:t>的</w:t>
      </w:r>
      <w:r>
        <w:rPr>
          <w:rFonts w:ascii="宋体" w:hAnsi="宋体" w:eastAsia="宋体" w:cs="宋体"/>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sz w:val="21"/>
          <w:szCs w:val="21"/>
        </w:rPr>
      </w:pPr>
      <w:r>
        <w:rPr>
          <w:rFonts w:ascii="宋体" w:hAnsi="宋体" w:eastAsia="宋体" w:cs="宋体"/>
          <w:spacing w:val="-24"/>
          <w:sz w:val="21"/>
          <w:szCs w:val="21"/>
        </w:rPr>
        <w:t>(</w:t>
      </w:r>
      <w:r>
        <w:rPr>
          <w:rFonts w:ascii="宋体" w:hAnsi="宋体" w:eastAsia="宋体" w:cs="宋体"/>
          <w:spacing w:val="-17"/>
          <w:sz w:val="21"/>
          <w:szCs w:val="21"/>
        </w:rPr>
        <w:t>3</w:t>
      </w:r>
      <w:r>
        <w:rPr>
          <w:rFonts w:ascii="宋体" w:hAnsi="宋体" w:eastAsia="宋体" w:cs="宋体"/>
          <w:spacing w:val="-12"/>
          <w:sz w:val="21"/>
          <w:szCs w:val="21"/>
        </w:rPr>
        <w:t>)投标函载明的投标工期和质量不满足招标文件要求的(以投标人须知前附表第 1.3.2、1.3.3 项</w:t>
      </w:r>
      <w:r>
        <w:rPr>
          <w:rFonts w:ascii="宋体" w:hAnsi="宋体" w:eastAsia="宋体" w:cs="宋体"/>
          <w:sz w:val="21"/>
          <w:szCs w:val="21"/>
        </w:rPr>
        <w:t xml:space="preserve"> </w:t>
      </w:r>
      <w:r>
        <w:rPr>
          <w:rFonts w:ascii="宋体" w:hAnsi="宋体" w:eastAsia="宋体" w:cs="宋体"/>
          <w:spacing w:val="-10"/>
          <w:sz w:val="21"/>
          <w:szCs w:val="21"/>
        </w:rPr>
        <w:t>为</w:t>
      </w:r>
      <w:r>
        <w:rPr>
          <w:rFonts w:ascii="宋体" w:hAnsi="宋体" w:eastAsia="宋体" w:cs="宋体"/>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sz w:val="21"/>
          <w:szCs w:val="21"/>
        </w:rPr>
      </w:pPr>
      <w:r>
        <w:rPr>
          <w:rFonts w:ascii="宋体" w:hAnsi="宋体" w:eastAsia="宋体" w:cs="宋体"/>
          <w:spacing w:val="-22"/>
          <w:sz w:val="21"/>
          <w:szCs w:val="21"/>
        </w:rPr>
        <w:t>(5)</w:t>
      </w:r>
      <w:r>
        <w:rPr>
          <w:rFonts w:ascii="宋体" w:hAnsi="宋体" w:eastAsia="宋体" w:cs="宋体"/>
          <w:spacing w:val="-13"/>
          <w:sz w:val="21"/>
          <w:szCs w:val="21"/>
        </w:rPr>
        <w:t>改</w:t>
      </w:r>
      <w:r>
        <w:rPr>
          <w:rFonts w:ascii="宋体" w:hAnsi="宋体" w:eastAsia="宋体" w:cs="宋体"/>
          <w:spacing w:val="-11"/>
          <w:sz w:val="21"/>
          <w:szCs w:val="21"/>
        </w:rPr>
        <w:t>变招标人提供的工程量清单中的项目编码、项目名称、项目主要特征、计量单位、工程数量、</w:t>
      </w:r>
      <w:r>
        <w:rPr>
          <w:rFonts w:ascii="宋体" w:hAnsi="宋体" w:eastAsia="宋体" w:cs="宋体"/>
          <w:sz w:val="21"/>
          <w:szCs w:val="21"/>
        </w:rPr>
        <w:t xml:space="preserve"> </w:t>
      </w:r>
      <w:r>
        <w:rPr>
          <w:rFonts w:ascii="宋体" w:hAnsi="宋体" w:eastAsia="宋体" w:cs="宋体"/>
          <w:spacing w:val="-22"/>
          <w:sz w:val="21"/>
          <w:szCs w:val="21"/>
        </w:rPr>
        <w:t>主</w:t>
      </w:r>
      <w:r>
        <w:rPr>
          <w:rFonts w:ascii="宋体" w:hAnsi="宋体" w:eastAsia="宋体" w:cs="宋体"/>
          <w:spacing w:val="-20"/>
          <w:sz w:val="21"/>
          <w:szCs w:val="21"/>
        </w:rPr>
        <w:t>要</w:t>
      </w:r>
      <w:r>
        <w:rPr>
          <w:rFonts w:ascii="宋体" w:hAnsi="宋体" w:eastAsia="宋体" w:cs="宋体"/>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24"/>
          <w:sz w:val="21"/>
          <w:szCs w:val="21"/>
        </w:rPr>
        <w:t>(6</w:t>
      </w:r>
      <w:r>
        <w:rPr>
          <w:rFonts w:ascii="宋体" w:hAnsi="宋体" w:eastAsia="宋体" w:cs="宋体"/>
          <w:spacing w:val="-16"/>
          <w:sz w:val="21"/>
          <w:szCs w:val="21"/>
        </w:rPr>
        <w:t>)</w:t>
      </w:r>
      <w:r>
        <w:rPr>
          <w:rFonts w:ascii="宋体" w:hAnsi="宋体" w:eastAsia="宋体" w:cs="宋体"/>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4.4</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sz w:val="21"/>
          <w:szCs w:val="21"/>
        </w:rPr>
      </w:pPr>
      <w:r>
        <w:rPr>
          <w:rFonts w:ascii="宋体" w:hAnsi="宋体" w:eastAsia="宋体" w:cs="宋体"/>
          <w:spacing w:val="-28"/>
          <w:sz w:val="21"/>
          <w:szCs w:val="21"/>
          <w14:textOutline w14:w="3831" w14:cap="flat" w14:cmpd="sng">
            <w14:solidFill>
              <w14:srgbClr w14:val="000000"/>
            </w14:solidFill>
            <w14:prstDash w14:val="solid"/>
            <w14:miter w14:val="0"/>
          </w14:textOutline>
        </w:rPr>
        <w:t>4.</w:t>
      </w: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4"/>
          <w:sz w:val="21"/>
          <w:szCs w:val="21"/>
        </w:rPr>
        <w:t xml:space="preserve"> 评标委员会应对通过符合性审查的投标文件进行技术评审。专家评审采用集体评议、记名表决、</w:t>
      </w:r>
      <w:r>
        <w:rPr>
          <w:rFonts w:ascii="宋体" w:hAnsi="宋体" w:eastAsia="宋体" w:cs="宋体"/>
          <w:sz w:val="21"/>
          <w:szCs w:val="21"/>
        </w:rPr>
        <w:t xml:space="preserve"> </w:t>
      </w:r>
      <w:r>
        <w:rPr>
          <w:rFonts w:ascii="宋体" w:hAnsi="宋体" w:eastAsia="宋体" w:cs="宋体"/>
          <w:spacing w:val="-18"/>
          <w:sz w:val="21"/>
          <w:szCs w:val="21"/>
        </w:rPr>
        <w:t>少</w:t>
      </w:r>
      <w:r>
        <w:rPr>
          <w:rFonts w:ascii="宋体" w:hAnsi="宋体" w:eastAsia="宋体" w:cs="宋体"/>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9"/>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4.3</w:t>
      </w:r>
      <w:r>
        <w:rPr>
          <w:rFonts w:ascii="宋体" w:hAnsi="宋体" w:eastAsia="宋体" w:cs="宋体"/>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22"/>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.5</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sz w:val="21"/>
          <w:szCs w:val="21"/>
        </w:rPr>
      </w:pPr>
      <w:r>
        <w:rPr>
          <w:rFonts w:ascii="宋体" w:hAnsi="宋体" w:eastAsia="宋体" w:cs="宋体"/>
          <w:spacing w:val="-17"/>
          <w:sz w:val="21"/>
          <w:szCs w:val="21"/>
          <w14:textOutline w14:w="3831" w14:cap="flat" w14:cmpd="sng">
            <w14:solidFill>
              <w14:srgbClr w14:val="000000"/>
            </w14:solidFill>
            <w14:prstDash w14:val="solid"/>
            <w14:miter w14:val="0"/>
          </w14:textOutline>
        </w:rPr>
        <w:t>4</w:t>
      </w:r>
      <w:r>
        <w:rPr>
          <w:rFonts w:ascii="宋体" w:hAnsi="宋体" w:eastAsia="宋体" w:cs="宋体"/>
          <w:spacing w:val="-12"/>
          <w:sz w:val="21"/>
          <w:szCs w:val="21"/>
          <w14:textOutline w14:w="3831" w14:cap="flat" w14:cmpd="sng">
            <w14:solidFill>
              <w14:srgbClr w14:val="000000"/>
            </w14:solidFill>
            <w14:prstDash w14:val="solid"/>
            <w14:miter w14:val="0"/>
          </w14:textOutline>
        </w:rPr>
        <w:t>.5.1</w:t>
      </w:r>
      <w:r>
        <w:rPr>
          <w:rFonts w:ascii="宋体" w:hAnsi="宋体" w:eastAsia="宋体" w:cs="宋体"/>
          <w:spacing w:val="-12"/>
          <w:sz w:val="21"/>
          <w:szCs w:val="21"/>
        </w:rPr>
        <w:t xml:space="preserve"> 评标委员会对通过符合性评审、技术评审的投标文件进行商务评审。评标委员会应对商务报价</w:t>
      </w:r>
      <w:r>
        <w:rPr>
          <w:rFonts w:ascii="宋体" w:hAnsi="宋体" w:eastAsia="宋体" w:cs="宋体"/>
          <w:sz w:val="21"/>
          <w:szCs w:val="21"/>
        </w:rPr>
        <w:t xml:space="preserve"> </w:t>
      </w:r>
      <w:r>
        <w:rPr>
          <w:rFonts w:ascii="宋体" w:hAnsi="宋体" w:eastAsia="宋体" w:cs="宋体"/>
          <w:spacing w:val="-13"/>
          <w:sz w:val="21"/>
          <w:szCs w:val="21"/>
        </w:rPr>
        <w:t>的</w:t>
      </w:r>
      <w:r>
        <w:rPr>
          <w:rFonts w:ascii="宋体" w:hAnsi="宋体" w:eastAsia="宋体" w:cs="宋体"/>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sz w:val="21"/>
          <w:szCs w:val="21"/>
        </w:rPr>
      </w:pPr>
      <w:r>
        <w:rPr>
          <w:rFonts w:ascii="宋体" w:hAnsi="宋体" w:eastAsia="宋体" w:cs="宋体"/>
          <w:spacing w:val="-12"/>
          <w:sz w:val="21"/>
          <w:szCs w:val="21"/>
          <w14:textOutline w14:w="3831" w14:cap="flat" w14:cmpd="sng">
            <w14:solidFill>
              <w14:srgbClr w14:val="000000"/>
            </w14:solidFill>
            <w14:prstDash w14:val="solid"/>
            <w14:miter w14:val="0"/>
          </w14:textOutline>
        </w:rPr>
        <w:t>4.5.2</w:t>
      </w:r>
      <w:r>
        <w:rPr>
          <w:rFonts w:ascii="宋体" w:hAnsi="宋体" w:eastAsia="宋体" w:cs="宋体"/>
          <w:spacing w:val="-12"/>
          <w:sz w:val="21"/>
          <w:szCs w:val="21"/>
        </w:rPr>
        <w:t xml:space="preserve"> 商务评审应以报价口径范围一致的投标评标价为依据。投标评标价应在最终报价的基础上，</w:t>
      </w:r>
      <w:r>
        <w:rPr>
          <w:rFonts w:ascii="宋体" w:hAnsi="宋体" w:eastAsia="宋体" w:cs="宋体"/>
          <w:spacing w:val="-8"/>
          <w:sz w:val="21"/>
          <w:szCs w:val="21"/>
        </w:rPr>
        <w:t>按</w:t>
      </w:r>
      <w:r>
        <w:rPr>
          <w:rFonts w:ascii="宋体" w:hAnsi="宋体" w:eastAsia="宋体" w:cs="宋体"/>
          <w:sz w:val="21"/>
          <w:szCs w:val="21"/>
        </w:rPr>
        <w:t xml:space="preserve"> </w:t>
      </w:r>
      <w:r>
        <w:rPr>
          <w:rFonts w:ascii="宋体" w:hAnsi="宋体" w:eastAsia="宋体" w:cs="宋体"/>
          <w:spacing w:val="-13"/>
          <w:sz w:val="21"/>
          <w:szCs w:val="21"/>
        </w:rPr>
        <w:t>照</w:t>
      </w:r>
      <w:r>
        <w:rPr>
          <w:rFonts w:ascii="宋体" w:hAnsi="宋体" w:eastAsia="宋体" w:cs="宋体"/>
          <w:spacing w:val="-11"/>
          <w:sz w:val="21"/>
          <w:szCs w:val="21"/>
        </w:rPr>
        <w:t>招标文件约定的因素和方法进行计算。凡属招标文件的原因造成报价口径范围不一致的，应调整投标报</w:t>
      </w:r>
      <w:r>
        <w:rPr>
          <w:rFonts w:ascii="宋体" w:hAnsi="宋体" w:eastAsia="宋体" w:cs="宋体"/>
          <w:sz w:val="21"/>
          <w:szCs w:val="21"/>
        </w:rPr>
        <w:t xml:space="preserve"> </w:t>
      </w:r>
      <w:r>
        <w:rPr>
          <w:rFonts w:ascii="宋体" w:hAnsi="宋体" w:eastAsia="宋体" w:cs="宋体"/>
          <w:spacing w:val="-12"/>
          <w:sz w:val="21"/>
          <w:szCs w:val="21"/>
        </w:rPr>
        <w:t>价</w:t>
      </w:r>
      <w:r>
        <w:rPr>
          <w:rFonts w:ascii="宋体" w:hAnsi="宋体" w:eastAsia="宋体" w:cs="宋体"/>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sz w:val="21"/>
          <w:szCs w:val="21"/>
        </w:rPr>
      </w:pPr>
      <w:r>
        <w:rPr>
          <w:rFonts w:ascii="宋体" w:hAnsi="宋体" w:eastAsia="宋体" w:cs="宋体"/>
          <w:spacing w:val="-11"/>
          <w:sz w:val="21"/>
          <w:szCs w:val="21"/>
        </w:rPr>
        <w:t>(2)凡属投标人自身失误造成多算、少算、漏算的，不调整投标报价。若有算术性差错，均在投标</w:t>
      </w:r>
      <w:r>
        <w:rPr>
          <w:rFonts w:ascii="宋体" w:hAnsi="宋体" w:eastAsia="宋体" w:cs="宋体"/>
          <w:spacing w:val="-6"/>
          <w:sz w:val="21"/>
          <w:szCs w:val="21"/>
        </w:rPr>
        <w:t>报</w:t>
      </w:r>
      <w:r>
        <w:rPr>
          <w:rFonts w:ascii="宋体" w:hAnsi="宋体" w:eastAsia="宋体" w:cs="宋体"/>
          <w:sz w:val="21"/>
          <w:szCs w:val="21"/>
        </w:rPr>
        <w:t xml:space="preserve"> </w:t>
      </w:r>
      <w:r>
        <w:rPr>
          <w:rFonts w:ascii="宋体" w:hAnsi="宋体" w:eastAsia="宋体" w:cs="宋体"/>
          <w:spacing w:val="-20"/>
          <w:sz w:val="21"/>
          <w:szCs w:val="21"/>
        </w:rPr>
        <w:t>价</w:t>
      </w:r>
      <w:r>
        <w:rPr>
          <w:rFonts w:ascii="宋体" w:hAnsi="宋体" w:eastAsia="宋体" w:cs="宋体"/>
          <w:spacing w:val="-11"/>
          <w:sz w:val="21"/>
          <w:szCs w:val="21"/>
        </w:rPr>
        <w:t>不变的前提下按招标人要求调整单价及有关费用，调整后的单价及有关费用对投标人起约束作用，如果</w:t>
      </w:r>
      <w:r>
        <w:rPr>
          <w:rFonts w:ascii="宋体" w:hAnsi="宋体" w:eastAsia="宋体" w:cs="宋体"/>
          <w:sz w:val="21"/>
          <w:szCs w:val="21"/>
        </w:rPr>
        <w:t xml:space="preserve"> </w:t>
      </w:r>
      <w:r>
        <w:rPr>
          <w:rFonts w:ascii="宋体" w:hAnsi="宋体" w:eastAsia="宋体" w:cs="宋体"/>
          <w:spacing w:val="-22"/>
          <w:sz w:val="21"/>
          <w:szCs w:val="21"/>
        </w:rPr>
        <w:t>投</w:t>
      </w:r>
      <w:r>
        <w:rPr>
          <w:rFonts w:ascii="宋体" w:hAnsi="宋体" w:eastAsia="宋体" w:cs="宋体"/>
          <w:spacing w:val="-14"/>
          <w:sz w:val="21"/>
          <w:szCs w:val="21"/>
        </w:rPr>
        <w:t>标</w:t>
      </w:r>
      <w:r>
        <w:rPr>
          <w:rFonts w:ascii="宋体" w:hAnsi="宋体" w:eastAsia="宋体" w:cs="宋体"/>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5</w:t>
      </w:r>
      <w:r>
        <w:rPr>
          <w:rFonts w:ascii="宋体" w:hAnsi="宋体" w:eastAsia="宋体" w:cs="宋体"/>
          <w:spacing w:val="-11"/>
          <w:sz w:val="21"/>
          <w:szCs w:val="21"/>
          <w14:textOutline w14:w="3831" w14:cap="flat" w14:cmpd="sng">
            <w14:solidFill>
              <w14:srgbClr w14:val="000000"/>
            </w14:solidFill>
            <w14:prstDash w14:val="solid"/>
            <w14:miter w14:val="0"/>
          </w14:textOutline>
        </w:rPr>
        <w:t>.3</w:t>
      </w:r>
      <w:r>
        <w:rPr>
          <w:rFonts w:ascii="宋体" w:hAnsi="宋体" w:eastAsia="宋体" w:cs="宋体"/>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25"/>
          <w:sz w:val="21"/>
          <w:szCs w:val="21"/>
        </w:rPr>
        <w:t>(</w:t>
      </w:r>
      <w:r>
        <w:rPr>
          <w:rFonts w:ascii="宋体" w:hAnsi="宋体" w:eastAsia="宋体" w:cs="宋体"/>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3)安全施工费低于招标文件规定的。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8" w:firstLine="462" w:firstLineChars="300"/>
        <w:textAlignment w:val="baseline"/>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15"/>
          <w:sz w:val="21"/>
          <w:szCs w:val="21"/>
        </w:rPr>
        <w:t>4</w:t>
      </w:r>
      <w:r>
        <w:rPr>
          <w:rFonts w:ascii="宋体" w:hAnsi="宋体" w:eastAsia="宋体" w:cs="宋体"/>
          <w:spacing w:val="-14"/>
          <w:sz w:val="21"/>
          <w:szCs w:val="21"/>
        </w:rPr>
        <w:t>)通过符合性审查、技术评审的最低投标评标价低于通过符合性审查和技术评审的次低投标评标价的</w:t>
      </w:r>
      <w:r>
        <w:rPr>
          <w:rFonts w:ascii="宋体" w:hAnsi="宋体" w:eastAsia="宋体" w:cs="宋体"/>
          <w:sz w:val="21"/>
          <w:szCs w:val="21"/>
        </w:rPr>
        <w:t xml:space="preserve"> </w:t>
      </w:r>
      <w:r>
        <w:rPr>
          <w:rFonts w:ascii="宋体" w:hAnsi="宋体" w:eastAsia="宋体" w:cs="宋体"/>
          <w:spacing w:val="-22"/>
          <w:sz w:val="21"/>
          <w:szCs w:val="21"/>
        </w:rPr>
        <w:t>8</w:t>
      </w:r>
      <w:r>
        <w:rPr>
          <w:rFonts w:ascii="宋体" w:hAnsi="宋体" w:eastAsia="宋体" w:cs="宋体"/>
          <w:spacing w:val="-13"/>
          <w:sz w:val="21"/>
          <w:szCs w:val="21"/>
        </w:rPr>
        <w:t>%</w:t>
      </w:r>
      <w:r>
        <w:rPr>
          <w:rFonts w:ascii="宋体" w:hAnsi="宋体" w:eastAsia="宋体" w:cs="宋体"/>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21"/>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5.4</w:t>
      </w:r>
      <w:r>
        <w:rPr>
          <w:rFonts w:ascii="宋体" w:hAnsi="宋体" w:eastAsia="宋体" w:cs="宋体"/>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5.5</w:t>
      </w:r>
      <w:r>
        <w:rPr>
          <w:rFonts w:ascii="宋体" w:hAnsi="宋体" w:eastAsia="宋体" w:cs="宋体"/>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sz w:val="21"/>
          <w:szCs w:val="21"/>
        </w:rPr>
      </w:pPr>
      <w:r>
        <w:rPr>
          <w:rFonts w:ascii="宋体" w:hAnsi="宋体" w:eastAsia="宋体" w:cs="宋体"/>
          <w:spacing w:val="-22"/>
          <w:sz w:val="21"/>
          <w:szCs w:val="21"/>
        </w:rPr>
        <w:t>1)</w:t>
      </w:r>
      <w:r>
        <w:rPr>
          <w:rFonts w:ascii="宋体" w:hAnsi="宋体" w:eastAsia="宋体" w:cs="宋体"/>
          <w:spacing w:val="-17"/>
          <w:sz w:val="21"/>
          <w:szCs w:val="21"/>
        </w:rPr>
        <w:t>评</w:t>
      </w:r>
      <w:r>
        <w:rPr>
          <w:rFonts w:ascii="宋体" w:hAnsi="宋体" w:eastAsia="宋体" w:cs="宋体"/>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sz w:val="21"/>
          <w:szCs w:val="21"/>
        </w:rPr>
      </w:pPr>
      <w:r>
        <w:rPr>
          <w:rFonts w:ascii="宋体" w:hAnsi="宋体" w:eastAsia="宋体" w:cs="宋体"/>
          <w:spacing w:val="-24"/>
          <w:sz w:val="21"/>
          <w:szCs w:val="21"/>
        </w:rPr>
        <w:t>评分</w:t>
      </w:r>
      <w:r>
        <w:rPr>
          <w:rFonts w:ascii="宋体" w:hAnsi="宋体" w:eastAsia="宋体" w:cs="宋体"/>
          <w:spacing w:val="-17"/>
          <w:sz w:val="21"/>
          <w:szCs w:val="21"/>
        </w:rPr>
        <w:t>基</w:t>
      </w:r>
      <w:r>
        <w:rPr>
          <w:rFonts w:ascii="宋体" w:hAnsi="宋体" w:eastAsia="宋体" w:cs="宋体"/>
          <w:spacing w:val="-12"/>
          <w:sz w:val="21"/>
          <w:szCs w:val="21"/>
        </w:rPr>
        <w:t>准价由评标委员会依据上述方法计算，除计算差错外，确认后的评分基准价在本次招标期间保</w:t>
      </w:r>
      <w:r>
        <w:rPr>
          <w:rFonts w:ascii="宋体" w:hAnsi="宋体" w:eastAsia="宋体" w:cs="宋体"/>
          <w:sz w:val="21"/>
          <w:szCs w:val="21"/>
        </w:rPr>
        <w:t xml:space="preserve"> </w:t>
      </w:r>
      <w:r>
        <w:rPr>
          <w:rFonts w:ascii="宋体" w:hAnsi="宋体" w:eastAsia="宋体" w:cs="宋体"/>
          <w:spacing w:val="-10"/>
          <w:sz w:val="21"/>
          <w:szCs w:val="21"/>
        </w:rPr>
        <w:t>持</w:t>
      </w:r>
      <w:r>
        <w:rPr>
          <w:rFonts w:ascii="宋体" w:hAnsi="宋体" w:eastAsia="宋体" w:cs="宋体"/>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sz w:val="21"/>
          <w:szCs w:val="21"/>
        </w:rPr>
      </w:pPr>
      <w:r>
        <w:rPr>
          <w:rFonts w:ascii="宋体" w:hAnsi="宋体" w:eastAsia="宋体" w:cs="宋体"/>
          <w:spacing w:val="-11"/>
          <w:sz w:val="21"/>
          <w:szCs w:val="21"/>
        </w:rPr>
        <w:t>计算差错，仅限于以下两种情况：(1)纯算术性四则运算差错；(2)未按约定的计算方法，多计或者少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22"/>
          <w:sz w:val="21"/>
          <w:szCs w:val="21"/>
        </w:rPr>
        <w:t>计投</w:t>
      </w:r>
      <w:r>
        <w:rPr>
          <w:rFonts w:ascii="宋体" w:hAnsi="宋体" w:eastAsia="宋体" w:cs="宋体"/>
          <w:spacing w:val="-15"/>
          <w:sz w:val="21"/>
          <w:szCs w:val="21"/>
        </w:rPr>
        <w:t>标</w:t>
      </w:r>
      <w:r>
        <w:rPr>
          <w:rFonts w:ascii="宋体" w:hAnsi="宋体" w:eastAsia="宋体" w:cs="宋体"/>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sz w:val="21"/>
          <w:szCs w:val="21"/>
        </w:rPr>
      </w:pPr>
      <w:r>
        <w:rPr>
          <w:rFonts w:ascii="宋体" w:hAnsi="宋体" w:eastAsia="宋体" w:cs="宋体"/>
          <w:spacing w:val="-21"/>
          <w:sz w:val="21"/>
          <w:szCs w:val="21"/>
        </w:rPr>
        <w:t>2</w:t>
      </w:r>
      <w:r>
        <w:rPr>
          <w:rFonts w:ascii="宋体" w:hAnsi="宋体" w:eastAsia="宋体" w:cs="宋体"/>
          <w:spacing w:val="-12"/>
          <w:sz w:val="21"/>
          <w:szCs w:val="21"/>
        </w:rPr>
        <w:t>)报价评分值的计算：以评分基准价为基础，将各入评投标人的评标价与评分基准价比较，计算出偏</w:t>
      </w:r>
      <w:r>
        <w:rPr>
          <w:rFonts w:ascii="宋体" w:hAnsi="宋体" w:eastAsia="宋体" w:cs="宋体"/>
          <w:sz w:val="21"/>
          <w:szCs w:val="21"/>
        </w:rPr>
        <w:t xml:space="preserve"> </w:t>
      </w:r>
      <w:r>
        <w:rPr>
          <w:rFonts w:ascii="宋体" w:hAnsi="宋体" w:eastAsia="宋体" w:cs="宋体"/>
          <w:spacing w:val="-16"/>
          <w:sz w:val="21"/>
          <w:szCs w:val="21"/>
        </w:rPr>
        <w:t>离</w:t>
      </w:r>
      <w:r>
        <w:rPr>
          <w:rFonts w:ascii="宋体" w:hAnsi="宋体" w:eastAsia="宋体" w:cs="宋体"/>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0"/>
          <w:sz w:val="21"/>
          <w:szCs w:val="21"/>
          <w14:textFill>
            <w14:solidFill>
              <w14:schemeClr w14:val="tx1"/>
            </w14:solidFill>
          </w14:textFill>
        </w:rPr>
        <w:t>a</w:t>
      </w:r>
      <w:r>
        <w:rPr>
          <w:rFonts w:ascii="宋体" w:hAnsi="宋体" w:eastAsia="宋体" w:cs="宋体"/>
          <w:color w:val="000000" w:themeColor="text1"/>
          <w:spacing w:val="-12"/>
          <w:sz w:val="21"/>
          <w:szCs w:val="21"/>
          <w14:textFill>
            <w14:solidFill>
              <w14:schemeClr w14:val="tx1"/>
            </w14:solidFill>
          </w14:textFill>
        </w:rPr>
        <w:t>.投标评标价等于评分基准价时，得满分(</w:t>
      </w:r>
      <w:r>
        <w:rPr>
          <w:rFonts w:ascii="宋体" w:hAnsi="宋体" w:eastAsia="宋体" w:cs="宋体"/>
          <w:color w:val="000000" w:themeColor="text1"/>
          <w:spacing w:val="-12"/>
          <w:sz w:val="21"/>
          <w:szCs w:val="21"/>
          <w:u w:val="single" w:color="auto"/>
          <w14:textFill>
            <w14:solidFill>
              <w14:schemeClr w14:val="tx1"/>
            </w14:solidFill>
          </w14:textFill>
        </w:rPr>
        <w:t>9</w:t>
      </w:r>
      <w:r>
        <w:rPr>
          <w:rFonts w:hint="eastAsia" w:ascii="宋体" w:hAnsi="宋体" w:eastAsia="宋体" w:cs="宋体"/>
          <w:color w:val="000000" w:themeColor="text1"/>
          <w:spacing w:val="-12"/>
          <w:sz w:val="21"/>
          <w:szCs w:val="21"/>
          <w:u w:val="single" w:color="auto"/>
          <w:lang w:val="en-US" w:eastAsia="zh-CN"/>
          <w14:textFill>
            <w14:solidFill>
              <w14:schemeClr w14:val="tx1"/>
            </w14:solidFill>
          </w14:textFill>
        </w:rPr>
        <w:t>8</w:t>
      </w:r>
      <w:r>
        <w:rPr>
          <w:rFonts w:ascii="宋体" w:hAnsi="宋体" w:eastAsia="宋体" w:cs="宋体"/>
          <w:color w:val="000000" w:themeColor="text1"/>
          <w:spacing w:val="-12"/>
          <w:sz w:val="21"/>
          <w:szCs w:val="21"/>
          <w:u w:val="single" w:color="auto"/>
          <w14:textFill>
            <w14:solidFill>
              <w14:schemeClr w14:val="tx1"/>
            </w14:solidFill>
          </w14:textFill>
        </w:rPr>
        <w:t xml:space="preserve"> </w:t>
      </w:r>
      <w:r>
        <w:rPr>
          <w:rFonts w:ascii="宋体" w:hAnsi="宋体" w:eastAsia="宋体" w:cs="宋体"/>
          <w:color w:val="000000" w:themeColor="text1"/>
          <w:spacing w:val="-12"/>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 xml:space="preserve">b.投标评标价每低于评分基准价 1 个百分点，扣 </w:t>
      </w:r>
      <w:r>
        <w:rPr>
          <w:rFonts w:ascii="宋体" w:hAnsi="宋体" w:eastAsia="宋体" w:cs="宋体"/>
          <w:color w:val="000000" w:themeColor="text1"/>
          <w:spacing w:val="-20"/>
          <w:sz w:val="21"/>
          <w:szCs w:val="21"/>
          <w:u w:val="single" w:color="auto"/>
          <w14:textFill>
            <w14:solidFill>
              <w14:schemeClr w14:val="tx1"/>
            </w14:solidFill>
          </w14:textFill>
        </w:rPr>
        <w:t xml:space="preserve"> 1 </w:t>
      </w:r>
      <w:r>
        <w:rPr>
          <w:rFonts w:ascii="宋体" w:hAnsi="宋体" w:eastAsia="宋体" w:cs="宋体"/>
          <w:color w:val="000000" w:themeColor="text1"/>
          <w:spacing w:val="-20"/>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3"/>
          <w:sz w:val="21"/>
          <w:szCs w:val="21"/>
          <w14:textFill>
            <w14:solidFill>
              <w14:schemeClr w14:val="tx1"/>
            </w14:solidFill>
          </w14:textFill>
        </w:rPr>
        <w:t>c</w:t>
      </w: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9"/>
          <w:sz w:val="21"/>
          <w:szCs w:val="21"/>
          <w14:textFill>
            <w14:solidFill>
              <w14:schemeClr w14:val="tx1"/>
            </w14:solidFill>
          </w14:textFill>
        </w:rPr>
        <w:t>投</w:t>
      </w:r>
      <w:r>
        <w:rPr>
          <w:rFonts w:ascii="宋体" w:hAnsi="宋体" w:eastAsia="宋体" w:cs="宋体"/>
          <w:color w:val="000000" w:themeColor="text1"/>
          <w:spacing w:val="-13"/>
          <w:sz w:val="21"/>
          <w:szCs w:val="21"/>
          <w14:textFill>
            <w14:solidFill>
              <w14:schemeClr w14:val="tx1"/>
            </w14:solidFill>
          </w14:textFill>
        </w:rPr>
        <w:t>标评标价每高于评分基准价 1 个百分点，扣</w:t>
      </w:r>
      <w:r>
        <w:rPr>
          <w:rFonts w:ascii="宋体" w:hAnsi="宋体" w:eastAsia="宋体" w:cs="宋体"/>
          <w:color w:val="000000" w:themeColor="text1"/>
          <w:spacing w:val="-13"/>
          <w:sz w:val="21"/>
          <w:szCs w:val="21"/>
          <w:u w:val="single" w:color="auto"/>
          <w14:textFill>
            <w14:solidFill>
              <w14:schemeClr w14:val="tx1"/>
            </w14:solidFill>
          </w14:textFill>
        </w:rPr>
        <w:t xml:space="preserve">1.5 </w:t>
      </w:r>
      <w:r>
        <w:rPr>
          <w:rFonts w:ascii="宋体" w:hAnsi="宋体" w:eastAsia="宋体" w:cs="宋体"/>
          <w:color w:val="000000" w:themeColor="text1"/>
          <w:spacing w:val="-13"/>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36"/>
          <w:sz w:val="21"/>
          <w:szCs w:val="21"/>
          <w14:textFill>
            <w14:solidFill>
              <w14:schemeClr w14:val="tx1"/>
            </w14:solidFill>
          </w14:textFill>
        </w:rPr>
        <w:t>以</w:t>
      </w:r>
      <w:r>
        <w:rPr>
          <w:rFonts w:ascii="宋体" w:hAnsi="宋体" w:eastAsia="宋体" w:cs="宋体"/>
          <w:color w:val="000000" w:themeColor="text1"/>
          <w:spacing w:val="-21"/>
          <w:sz w:val="21"/>
          <w:szCs w:val="21"/>
          <w14:textFill>
            <w14:solidFill>
              <w14:schemeClr w14:val="tx1"/>
            </w14:solidFill>
          </w14:textFill>
        </w:rPr>
        <w:t>上</w:t>
      </w:r>
      <w:r>
        <w:rPr>
          <w:rFonts w:ascii="宋体" w:hAnsi="宋体" w:eastAsia="宋体" w:cs="宋体"/>
          <w:color w:val="000000" w:themeColor="text1"/>
          <w:spacing w:val="-18"/>
          <w:sz w:val="21"/>
          <w:szCs w:val="21"/>
          <w14:textFill>
            <w14:solidFill>
              <w14:schemeClr w14:val="tx1"/>
            </w14:solidFill>
          </w14:textFill>
        </w:rPr>
        <w:t>评分计算过程保留小数 3 位，第 4 位四舍五入，最终结果保留小数 2 位，第 3 位四舍五入，评分</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不足</w:t>
      </w:r>
      <w:r>
        <w:rPr>
          <w:rFonts w:ascii="宋体" w:hAnsi="宋体" w:eastAsia="宋体" w:cs="宋体"/>
          <w:color w:val="000000" w:themeColor="text1"/>
          <w:spacing w:val="-16"/>
          <w:sz w:val="21"/>
          <w:szCs w:val="21"/>
          <w14:textFill>
            <w14:solidFill>
              <w14:schemeClr w14:val="tx1"/>
            </w14:solidFill>
          </w14:textFill>
        </w:rPr>
        <w:t>一</w:t>
      </w:r>
      <w:r>
        <w:rPr>
          <w:rFonts w:ascii="宋体" w:hAnsi="宋体" w:eastAsia="宋体" w:cs="宋体"/>
          <w:color w:val="000000" w:themeColor="text1"/>
          <w:spacing w:val="-11"/>
          <w:sz w:val="21"/>
          <w:szCs w:val="21"/>
          <w14:textFill>
            <w14:solidFill>
              <w14:schemeClr w14:val="tx1"/>
            </w14:solidFill>
          </w14:textFill>
        </w:rPr>
        <w:t>个百分点时，使用直线插入法计算。商务报价评分最低分</w:t>
      </w:r>
      <w:r>
        <w:rPr>
          <w:rFonts w:ascii="宋体" w:hAnsi="宋体" w:eastAsia="宋体" w:cs="宋体"/>
          <w:color w:val="000000" w:themeColor="text1"/>
          <w:spacing w:val="-11"/>
          <w:sz w:val="21"/>
          <w:szCs w:val="21"/>
          <w:u w:val="single" w:color="auto"/>
          <w14:textFill>
            <w14:solidFill>
              <w14:schemeClr w14:val="tx1"/>
            </w14:solidFill>
          </w14:textFill>
        </w:rPr>
        <w:t xml:space="preserve"> 50 </w:t>
      </w:r>
      <w:r>
        <w:rPr>
          <w:rFonts w:ascii="宋体" w:hAnsi="宋体" w:eastAsia="宋体" w:cs="宋体"/>
          <w:color w:val="000000" w:themeColor="text1"/>
          <w:spacing w:val="-11"/>
          <w:sz w:val="21"/>
          <w:szCs w:val="21"/>
          <w14:textFill>
            <w14:solidFill>
              <w14:schemeClr w14:val="tx1"/>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4.6</w:t>
      </w:r>
      <w:r>
        <w:rPr>
          <w:rFonts w:ascii="宋体" w:hAnsi="宋体" w:eastAsia="宋体" w:cs="宋体"/>
          <w:color w:val="000000" w:themeColor="text1"/>
          <w:spacing w:val="-12"/>
          <w:sz w:val="24"/>
          <w:szCs w:val="24"/>
          <w14:textFill>
            <w14:solidFill>
              <w14:schemeClr w14:val="tx1"/>
            </w14:solidFill>
          </w14:textFill>
        </w:rPr>
        <w:t xml:space="preserve"> </w:t>
      </w: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投标文件的资信评</w:t>
      </w:r>
      <w:r>
        <w:rPr>
          <w:rFonts w:ascii="宋体" w:hAnsi="宋体" w:eastAsia="宋体" w:cs="宋体"/>
          <w:color w:val="000000" w:themeColor="text1"/>
          <w:spacing w:val="-10"/>
          <w:sz w:val="24"/>
          <w:szCs w:val="24"/>
          <w14:textOutline w14:w="3831" w14:cap="flat" w14:cmpd="sng">
            <w14:solidFill>
              <w14:srgbClr w14:val="000000"/>
            </w14:solidFill>
            <w14:prstDash w14:val="solid"/>
            <w14:miter w14:val="0"/>
          </w14:textOutline>
          <w14:textFill>
            <w14:solidFill>
              <w14:schemeClr w14:val="tx1"/>
            </w14:solidFill>
          </w14:textFill>
        </w:rPr>
        <w:t>审</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投标文件的资信评审包括投标人的诚信、企业信用等级、项目负责人类似业绩。评标委员会全体成员查阅投标文件及相关证明材料并进行集体讨论后统一评分。</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392"/>
        <w:textAlignment w:val="baseline"/>
        <w:rPr>
          <w:i w:val="0"/>
          <w:iCs w:val="0"/>
          <w:color w:val="000000" w:themeColor="text1"/>
          <w:spacing w:val="-9"/>
          <w:sz w:val="21"/>
          <w:szCs w:val="21"/>
          <w14:textFill>
            <w14:solidFill>
              <w14:schemeClr w14:val="tx1"/>
            </w14:solidFill>
          </w14:textFill>
        </w:rPr>
      </w:pPr>
      <w:bookmarkStart w:id="364" w:name="EBac5f6b1181d747d9a92ec49aedc9ded1"/>
      <w:r>
        <w:rPr>
          <w:rFonts w:hint="eastAsia" w:eastAsia="宋体"/>
          <w:i w:val="0"/>
          <w:iCs w:val="0"/>
          <w:color w:val="000000" w:themeColor="text1"/>
          <w:spacing w:val="-7"/>
          <w:sz w:val="21"/>
          <w:szCs w:val="21"/>
          <w:highlight w:val="white"/>
          <w:lang w:val="en-US" w:eastAsia="zh-CN"/>
          <w14:textFill>
            <w14:solidFill>
              <w14:schemeClr w14:val="tx1"/>
            </w14:solidFill>
          </w14:textFill>
        </w:rPr>
        <w:t>1、</w:t>
      </w:r>
      <w:r>
        <w:rPr>
          <w:rFonts w:hint="eastAsia"/>
          <w:i w:val="0"/>
          <w:iCs w:val="0"/>
          <w:color w:val="000000" w:themeColor="text1"/>
          <w:spacing w:val="-7"/>
          <w:sz w:val="21"/>
          <w:szCs w:val="21"/>
          <w:highlight w:val="white"/>
          <w14:textFill>
            <w14:solidFill>
              <w14:schemeClr w14:val="tx1"/>
            </w14:solidFill>
          </w14:textFill>
        </w:rPr>
        <w:t xml:space="preserve">☑ </w:t>
      </w:r>
      <w:bookmarkEnd w:id="364"/>
      <w:r>
        <w:rPr>
          <w:rFonts w:hint="eastAsia"/>
          <w:i w:val="0"/>
          <w:iCs w:val="0"/>
          <w:color w:val="000000" w:themeColor="text1"/>
          <w:sz w:val="21"/>
          <w:szCs w:val="21"/>
          <w:highlight w:val="white"/>
          <w14:textFill>
            <w14:solidFill>
              <w14:schemeClr w14:val="tx1"/>
            </w14:solidFill>
          </w14:textFill>
        </w:rPr>
        <w:t>投标人诚信（采用扣分法，扣分不设分值限定，以实际次数扣分</w:t>
      </w:r>
      <w:r>
        <w:rPr>
          <w:rFonts w:hint="eastAsia"/>
          <w:i w:val="0"/>
          <w:iCs w:val="0"/>
          <w:color w:val="000000" w:themeColor="text1"/>
          <w:spacing w:val="-9"/>
          <w:sz w:val="21"/>
          <w:szCs w:val="21"/>
          <w:highlight w:val="white"/>
          <w14:textFill>
            <w14:solidFill>
              <w14:schemeClr w14:val="tx1"/>
            </w14:solidFill>
          </w14:textFill>
        </w:rPr>
        <w:t>）：</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rFonts w:hint="eastAsia"/>
          <w:i w:val="0"/>
          <w:iCs w:val="0"/>
          <w:color w:val="000000" w:themeColor="text1"/>
          <w:sz w:val="21"/>
          <w:szCs w:val="21"/>
          <w:highlight w:val="white"/>
          <w14:textFill>
            <w14:solidFill>
              <w14:schemeClr w14:val="tx1"/>
            </w14:solidFill>
          </w14:textFill>
        </w:rPr>
        <w:t>投标人在投标截止时间前被浙江省发展改革委作出行政处罚决定且在公告期限内</w:t>
      </w:r>
      <w:r>
        <w:rPr>
          <w:rFonts w:hint="eastAsia"/>
          <w:i w:val="0"/>
          <w:iCs w:val="0"/>
          <w:color w:val="000000" w:themeColor="text1"/>
          <w:spacing w:val="-10"/>
          <w:sz w:val="21"/>
          <w:szCs w:val="21"/>
          <w:highlight w:val="white"/>
          <w14:textFill>
            <w14:solidFill>
              <w14:schemeClr w14:val="tx1"/>
            </w14:solidFill>
          </w14:textFill>
        </w:rPr>
        <w:t>的，每次扣</w:t>
      </w:r>
      <w:r>
        <w:rPr>
          <w:i w:val="0"/>
          <w:iCs w:val="0"/>
          <w:color w:val="000000" w:themeColor="text1"/>
          <w:sz w:val="21"/>
          <w:szCs w:val="21"/>
          <w:highlight w:val="white"/>
          <w14:textFill>
            <w14:solidFill>
              <w14:schemeClr w14:val="tx1"/>
            </w14:solidFill>
          </w14:textFill>
        </w:rPr>
        <w:t>1</w:t>
      </w:r>
      <w:r>
        <w:rPr>
          <w:rFonts w:hint="eastAsia"/>
          <w:i w:val="0"/>
          <w:iCs w:val="0"/>
          <w:color w:val="000000" w:themeColor="text1"/>
          <w:spacing w:val="-9"/>
          <w:sz w:val="21"/>
          <w:szCs w:val="21"/>
          <w:highlight w:val="white"/>
          <w14:textFill>
            <w14:solidFill>
              <w14:schemeClr w14:val="tx1"/>
            </w14:solidFill>
          </w14:textFill>
        </w:rPr>
        <w:t>分；以浙江政务服务网行政处罚结果信息公开内容为准，时间以省发</w:t>
      </w:r>
      <w:r>
        <w:rPr>
          <w:rFonts w:hint="eastAsia"/>
          <w:i w:val="0"/>
          <w:iCs w:val="0"/>
          <w:color w:val="000000" w:themeColor="text1"/>
          <w:sz w:val="21"/>
          <w:szCs w:val="21"/>
          <w:highlight w:val="white"/>
          <w14:textFill>
            <w14:solidFill>
              <w14:schemeClr w14:val="tx1"/>
            </w14:solidFill>
          </w14:textFill>
        </w:rPr>
        <w:t>展改革委作出处理决定的时间为准。</w:t>
      </w:r>
    </w:p>
    <w:p>
      <w:pPr>
        <w:pStyle w:val="10"/>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2</w:t>
      </w:r>
      <w:r>
        <w:rPr>
          <w:rFonts w:hint="eastAsia"/>
          <w:i w:val="0"/>
          <w:iCs w:val="0"/>
          <w:snapToGrid w:val="0"/>
          <w:color w:val="000000" w:themeColor="text1"/>
          <w:sz w:val="21"/>
          <w:szCs w:val="21"/>
          <w:highlight w:val="white"/>
          <w14:textFill>
            <w14:solidFill>
              <w14:schemeClr w14:val="tx1"/>
            </w14:solidFill>
          </w14:textFill>
        </w:rPr>
        <w:t>、企业信用等级最高评分为</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分，项目负责人类似项目业绩最高评分为</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分</w:t>
      </w:r>
      <w:r>
        <w:rPr>
          <w:rFonts w:hint="eastAsia" w:eastAsia="宋体"/>
          <w:i w:val="0"/>
          <w:iCs w:val="0"/>
          <w:snapToGrid w:val="0"/>
          <w:color w:val="000000" w:themeColor="text1"/>
          <w:sz w:val="21"/>
          <w:szCs w:val="21"/>
          <w:highlight w:val="white"/>
          <w:lang w:eastAsia="zh-CN"/>
          <w14:textFill>
            <w14:solidFill>
              <w14:schemeClr w14:val="tx1"/>
            </w14:solidFill>
          </w14:textFill>
        </w:rPr>
        <w:t>。</w:t>
      </w:r>
      <w:r>
        <w:rPr>
          <w:rFonts w:hint="eastAsia"/>
          <w:i w:val="0"/>
          <w:iCs w:val="0"/>
          <w:snapToGrid w:val="0"/>
          <w:color w:val="000000" w:themeColor="text1"/>
          <w:sz w:val="21"/>
          <w:szCs w:val="21"/>
          <w:highlight w:val="white"/>
          <w14:textFill>
            <w14:solidFill>
              <w14:schemeClr w14:val="tx1"/>
            </w14:solidFill>
          </w14:textFill>
        </w:rPr>
        <w:t>具体分值见下表</w:t>
      </w:r>
    </w:p>
    <w:tbl>
      <w:tblPr>
        <w:tblStyle w:val="18"/>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内</w:t>
            </w:r>
            <w:r>
              <w:rPr>
                <w:i w:val="0"/>
                <w:iCs w:val="0"/>
                <w:snapToGrid w:val="0"/>
                <w:color w:val="000000" w:themeColor="text1"/>
                <w:sz w:val="21"/>
                <w:szCs w:val="21"/>
                <w:highlight w:val="white"/>
                <w14:textFill>
                  <w14:solidFill>
                    <w14:schemeClr w14:val="tx1"/>
                  </w14:solidFill>
                </w14:textFill>
              </w:rPr>
              <w:t xml:space="preserve">    </w:t>
            </w:r>
            <w:r>
              <w:rPr>
                <w:rFonts w:hint="eastAsia"/>
                <w:i w:val="0"/>
                <w:iCs w:val="0"/>
                <w:snapToGrid w:val="0"/>
                <w:color w:val="000000" w:themeColor="text1"/>
                <w:sz w:val="21"/>
                <w:szCs w:val="21"/>
                <w:highlight w:val="white"/>
                <w14:textFill>
                  <w14:solidFill>
                    <w14:schemeClr w14:val="tx1"/>
                  </w14:solidFill>
                </w14:textFill>
              </w:rPr>
              <w:t>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w:t>
            </w:r>
            <w:r>
              <w:rPr>
                <w:rFonts w:hint="eastAsia" w:eastAsia="宋体"/>
                <w:i w:val="0"/>
                <w:iCs w:val="0"/>
                <w:snapToGrid w:val="0"/>
                <w:color w:val="000000" w:themeColor="text1"/>
                <w:sz w:val="21"/>
                <w:szCs w:val="21"/>
                <w:highlight w:val="white"/>
                <w:lang w:val="en-US" w:eastAsia="zh-CN"/>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color w:val="000000" w:themeColor="text1"/>
                <w:sz w:val="21"/>
                <w:szCs w:val="21"/>
                <w:highlight w:val="none"/>
                <w14:textFill>
                  <w14:solidFill>
                    <w14:schemeClr w14:val="tx1"/>
                  </w14:solidFill>
                </w14:textFill>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A</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B</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C</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D</w:t>
            </w:r>
            <w:r>
              <w:rPr>
                <w:rFonts w:hint="eastAsia"/>
                <w:color w:val="000000" w:themeColor="text1"/>
                <w:sz w:val="21"/>
                <w:szCs w:val="21"/>
                <w:highlight w:val="none"/>
                <w14:textFill>
                  <w14:solidFill>
                    <w14:schemeClr w14:val="tx1"/>
                  </w14:solidFill>
                </w14:textFill>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w:t>
            </w:r>
            <w:r>
              <w:rPr>
                <w:i w:val="0"/>
                <w:iCs w:val="0"/>
                <w:snapToGrid w:val="0"/>
                <w:color w:val="000000" w:themeColor="text1"/>
                <w:sz w:val="21"/>
                <w:szCs w:val="21"/>
                <w:highlight w:val="white"/>
                <w14:textFill>
                  <w14:solidFill>
                    <w14:schemeClr w14:val="tx1"/>
                  </w14:solidFill>
                </w14:textFill>
              </w:rPr>
              <w:t>2</w:t>
            </w:r>
            <w:r>
              <w:rPr>
                <w:rFonts w:hint="eastAsia"/>
                <w:i w:val="0"/>
                <w:iCs w:val="0"/>
                <w:snapToGrid w:val="0"/>
                <w:color w:val="000000" w:themeColor="text1"/>
                <w:sz w:val="21"/>
                <w:szCs w:val="21"/>
                <w:highlight w:val="white"/>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拟派项目负责人具有以项目负责人或技术负责人</w:t>
            </w:r>
            <w:r>
              <w:rPr>
                <w:rFonts w:hint="eastAsia" w:hAnsi="宋体"/>
                <w:i w:val="0"/>
                <w:iCs w:val="0"/>
                <w:snapToGrid w:val="0"/>
                <w:color w:val="000000" w:themeColor="text1"/>
                <w:sz w:val="21"/>
                <w:szCs w:val="21"/>
                <w:highlight w:val="white"/>
                <w14:textFill>
                  <w14:solidFill>
                    <w14:schemeClr w14:val="tx1"/>
                  </w14:solidFill>
                </w14:textFill>
              </w:rPr>
              <w:t>（包括工程总承包项目中的施工负责人</w:t>
            </w:r>
            <w:r>
              <w:rPr>
                <w:rFonts w:hint="eastAsia"/>
                <w:i w:val="0"/>
                <w:iCs w:val="0"/>
                <w:snapToGrid w:val="0"/>
                <w:color w:val="000000" w:themeColor="text1"/>
                <w:sz w:val="21"/>
                <w:szCs w:val="21"/>
                <w:highlight w:val="white"/>
                <w14:textFill>
                  <w14:solidFill>
                    <w14:schemeClr w14:val="tx1"/>
                  </w14:solidFill>
                </w14:textFill>
              </w:rPr>
              <w:t>或施工技术负责人</w:t>
            </w:r>
            <w:r>
              <w:rPr>
                <w:rFonts w:hint="eastAsia" w:hAnsi="宋体"/>
                <w:i w:val="0"/>
                <w:iCs w:val="0"/>
                <w:snapToGrid w:val="0"/>
                <w:color w:val="000000" w:themeColor="text1"/>
                <w:sz w:val="21"/>
                <w:szCs w:val="21"/>
                <w:highlight w:val="white"/>
                <w14:textFill>
                  <w14:solidFill>
                    <w14:schemeClr w14:val="tx1"/>
                  </w14:solidFill>
                </w14:textFill>
              </w:rPr>
              <w:t>）</w:t>
            </w:r>
            <w:r>
              <w:rPr>
                <w:rFonts w:hint="eastAsia"/>
                <w:i w:val="0"/>
                <w:iCs w:val="0"/>
                <w:snapToGrid w:val="0"/>
                <w:color w:val="000000" w:themeColor="text1"/>
                <w:sz w:val="21"/>
                <w:szCs w:val="21"/>
                <w:highlight w:val="white"/>
                <w14:textFill>
                  <w14:solidFill>
                    <w14:schemeClr w14:val="tx1"/>
                  </w14:solidFill>
                </w14:textFill>
              </w:rPr>
              <w:t>身份已完成的类似项目业绩的，得</w:t>
            </w:r>
            <w:r>
              <w:rPr>
                <w:i w:val="0"/>
                <w:iCs w:val="0"/>
                <w:snapToGrid w:val="0"/>
                <w:color w:val="000000" w:themeColor="text1"/>
                <w:sz w:val="21"/>
                <w:szCs w:val="21"/>
                <w:highlight w:val="white"/>
                <w14:textFill>
                  <w14:solidFill>
                    <w14:schemeClr w14:val="tx1"/>
                  </w14:solidFill>
                </w14:textFill>
              </w:rPr>
              <w:t>1.0</w:t>
            </w:r>
            <w:r>
              <w:rPr>
                <w:rFonts w:hint="eastAsia"/>
                <w:i w:val="0"/>
                <w:iCs w:val="0"/>
                <w:snapToGrid w:val="0"/>
                <w:color w:val="000000" w:themeColor="text1"/>
                <w:sz w:val="21"/>
                <w:szCs w:val="21"/>
                <w:highlight w:val="white"/>
                <w14:textFill>
                  <w14:solidFill>
                    <w14:schemeClr w14:val="tx1"/>
                  </w14:solidFill>
                </w14:textFill>
              </w:rPr>
              <w:t>分。</w:t>
            </w:r>
          </w:p>
        </w:tc>
        <w:tc>
          <w:tcPr>
            <w:tcW w:w="955" w:type="dxa"/>
            <w:tcBorders>
              <w:top w:val="single" w:color="auto" w:sz="4" w:space="0"/>
              <w:left w:val="single" w:color="auto" w:sz="4" w:space="0"/>
              <w:bottom w:val="single" w:color="auto" w:sz="4" w:space="0"/>
              <w:right w:val="single" w:color="auto" w:sz="4" w:space="0"/>
            </w:tcBorders>
            <w:noWrap w:val="0"/>
            <w:vAlign w:val="center"/>
          </w:tcPr>
          <w:p>
            <w:pPr>
              <w:pStyle w:val="10"/>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i w:val="0"/>
                <w:iCs w:val="0"/>
                <w:snapToGrid w:val="0"/>
                <w:color w:val="000000" w:themeColor="text1"/>
                <w:sz w:val="21"/>
                <w:szCs w:val="21"/>
                <w:highlight w:val="white"/>
                <w14:textFill>
                  <w14:solidFill>
                    <w14:schemeClr w14:val="tx1"/>
                  </w14:solidFill>
                </w14:textFill>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000000" w:themeColor="text1"/>
          <w:sz w:val="21"/>
          <w:szCs w:val="21"/>
          <w14:textFill>
            <w14:solidFill>
              <w14:schemeClr w14:val="tx1"/>
            </w14:solidFill>
          </w14:textFill>
        </w:rPr>
      </w:pPr>
      <w:r>
        <w:rPr>
          <w:rFonts w:hint="eastAsia"/>
          <w:i w:val="0"/>
          <w:iCs w:val="0"/>
          <w:snapToGrid w:val="0"/>
          <w:color w:val="000000" w:themeColor="text1"/>
          <w:sz w:val="21"/>
          <w:szCs w:val="21"/>
          <w:highlight w:val="white"/>
          <w14:textFill>
            <w14:solidFill>
              <w14:schemeClr w14:val="tx1"/>
            </w14:solidFill>
          </w14:textFill>
        </w:rPr>
        <w:t>类似项目指：</w:t>
      </w:r>
      <w:bookmarkStart w:id="365" w:name="EBb9cfd548746a4af2bfeb3b781178ffb6"/>
      <w:r>
        <w:rPr>
          <w:rFonts w:hint="eastAsia"/>
          <w:i w:val="0"/>
          <w:iCs w:val="0"/>
          <w:snapToGrid w:val="0"/>
          <w:color w:val="000000" w:themeColor="text1"/>
          <w:sz w:val="21"/>
          <w:szCs w:val="21"/>
          <w:highlight w:val="white"/>
          <w14:textFill>
            <w14:solidFill>
              <w14:schemeClr w14:val="tx1"/>
            </w14:solidFill>
          </w14:textFill>
        </w:rPr>
        <w:t>自20</w:t>
      </w:r>
      <w:r>
        <w:rPr>
          <w:rFonts w:hint="eastAsia" w:eastAsia="宋体"/>
          <w:i w:val="0"/>
          <w:iCs w:val="0"/>
          <w:snapToGrid w:val="0"/>
          <w:color w:val="000000" w:themeColor="text1"/>
          <w:sz w:val="21"/>
          <w:szCs w:val="21"/>
          <w:highlight w:val="white"/>
          <w:lang w:val="en-US" w:eastAsia="zh-CN"/>
          <w14:textFill>
            <w14:solidFill>
              <w14:schemeClr w14:val="tx1"/>
            </w14:solidFill>
          </w14:textFill>
        </w:rPr>
        <w:t>20</w:t>
      </w:r>
      <w:r>
        <w:rPr>
          <w:rFonts w:hint="eastAsia"/>
          <w:i w:val="0"/>
          <w:iCs w:val="0"/>
          <w:snapToGrid w:val="0"/>
          <w:color w:val="000000" w:themeColor="text1"/>
          <w:sz w:val="21"/>
          <w:szCs w:val="21"/>
          <w:highlight w:val="white"/>
          <w14:textFill>
            <w14:solidFill>
              <w14:schemeClr w14:val="tx1"/>
            </w14:solidFill>
          </w14:textFill>
        </w:rPr>
        <w:t>年1月1日至投标截止时间，完成过单个合同金额</w:t>
      </w:r>
      <w:r>
        <w:rPr>
          <w:rFonts w:hint="eastAsia" w:eastAsia="宋体"/>
          <w:i w:val="0"/>
          <w:iCs w:val="0"/>
          <w:snapToGrid w:val="0"/>
          <w:color w:val="000000" w:themeColor="text1"/>
          <w:sz w:val="21"/>
          <w:szCs w:val="21"/>
          <w:highlight w:val="white"/>
          <w:lang w:val="en-US" w:eastAsia="zh-CN"/>
          <w14:textFill>
            <w14:solidFill>
              <w14:schemeClr w14:val="tx1"/>
            </w14:solidFill>
          </w14:textFill>
        </w:rPr>
        <w:t>5</w:t>
      </w:r>
      <w:r>
        <w:rPr>
          <w:rFonts w:hint="eastAsia"/>
          <w:i w:val="0"/>
          <w:iCs w:val="0"/>
          <w:snapToGrid w:val="0"/>
          <w:color w:val="000000" w:themeColor="text1"/>
          <w:sz w:val="21"/>
          <w:szCs w:val="21"/>
          <w:highlight w:val="white"/>
          <w14:textFill>
            <w14:solidFill>
              <w14:schemeClr w14:val="tx1"/>
            </w14:solidFill>
          </w14:textFill>
        </w:rPr>
        <w:t>00万元及以上（金额以签约合同价为准）水利工程施工业绩</w:t>
      </w:r>
      <w:bookmarkEnd w:id="365"/>
      <w:r>
        <w:rPr>
          <w:rFonts w:hint="eastAsia"/>
          <w:i w:val="0"/>
          <w:iCs w:val="0"/>
          <w:snapToGrid w:val="0"/>
          <w:color w:val="000000" w:themeColor="text1"/>
          <w:sz w:val="21"/>
          <w:szCs w:val="21"/>
          <w:highlight w:val="white"/>
          <w14:textFill>
            <w14:solidFill>
              <w14:schemeClr w14:val="tx1"/>
            </w14:solidFill>
          </w14:textFill>
        </w:rPr>
        <w:t>，日期以完工</w:t>
      </w:r>
      <w:r>
        <w:rPr>
          <w:rFonts w:hint="eastAsia"/>
          <w:i w:val="0"/>
          <w:iCs w:val="0"/>
          <w:snapToGrid w:val="0"/>
          <w:color w:val="000000" w:themeColor="text1"/>
          <w:sz w:val="21"/>
          <w:szCs w:val="21"/>
          <w:highlight w:val="white"/>
          <w:lang w:eastAsia="zh-Hans"/>
          <w14:textFill>
            <w14:solidFill>
              <w14:schemeClr w14:val="tx1"/>
            </w14:solidFill>
          </w14:textFill>
        </w:rPr>
        <w:t>（竣工）</w:t>
      </w:r>
      <w:r>
        <w:rPr>
          <w:rFonts w:hint="eastAsia"/>
          <w:i w:val="0"/>
          <w:iCs w:val="0"/>
          <w:snapToGrid w:val="0"/>
          <w:color w:val="000000" w:themeColor="text1"/>
          <w:sz w:val="21"/>
          <w:szCs w:val="21"/>
          <w:highlight w:val="white"/>
          <w14:textFill>
            <w14:solidFill>
              <w14:schemeClr w14:val="tx1"/>
            </w14:solidFill>
          </w14:textFill>
        </w:rPr>
        <w:t>验收鉴定书或工程质量（安全）监督报告中明确的完工</w:t>
      </w:r>
      <w:r>
        <w:rPr>
          <w:rFonts w:hint="eastAsia"/>
          <w:i w:val="0"/>
          <w:iCs w:val="0"/>
          <w:snapToGrid w:val="0"/>
          <w:color w:val="000000" w:themeColor="text1"/>
          <w:sz w:val="21"/>
          <w:szCs w:val="21"/>
          <w:highlight w:val="white"/>
          <w:lang w:eastAsia="zh-Hans"/>
          <w14:textFill>
            <w14:solidFill>
              <w14:schemeClr w14:val="tx1"/>
            </w14:solidFill>
          </w14:textFill>
        </w:rPr>
        <w:t>（竣工）</w:t>
      </w:r>
      <w:r>
        <w:rPr>
          <w:rFonts w:hint="eastAsia"/>
          <w:i w:val="0"/>
          <w:iCs w:val="0"/>
          <w:snapToGrid w:val="0"/>
          <w:color w:val="000000" w:themeColor="text1"/>
          <w:sz w:val="21"/>
          <w:szCs w:val="21"/>
          <w:highlight w:val="white"/>
          <w14:textFill>
            <w14:solidFill>
              <w14:schemeClr w14:val="tx1"/>
            </w14:solidFill>
          </w14:textFill>
        </w:rPr>
        <w:t>日期为准。该业绩须已在浙江省水利厅“透明工程”应用上公示。</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default" w:ascii="宋体" w:hAnsi="宋体" w:eastAsia="宋体"/>
          <w:i w:val="0"/>
          <w:iCs w:val="0"/>
          <w:snapToGrid w:val="0"/>
          <w:color w:val="000000"/>
          <w:sz w:val="21"/>
          <w:szCs w:val="21"/>
          <w:lang w:val="en-US" w:eastAsia="zh-CN"/>
        </w:rPr>
      </w:pPr>
      <w:r>
        <w:rPr>
          <w:rFonts w:hint="eastAsia" w:ascii="宋体" w:hAnsi="宋体"/>
          <w:i w:val="0"/>
          <w:iCs w:val="0"/>
          <w:snapToGrid w:val="0"/>
          <w:color w:val="000000" w:themeColor="text1"/>
          <w:sz w:val="21"/>
          <w:szCs w:val="21"/>
          <w:highlight w:val="white"/>
          <w14:textFill>
            <w14:solidFill>
              <w14:schemeClr w14:val="tx1"/>
            </w14:solidFill>
          </w14:textFill>
        </w:rPr>
        <w:t>类似项目业绩证明材料指：</w:t>
      </w:r>
      <w:r>
        <w:rPr>
          <w:rFonts w:hint="eastAsia"/>
          <w:i w:val="0"/>
          <w:iCs w:val="0"/>
          <w:snapToGrid w:val="0"/>
          <w:color w:val="000000" w:themeColor="text1"/>
          <w:sz w:val="21"/>
          <w:szCs w:val="21"/>
          <w:highlight w:val="white"/>
          <w14:textFill>
            <w14:solidFill>
              <w14:schemeClr w14:val="tx1"/>
            </w14:solidFill>
          </w14:textFill>
        </w:rPr>
        <w:t>（</w:t>
      </w:r>
      <w:r>
        <w:rPr>
          <w:i w:val="0"/>
          <w:iCs w:val="0"/>
          <w:snapToGrid w:val="0"/>
          <w:color w:val="000000" w:themeColor="text1"/>
          <w:sz w:val="21"/>
          <w:szCs w:val="21"/>
          <w:highlight w:val="white"/>
          <w14:textFill>
            <w14:solidFill>
              <w14:schemeClr w14:val="tx1"/>
            </w14:solidFill>
          </w14:textFill>
        </w:rPr>
        <w:t>1</w:t>
      </w:r>
      <w:r>
        <w:rPr>
          <w:rFonts w:hint="eastAsia"/>
          <w:i w:val="0"/>
          <w:iCs w:val="0"/>
          <w:snapToGrid w:val="0"/>
          <w:color w:val="000000" w:themeColor="text1"/>
          <w:sz w:val="21"/>
          <w:szCs w:val="21"/>
          <w:highlight w:val="white"/>
          <w14:textFill>
            <w14:solidFill>
              <w14:schemeClr w14:val="tx1"/>
            </w14:solidFill>
          </w14:textFill>
        </w:rPr>
        <w:t>）</w:t>
      </w:r>
      <w:r>
        <w:rPr>
          <w:rFonts w:hint="eastAsia" w:ascii="宋体" w:hAnsi="宋体"/>
          <w:i w:val="0"/>
          <w:iCs w:val="0"/>
          <w:snapToGrid w:val="0"/>
          <w:color w:val="000000" w:themeColor="text1"/>
          <w:sz w:val="21"/>
          <w:szCs w:val="21"/>
          <w:highlight w:val="white"/>
          <w14:textFill>
            <w14:solidFill>
              <w14:schemeClr w14:val="tx1"/>
            </w14:solidFill>
          </w14:textFill>
        </w:rPr>
        <w:t>合同，以及由项目法人出具的完工</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（竣工）</w:t>
      </w:r>
      <w:r>
        <w:rPr>
          <w:rFonts w:hint="eastAsia" w:ascii="宋体" w:hAnsi="宋体"/>
          <w:i w:val="0"/>
          <w:iCs w:val="0"/>
          <w:snapToGrid w:val="0"/>
          <w:color w:val="000000" w:themeColor="text1"/>
          <w:sz w:val="21"/>
          <w:szCs w:val="21"/>
          <w:highlight w:val="white"/>
          <w14:textFill>
            <w14:solidFill>
              <w14:schemeClr w14:val="tx1"/>
            </w14:solidFill>
          </w14:textFill>
        </w:rPr>
        <w:t>验收鉴定书〔或质量监督机构出具</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对应</w:t>
      </w:r>
      <w:r>
        <w:rPr>
          <w:rFonts w:hint="eastAsia" w:ascii="宋体" w:hAnsi="宋体"/>
          <w:i w:val="0"/>
          <w:iCs w:val="0"/>
          <w:snapToGrid w:val="0"/>
          <w:color w:val="000000" w:themeColor="text1"/>
          <w:sz w:val="21"/>
          <w:szCs w:val="21"/>
          <w:highlight w:val="white"/>
          <w14:textFill>
            <w14:solidFill>
              <w14:schemeClr w14:val="tx1"/>
            </w14:solidFill>
          </w14:textFill>
        </w:rPr>
        <w:t>的完工</w:t>
      </w:r>
      <w:r>
        <w:rPr>
          <w:rFonts w:hint="eastAsia" w:ascii="宋体" w:hAnsi="宋体"/>
          <w:i w:val="0"/>
          <w:iCs w:val="0"/>
          <w:snapToGrid w:val="0"/>
          <w:color w:val="000000" w:themeColor="text1"/>
          <w:sz w:val="21"/>
          <w:szCs w:val="21"/>
          <w:highlight w:val="white"/>
          <w:lang w:eastAsia="zh-Hans"/>
          <w14:textFill>
            <w14:solidFill>
              <w14:schemeClr w14:val="tx1"/>
            </w14:solidFill>
          </w14:textFill>
        </w:rPr>
        <w:t>（竣工）</w:t>
      </w:r>
      <w:r>
        <w:rPr>
          <w:rFonts w:hint="eastAsia" w:ascii="宋体" w:hAnsi="宋体"/>
          <w:i w:val="0"/>
          <w:iCs w:val="0"/>
          <w:snapToGrid w:val="0"/>
          <w:color w:val="000000" w:themeColor="text1"/>
          <w:sz w:val="21"/>
          <w:szCs w:val="21"/>
          <w:highlight w:val="white"/>
          <w14:textFill>
            <w14:solidFill>
              <w14:schemeClr w14:val="tx1"/>
            </w14:solidFill>
          </w14:textFill>
        </w:rPr>
        <w:t>质量（安全）监督报告〕，若工程规模、特征等无法</w:t>
      </w:r>
      <w:r>
        <w:rPr>
          <w:rFonts w:hint="eastAsia" w:ascii="宋体" w:hAnsi="宋体"/>
          <w:i w:val="0"/>
          <w:iCs w:val="0"/>
          <w:snapToGrid w:val="0"/>
          <w:color w:val="000000"/>
          <w:sz w:val="21"/>
          <w:szCs w:val="21"/>
          <w:highlight w:val="white"/>
        </w:rPr>
        <w:t>认定的，以初步设计批复（包括设计变更批复）或施工图纸为依据；</w:t>
      </w:r>
      <w:r>
        <w:rPr>
          <w:rFonts w:hint="eastAsia"/>
          <w:i w:val="0"/>
          <w:iCs w:val="0"/>
          <w:snapToGrid w:val="0"/>
          <w:color w:val="000000"/>
          <w:sz w:val="21"/>
          <w:szCs w:val="21"/>
          <w:highlight w:val="white"/>
        </w:rPr>
        <w:t>（</w:t>
      </w:r>
      <w:r>
        <w:rPr>
          <w:i w:val="0"/>
          <w:iCs w:val="0"/>
          <w:snapToGrid w:val="0"/>
          <w:color w:val="000000"/>
          <w:sz w:val="21"/>
          <w:szCs w:val="21"/>
          <w:highlight w:val="white"/>
        </w:rPr>
        <w:t>2</w:t>
      </w:r>
      <w:r>
        <w:rPr>
          <w:rFonts w:hint="eastAsia"/>
          <w:i w:val="0"/>
          <w:iCs w:val="0"/>
          <w:snapToGrid w:val="0"/>
          <w:color w:val="000000"/>
          <w:sz w:val="21"/>
          <w:szCs w:val="21"/>
          <w:highlight w:val="white"/>
        </w:rPr>
        <w:t>）</w:t>
      </w:r>
      <w:r>
        <w:rPr>
          <w:rFonts w:hint="eastAsia" w:ascii="宋体" w:hAnsi="宋体"/>
          <w:i w:val="0"/>
          <w:iCs w:val="0"/>
          <w:snapToGrid w:val="0"/>
          <w:color w:val="000000"/>
          <w:sz w:val="21"/>
          <w:szCs w:val="21"/>
          <w:highlight w:val="white"/>
        </w:rPr>
        <w:t>浙江省水利厅“透明工程”应用上公示网页打印件。（上述</w:t>
      </w:r>
      <w:r>
        <w:rPr>
          <w:rFonts w:hint="eastAsia"/>
          <w:i w:val="0"/>
          <w:iCs w:val="0"/>
          <w:snapToGrid w:val="0"/>
          <w:color w:val="000000"/>
          <w:sz w:val="21"/>
          <w:szCs w:val="21"/>
          <w:highlight w:val="white"/>
        </w:rPr>
        <w:t>（</w:t>
      </w:r>
      <w:r>
        <w:rPr>
          <w:i w:val="0"/>
          <w:iCs w:val="0"/>
          <w:snapToGrid w:val="0"/>
          <w:color w:val="000000"/>
          <w:sz w:val="21"/>
          <w:szCs w:val="21"/>
          <w:highlight w:val="white"/>
        </w:rPr>
        <w:t>1</w:t>
      </w:r>
      <w:r>
        <w:rPr>
          <w:rFonts w:hint="eastAsia"/>
          <w:i w:val="0"/>
          <w:iCs w:val="0"/>
          <w:snapToGrid w:val="0"/>
          <w:color w:val="000000"/>
          <w:sz w:val="21"/>
          <w:szCs w:val="21"/>
          <w:highlight w:val="white"/>
        </w:rPr>
        <w:t>）、（</w:t>
      </w:r>
      <w:r>
        <w:rPr>
          <w:i w:val="0"/>
          <w:iCs w:val="0"/>
          <w:snapToGrid w:val="0"/>
          <w:color w:val="000000"/>
          <w:sz w:val="21"/>
          <w:szCs w:val="21"/>
          <w:highlight w:val="white"/>
        </w:rPr>
        <w:t>2</w:t>
      </w:r>
      <w:r>
        <w:rPr>
          <w:rFonts w:hint="eastAsia"/>
          <w:i w:val="0"/>
          <w:iCs w:val="0"/>
          <w:snapToGrid w:val="0"/>
          <w:color w:val="000000"/>
          <w:sz w:val="21"/>
          <w:szCs w:val="21"/>
          <w:highlight w:val="white"/>
        </w:rPr>
        <w:t>）</w:t>
      </w:r>
      <w:r>
        <w:rPr>
          <w:rFonts w:hint="eastAsia" w:ascii="宋体" w:hAnsi="宋体"/>
          <w:i w:val="0"/>
          <w:iCs w:val="0"/>
          <w:snapToGrid w:val="0"/>
          <w:color w:val="000000"/>
          <w:sz w:val="21"/>
          <w:szCs w:val="21"/>
          <w:highlight w:val="white"/>
        </w:rPr>
        <w:t>项须同时提供）。</w:t>
      </w:r>
      <w:r>
        <w:rPr>
          <w:rFonts w:hint="eastAsia" w:ascii="宋体" w:hAnsi="宋体" w:eastAsia="宋体"/>
          <w:i w:val="0"/>
          <w:iCs w:val="0"/>
          <w:snapToGrid w:val="0"/>
          <w:color w:val="000000"/>
          <w:sz w:val="21"/>
          <w:szCs w:val="21"/>
          <w:highlight w:val="white"/>
          <w:lang w:val="en-US" w:eastAsia="zh-CN"/>
        </w:rPr>
        <w:t>若上诉文件无法证明本项目类似业绩，则请提供其他证明材料。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i w:val="0"/>
          <w:iCs w:val="0"/>
          <w:snapToGrid w:val="0"/>
          <w:color w:val="000000"/>
          <w:sz w:val="21"/>
          <w:szCs w:val="21"/>
        </w:rPr>
      </w:pPr>
      <w:r>
        <w:rPr>
          <w:rFonts w:hint="eastAsia" w:ascii="宋体" w:hAnsi="宋体"/>
          <w:i w:val="0"/>
          <w:iCs w:val="0"/>
          <w:snapToGrid w:val="0"/>
          <w:color w:val="000000"/>
          <w:sz w:val="21"/>
          <w:szCs w:val="21"/>
          <w:highlight w:val="white"/>
        </w:rPr>
        <w:t>拟派项目负责人、技术负责人的身份以公示网页打印件为准，公示网页打印件与业绩证明材料（1）合同、以及由项目法人出具的完工（竣工）验收鉴定书〔或质量监督机构出具</w:t>
      </w:r>
      <w:r>
        <w:rPr>
          <w:rFonts w:hint="eastAsia" w:ascii="宋体" w:hAnsi="宋体"/>
          <w:i w:val="0"/>
          <w:iCs w:val="0"/>
          <w:snapToGrid w:val="0"/>
          <w:color w:val="000000"/>
          <w:sz w:val="21"/>
          <w:szCs w:val="21"/>
          <w:highlight w:val="white"/>
          <w:lang w:eastAsia="zh-Hans"/>
        </w:rPr>
        <w:t>对应</w:t>
      </w:r>
      <w:r>
        <w:rPr>
          <w:rFonts w:hint="eastAsia" w:ascii="宋体" w:hAnsi="宋体"/>
          <w:i w:val="0"/>
          <w:iCs w:val="0"/>
          <w:snapToGrid w:val="0"/>
          <w:color w:val="000000"/>
          <w:sz w:val="21"/>
          <w:szCs w:val="21"/>
          <w:highlight w:val="white"/>
        </w:rPr>
        <w:t>的完工（竣工）质量（安全）监督报告〕的其中之一一致的，该业绩予以认可，均不一致的，该业绩不予认可。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cs="宋体"/>
          <w:i w:val="0"/>
          <w:iCs w:val="0"/>
          <w:color w:val="000000"/>
          <w:sz w:val="21"/>
          <w:szCs w:val="21"/>
        </w:rPr>
      </w:pPr>
      <w:r>
        <w:rPr>
          <w:rFonts w:hint="eastAsia" w:ascii="宋体" w:hAnsi="宋体"/>
          <w:i w:val="0"/>
          <w:iCs w:val="0"/>
          <w:snapToGrid w:val="0"/>
          <w:color w:val="000000"/>
          <w:sz w:val="21"/>
          <w:szCs w:val="21"/>
          <w:highlight w:val="white"/>
        </w:rPr>
        <w:t>除拟派项目负责人、技术负责人的身份外，公示网页打印件与项目法人出具的完</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（竣</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）验收鉴定书〔或质量监督机构出具</w:t>
      </w:r>
      <w:r>
        <w:rPr>
          <w:rFonts w:hint="eastAsia" w:ascii="宋体" w:hAnsi="宋体"/>
          <w:i w:val="0"/>
          <w:iCs w:val="0"/>
          <w:snapToGrid w:val="0"/>
          <w:color w:val="000000"/>
          <w:sz w:val="21"/>
          <w:szCs w:val="21"/>
          <w:highlight w:val="white"/>
          <w:lang w:eastAsia="zh-Hans"/>
        </w:rPr>
        <w:t>对应</w:t>
      </w:r>
      <w:r>
        <w:rPr>
          <w:rFonts w:hint="eastAsia" w:ascii="宋体" w:hAnsi="宋体"/>
          <w:i w:val="0"/>
          <w:iCs w:val="0"/>
          <w:snapToGrid w:val="0"/>
          <w:color w:val="000000"/>
          <w:sz w:val="21"/>
          <w:szCs w:val="21"/>
          <w:highlight w:val="white"/>
        </w:rPr>
        <w:t>的完</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（竣</w:t>
      </w:r>
      <w:r>
        <w:rPr>
          <w:rFonts w:hint="eastAsia" w:ascii="宋体" w:hAnsi="宋体"/>
          <w:i w:val="0"/>
          <w:iCs w:val="0"/>
          <w:snapToGrid w:val="0"/>
          <w:color w:val="000000"/>
          <w:sz w:val="21"/>
          <w:szCs w:val="21"/>
          <w:highlight w:val="white"/>
          <w:lang w:eastAsia="zh-Hans"/>
        </w:rPr>
        <w:t>工</w:t>
      </w:r>
      <w:r>
        <w:rPr>
          <w:rFonts w:hint="eastAsia" w:ascii="宋体" w:hAnsi="宋体"/>
          <w:i w:val="0"/>
          <w:iCs w:val="0"/>
          <w:snapToGrid w:val="0"/>
          <w:color w:val="000000"/>
          <w:sz w:val="21"/>
          <w:szCs w:val="21"/>
          <w:highlight w:val="white"/>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3"/>
          <w:sz w:val="24"/>
          <w:szCs w:val="24"/>
          <w14:textOutline w14:w="3831" w14:cap="flat" w14:cmpd="sng">
            <w14:solidFill>
              <w14:srgbClr w14:val="000000"/>
            </w14:solidFill>
            <w14:prstDash w14:val="solid"/>
            <w14:miter w14:val="0"/>
          </w14:textOutline>
        </w:rPr>
        <w:t>4.7</w:t>
      </w:r>
      <w:r>
        <w:rPr>
          <w:rFonts w:ascii="宋体" w:hAnsi="宋体" w:eastAsia="宋体" w:cs="宋体"/>
          <w:spacing w:val="-13"/>
          <w:sz w:val="24"/>
          <w:szCs w:val="24"/>
        </w:rPr>
        <w:t xml:space="preserve"> </w:t>
      </w:r>
      <w:r>
        <w:rPr>
          <w:rFonts w:ascii="宋体" w:hAnsi="宋体" w:eastAsia="宋体" w:cs="宋体"/>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spacing w:val="-13"/>
          <w:sz w:val="21"/>
          <w:szCs w:val="21"/>
        </w:rPr>
        <w:t>1.凡评标委员会拟作出否决投标决定的，应先向投标人进行书面询问核实。未进行询问核实程序的</w:t>
      </w:r>
      <w:r>
        <w:rPr>
          <w:rFonts w:ascii="宋体" w:hAnsi="宋体" w:eastAsia="宋体" w:cs="宋体"/>
          <w:spacing w:val="-9"/>
          <w:sz w:val="21"/>
          <w:szCs w:val="21"/>
        </w:rPr>
        <w:t>，</w:t>
      </w:r>
      <w:r>
        <w:rPr>
          <w:rFonts w:ascii="宋体" w:hAnsi="宋体" w:eastAsia="宋体" w:cs="宋体"/>
          <w:sz w:val="21"/>
          <w:szCs w:val="21"/>
        </w:rPr>
        <w:t xml:space="preserve"> </w:t>
      </w:r>
      <w:r>
        <w:rPr>
          <w:rFonts w:ascii="宋体" w:hAnsi="宋体" w:eastAsia="宋体" w:cs="宋体"/>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532509223</w:t>
      </w:r>
      <w:r>
        <w:rPr>
          <w:rFonts w:hint="eastAsia"/>
          <w:color w:val="auto"/>
          <w:highlight w:val="none"/>
        </w:rPr>
        <w:t>@qq.com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sz w:val="21"/>
          <w:szCs w:val="21"/>
        </w:rPr>
      </w:pPr>
      <w:r>
        <w:rPr>
          <w:rFonts w:ascii="宋体" w:hAnsi="宋体" w:eastAsia="宋体" w:cs="宋体"/>
          <w:spacing w:val="-11"/>
          <w:sz w:val="21"/>
          <w:szCs w:val="21"/>
        </w:rPr>
        <w:t>投标人应自行关注评标委员会发</w:t>
      </w:r>
      <w:r>
        <w:rPr>
          <w:rFonts w:ascii="宋体" w:hAnsi="宋体" w:eastAsia="宋体" w:cs="宋体"/>
          <w:spacing w:val="-4"/>
          <w:sz w:val="21"/>
          <w:szCs w:val="21"/>
        </w:rPr>
        <w:t>出</w:t>
      </w:r>
      <w:r>
        <w:rPr>
          <w:rFonts w:ascii="宋体" w:hAnsi="宋体" w:eastAsia="宋体" w:cs="宋体"/>
          <w:spacing w:val="-22"/>
          <w:sz w:val="21"/>
          <w:szCs w:val="21"/>
        </w:rPr>
        <w:t>的澄</w:t>
      </w:r>
      <w:r>
        <w:rPr>
          <w:rFonts w:ascii="宋体" w:hAnsi="宋体" w:eastAsia="宋体" w:cs="宋体"/>
          <w:spacing w:val="-20"/>
          <w:sz w:val="21"/>
          <w:szCs w:val="21"/>
        </w:rPr>
        <w:t>清</w:t>
      </w:r>
      <w:r>
        <w:rPr>
          <w:rFonts w:ascii="宋体" w:hAnsi="宋体" w:eastAsia="宋体" w:cs="宋体"/>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2"/>
          <w:sz w:val="21"/>
          <w:szCs w:val="21"/>
        </w:rPr>
        <w:t>2</w:t>
      </w:r>
      <w:r>
        <w:rPr>
          <w:rFonts w:ascii="宋体" w:hAnsi="宋体" w:eastAsia="宋体" w:cs="宋体"/>
          <w:spacing w:val="-17"/>
          <w:sz w:val="21"/>
          <w:szCs w:val="21"/>
        </w:rPr>
        <w:t>.</w:t>
      </w:r>
      <w:r>
        <w:rPr>
          <w:rFonts w:ascii="宋体" w:hAnsi="宋体" w:eastAsia="宋体" w:cs="宋体"/>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4.8</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6"/>
          <w:sz w:val="21"/>
          <w:szCs w:val="21"/>
        </w:rPr>
        <w:t>投标</w:t>
      </w:r>
      <w:r>
        <w:rPr>
          <w:rFonts w:ascii="宋体" w:hAnsi="宋体" w:eastAsia="宋体" w:cs="宋体"/>
          <w:spacing w:val="-15"/>
          <w:sz w:val="21"/>
          <w:szCs w:val="21"/>
        </w:rPr>
        <w:t>文</w:t>
      </w:r>
      <w:r>
        <w:rPr>
          <w:rFonts w:ascii="宋体" w:hAnsi="宋体" w:eastAsia="宋体" w:cs="宋体"/>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4.9</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sz w:val="21"/>
          <w:szCs w:val="21"/>
        </w:rPr>
      </w:pPr>
      <w:r>
        <w:rPr>
          <w:rFonts w:ascii="宋体" w:hAnsi="宋体" w:eastAsia="宋体" w:cs="宋体"/>
          <w:spacing w:val="-18"/>
          <w:sz w:val="21"/>
          <w:szCs w:val="21"/>
        </w:rPr>
        <w:t>评</w:t>
      </w:r>
      <w:r>
        <w:rPr>
          <w:rFonts w:ascii="宋体" w:hAnsi="宋体" w:eastAsia="宋体" w:cs="宋体"/>
          <w:spacing w:val="-14"/>
          <w:sz w:val="21"/>
          <w:szCs w:val="21"/>
        </w:rPr>
        <w:t>标</w:t>
      </w:r>
      <w:r>
        <w:rPr>
          <w:rFonts w:ascii="宋体" w:hAnsi="宋体" w:eastAsia="宋体" w:cs="宋体"/>
          <w:spacing w:val="-9"/>
          <w:sz w:val="21"/>
          <w:szCs w:val="21"/>
        </w:rPr>
        <w:t>委员会根据综合评分对通过商务评审的投标文件按照由高到低的顺序进行排序，推荐中标候选</w:t>
      </w:r>
      <w:r>
        <w:rPr>
          <w:rFonts w:ascii="宋体" w:hAnsi="宋体" w:eastAsia="宋体" w:cs="宋体"/>
          <w:sz w:val="21"/>
          <w:szCs w:val="21"/>
        </w:rPr>
        <w:t xml:space="preserve"> </w:t>
      </w:r>
      <w:r>
        <w:rPr>
          <w:rFonts w:ascii="宋体" w:hAnsi="宋体" w:eastAsia="宋体" w:cs="宋体"/>
          <w:spacing w:val="-12"/>
          <w:sz w:val="21"/>
          <w:szCs w:val="21"/>
        </w:rPr>
        <w:t>人。综合评分相同时，报价低者优先。评分、报价均相同时，由评标委员会全体成员按照少数服从多数</w:t>
      </w:r>
      <w:r>
        <w:rPr>
          <w:rFonts w:ascii="宋体" w:hAnsi="宋体" w:eastAsia="宋体" w:cs="宋体"/>
          <w:spacing w:val="-3"/>
          <w:sz w:val="21"/>
          <w:szCs w:val="21"/>
        </w:rPr>
        <w:t>的</w:t>
      </w:r>
      <w:r>
        <w:rPr>
          <w:rFonts w:ascii="宋体" w:hAnsi="宋体" w:eastAsia="宋体" w:cs="宋体"/>
          <w:sz w:val="21"/>
          <w:szCs w:val="21"/>
        </w:rPr>
        <w:t xml:space="preserve"> </w:t>
      </w:r>
      <w:r>
        <w:rPr>
          <w:rFonts w:ascii="宋体" w:hAnsi="宋体" w:eastAsia="宋体" w:cs="宋体"/>
          <w:spacing w:val="-20"/>
          <w:sz w:val="21"/>
          <w:szCs w:val="21"/>
        </w:rPr>
        <w:t>原</w:t>
      </w:r>
      <w:r>
        <w:rPr>
          <w:rFonts w:ascii="宋体" w:hAnsi="宋体" w:eastAsia="宋体" w:cs="宋体"/>
          <w:spacing w:val="-14"/>
          <w:sz w:val="21"/>
          <w:szCs w:val="21"/>
        </w:rPr>
        <w:t>则</w:t>
      </w:r>
      <w:r>
        <w:rPr>
          <w:rFonts w:ascii="宋体" w:hAnsi="宋体" w:eastAsia="宋体" w:cs="宋体"/>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sz w:val="21"/>
          <w:szCs w:val="21"/>
        </w:rPr>
      </w:pPr>
      <w:r>
        <w:rPr>
          <w:rFonts w:ascii="宋体" w:hAnsi="宋体" w:eastAsia="宋体" w:cs="宋体"/>
          <w:spacing w:val="-17"/>
          <w:sz w:val="21"/>
          <w:szCs w:val="21"/>
        </w:rPr>
        <w:t>本</w:t>
      </w:r>
      <w:r>
        <w:rPr>
          <w:rFonts w:ascii="宋体" w:hAnsi="宋体" w:eastAsia="宋体" w:cs="宋体"/>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4"/>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.10</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1</w:t>
      </w:r>
      <w:r>
        <w:rPr>
          <w:rFonts w:ascii="宋体" w:hAnsi="宋体" w:eastAsia="宋体" w:cs="宋体"/>
          <w:spacing w:val="-12"/>
          <w:sz w:val="21"/>
          <w:szCs w:val="21"/>
          <w14:textOutline w14:w="3831" w14:cap="flat" w14:cmpd="sng">
            <w14:solidFill>
              <w14:srgbClr w14:val="000000"/>
            </w14:solidFill>
            <w14:prstDash w14:val="solid"/>
            <w14:miter w14:val="0"/>
          </w14:textOutline>
        </w:rPr>
        <w:t>0.1</w:t>
      </w:r>
      <w:r>
        <w:rPr>
          <w:rFonts w:ascii="宋体" w:hAnsi="宋体" w:eastAsia="宋体" w:cs="宋体"/>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sz w:val="21"/>
          <w:szCs w:val="21"/>
        </w:rPr>
      </w:pPr>
      <w:r>
        <w:rPr>
          <w:rFonts w:ascii="宋体" w:hAnsi="宋体" w:eastAsia="宋体" w:cs="宋体"/>
          <w:spacing w:val="-26"/>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3"/>
          <w:sz w:val="21"/>
          <w:szCs w:val="21"/>
          <w14:textOutline w14:w="3831" w14:cap="flat" w14:cmpd="sng">
            <w14:solidFill>
              <w14:srgbClr w14:val="000000"/>
            </w14:solidFill>
            <w14:prstDash w14:val="solid"/>
            <w14:miter w14:val="0"/>
          </w14:textOutline>
        </w:rPr>
        <w:t>0.2</w:t>
      </w:r>
      <w:r>
        <w:rPr>
          <w:rFonts w:ascii="宋体" w:hAnsi="宋体" w:eastAsia="宋体" w:cs="宋体"/>
          <w:spacing w:val="-13"/>
          <w:sz w:val="21"/>
          <w:szCs w:val="21"/>
        </w:rPr>
        <w:t xml:space="preserve"> 评标委员会应根据评标情况，推荐中标候选人，并向招标人提交评标报告。评标报告由评标委</w:t>
      </w:r>
      <w:r>
        <w:rPr>
          <w:rFonts w:ascii="宋体" w:hAnsi="宋体" w:eastAsia="宋体" w:cs="宋体"/>
          <w:sz w:val="21"/>
          <w:szCs w:val="21"/>
        </w:rPr>
        <w:t xml:space="preserve"> </w:t>
      </w:r>
      <w:r>
        <w:rPr>
          <w:rFonts w:ascii="宋体" w:hAnsi="宋体" w:eastAsia="宋体" w:cs="宋体"/>
          <w:spacing w:val="-20"/>
          <w:sz w:val="21"/>
          <w:szCs w:val="21"/>
        </w:rPr>
        <w:t>员会成</w:t>
      </w:r>
      <w:r>
        <w:rPr>
          <w:rFonts w:ascii="宋体" w:hAnsi="宋体" w:eastAsia="宋体" w:cs="宋体"/>
          <w:spacing w:val="-15"/>
          <w:sz w:val="21"/>
          <w:szCs w:val="21"/>
        </w:rPr>
        <w:t>员</w:t>
      </w:r>
      <w:r>
        <w:rPr>
          <w:rFonts w:ascii="宋体" w:hAnsi="宋体" w:eastAsia="宋体" w:cs="宋体"/>
          <w:spacing w:val="-10"/>
          <w:sz w:val="21"/>
          <w:szCs w:val="21"/>
        </w:rPr>
        <w:t>起草，评标委员会全体成员应在评标报告上签字确认，评标专家如有保留意见可以在评标报告中</w:t>
      </w:r>
      <w:r>
        <w:rPr>
          <w:rFonts w:ascii="宋体" w:hAnsi="宋体" w:eastAsia="宋体" w:cs="宋体"/>
          <w:sz w:val="21"/>
          <w:szCs w:val="21"/>
        </w:rPr>
        <w:t xml:space="preserve"> </w:t>
      </w:r>
      <w:r>
        <w:rPr>
          <w:rFonts w:ascii="宋体" w:hAnsi="宋体" w:eastAsia="宋体" w:cs="宋体"/>
          <w:spacing w:val="-12"/>
          <w:sz w:val="21"/>
          <w:szCs w:val="21"/>
        </w:rPr>
        <w:t>阐明。评标委员会成员拒绝在评标报告上签字又不书面说明其不同意见和理由的，视为同意评标结果</w:t>
      </w:r>
      <w:r>
        <w:rPr>
          <w:rFonts w:ascii="宋体" w:hAnsi="宋体" w:eastAsia="宋体" w:cs="宋体"/>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.10.3</w:t>
      </w:r>
      <w:r>
        <w:rPr>
          <w:rFonts w:ascii="宋体" w:hAnsi="宋体" w:eastAsia="宋体" w:cs="宋体"/>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7"/>
          <w:sz w:val="21"/>
          <w:szCs w:val="21"/>
        </w:rPr>
        <w:t>(</w:t>
      </w:r>
      <w:r>
        <w:rPr>
          <w:rFonts w:ascii="宋体" w:hAnsi="宋体" w:eastAsia="宋体" w:cs="宋体"/>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sectPr>
          <w:footerReference r:id="rId16" w:type="default"/>
          <w:pgSz w:w="11900" w:h="16841"/>
          <w:pgMar w:top="400" w:right="1194" w:bottom="1014" w:left="1483" w:header="1077" w:footer="907" w:gutter="0"/>
          <w:pgNumType w:fmt="decimal" w:start="37"/>
          <w:cols w:space="720" w:num="1"/>
        </w:sectPr>
      </w:pPr>
    </w:p>
    <w:p>
      <w:pPr>
        <w:pStyle w:val="27"/>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28"/>
        <w:keepNext/>
        <w:keepLines/>
        <w:spacing w:before="480" w:beforeLines="200" w:after="680"/>
        <w:jc w:val="center"/>
        <w:outlineLvl w:val="1"/>
        <w:rPr>
          <w:b/>
          <w:bCs/>
          <w:color w:val="auto"/>
          <w:sz w:val="36"/>
          <w:szCs w:val="36"/>
          <w:highlight w:val="none"/>
        </w:rPr>
      </w:pPr>
      <w:bookmarkStart w:id="366" w:name="_Toc11293"/>
      <w:bookmarkStart w:id="367" w:name="_Toc17860"/>
      <w:bookmarkStart w:id="368" w:name="_Toc19131"/>
      <w:r>
        <w:rPr>
          <w:b/>
          <w:bCs/>
          <w:color w:val="auto"/>
          <w:sz w:val="36"/>
          <w:szCs w:val="36"/>
          <w:highlight w:val="none"/>
        </w:rPr>
        <w:t>投标文件澄清通知</w:t>
      </w:r>
      <w:bookmarkEnd w:id="366"/>
      <w:bookmarkEnd w:id="367"/>
      <w:bookmarkEnd w:id="368"/>
    </w:p>
    <w:p>
      <w:pPr>
        <w:pStyle w:val="29"/>
        <w:keepNext/>
        <w:keepLines/>
        <w:spacing w:before="240" w:beforeLines="100" w:after="1000"/>
        <w:jc w:val="center"/>
        <w:outlineLvl w:val="9"/>
        <w:rPr>
          <w:color w:val="auto"/>
          <w:sz w:val="30"/>
          <w:szCs w:val="30"/>
          <w:highlight w:val="none"/>
          <w:lang w:eastAsia="zh-CN"/>
        </w:rPr>
      </w:pPr>
      <w:bookmarkStart w:id="369" w:name="_Toc22696"/>
      <w:bookmarkStart w:id="370" w:name="_Toc22467"/>
      <w:bookmarkStart w:id="371" w:name="_Toc26022"/>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6"/>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6"/>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6"/>
        <w:tabs>
          <w:tab w:val="left" w:pos="4488"/>
        </w:tabs>
        <w:spacing w:after="680" w:line="240" w:lineRule="auto"/>
        <w:ind w:firstLine="680" w:firstLineChars="200"/>
        <w:jc w:val="right"/>
        <w:rPr>
          <w:color w:val="auto"/>
          <w:highlight w:val="none"/>
        </w:rPr>
      </w:pPr>
    </w:p>
    <w:p>
      <w:pPr>
        <w:pStyle w:val="26"/>
        <w:tabs>
          <w:tab w:val="left" w:pos="4488"/>
        </w:tabs>
        <w:spacing w:after="680" w:line="240" w:lineRule="auto"/>
        <w:ind w:firstLine="0"/>
        <w:jc w:val="right"/>
        <w:rPr>
          <w:color w:val="auto"/>
          <w:highlight w:val="none"/>
        </w:rPr>
      </w:pPr>
    </w:p>
    <w:p>
      <w:pPr>
        <w:pStyle w:val="26"/>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6"/>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1468"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7"/>
        <w:spacing w:after="0" w:line="460" w:lineRule="exact"/>
        <w:rPr>
          <w:color w:val="auto"/>
          <w:sz w:val="21"/>
          <w:szCs w:val="21"/>
          <w:highlight w:val="none"/>
        </w:rPr>
      </w:pPr>
      <w:r>
        <w:rPr>
          <w:color w:val="auto"/>
          <w:sz w:val="21"/>
          <w:szCs w:val="21"/>
          <w:highlight w:val="none"/>
        </w:rPr>
        <w:t>附件二：投标文件澄清函</w:t>
      </w:r>
    </w:p>
    <w:p>
      <w:pPr>
        <w:pStyle w:val="28"/>
        <w:keepNext/>
        <w:keepLines/>
        <w:spacing w:before="480" w:beforeLines="200" w:after="680"/>
        <w:jc w:val="center"/>
        <w:outlineLvl w:val="1"/>
        <w:rPr>
          <w:b/>
          <w:bCs/>
          <w:color w:val="auto"/>
          <w:sz w:val="36"/>
          <w:szCs w:val="36"/>
          <w:highlight w:val="none"/>
        </w:rPr>
      </w:pPr>
      <w:bookmarkStart w:id="372" w:name="_Toc4737"/>
      <w:bookmarkStart w:id="373" w:name="_Toc9698"/>
      <w:bookmarkStart w:id="374" w:name="_Toc10182"/>
      <w:r>
        <w:rPr>
          <w:b/>
          <w:bCs/>
          <w:color w:val="auto"/>
          <w:sz w:val="36"/>
          <w:szCs w:val="36"/>
          <w:highlight w:val="none"/>
        </w:rPr>
        <w:t>投标文件澄清函</w:t>
      </w:r>
      <w:bookmarkEnd w:id="372"/>
      <w:bookmarkEnd w:id="373"/>
      <w:bookmarkEnd w:id="374"/>
    </w:p>
    <w:p>
      <w:pPr>
        <w:pStyle w:val="29"/>
        <w:keepNext/>
        <w:keepLines/>
        <w:spacing w:before="240" w:beforeLines="100" w:after="1000"/>
        <w:jc w:val="center"/>
        <w:outlineLvl w:val="9"/>
        <w:rPr>
          <w:color w:val="auto"/>
          <w:sz w:val="30"/>
          <w:szCs w:val="30"/>
          <w:highlight w:val="none"/>
        </w:rPr>
      </w:pPr>
      <w:bookmarkStart w:id="375" w:name="_Toc32501"/>
      <w:bookmarkStart w:id="376" w:name="_Toc9001"/>
      <w:bookmarkStart w:id="377" w:name="_Toc14120"/>
      <w:r>
        <w:rPr>
          <w:color w:val="auto"/>
          <w:sz w:val="30"/>
          <w:szCs w:val="30"/>
          <w:highlight w:val="none"/>
        </w:rPr>
        <w:t>编号：</w:t>
      </w:r>
      <w:bookmarkEnd w:id="375"/>
      <w:bookmarkEnd w:id="376"/>
      <w:bookmarkEnd w:id="377"/>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6"/>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6"/>
        <w:tabs>
          <w:tab w:val="left" w:pos="2796"/>
        </w:tabs>
        <w:spacing w:after="0" w:line="700" w:lineRule="exact"/>
        <w:ind w:firstLine="0"/>
        <w:rPr>
          <w:color w:val="auto"/>
          <w:sz w:val="24"/>
          <w:szCs w:val="24"/>
          <w:highlight w:val="none"/>
          <w:u w:val="singl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6"/>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29"/>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000000" w:themeColor="text1"/>
          <w:sz w:val="24"/>
          <w:szCs w:val="24"/>
          <w14:textFill>
            <w14:solidFill>
              <w14:schemeClr w14:val="tx1"/>
            </w14:solidFill>
          </w14:textFill>
        </w:rPr>
      </w:pPr>
      <w:bookmarkStart w:id="380" w:name="_Toc29512"/>
      <w:r>
        <w:rPr>
          <w:rFonts w:ascii="宋体" w:hAnsi="宋体" w:eastAsia="宋体" w:cs="宋体"/>
          <w:color w:val="000000" w:themeColor="text1"/>
          <w:spacing w:val="-20"/>
          <w:sz w:val="24"/>
          <w:szCs w:val="24"/>
          <w14:textFill>
            <w14:solidFill>
              <w14:schemeClr w14:val="tx1"/>
            </w14:solidFill>
          </w14:textFill>
        </w:rPr>
        <w:t>略</w:t>
      </w:r>
      <w:r>
        <w:rPr>
          <w:rFonts w:ascii="宋体" w:hAnsi="宋体" w:eastAsia="宋体" w:cs="宋体"/>
          <w:color w:val="000000" w:themeColor="text1"/>
          <w:spacing w:val="-16"/>
          <w:sz w:val="24"/>
          <w:szCs w:val="24"/>
          <w14:textFill>
            <w14:solidFill>
              <w14:schemeClr w14:val="tx1"/>
            </w14:solidFill>
          </w14:textFill>
        </w:rPr>
        <w:t>。</w:t>
      </w:r>
      <w:r>
        <w:rPr>
          <w:rFonts w:ascii="宋体" w:hAnsi="宋体" w:eastAsia="宋体" w:cs="宋体"/>
          <w:color w:val="000000" w:themeColor="text1"/>
          <w:spacing w:val="-10"/>
          <w:sz w:val="24"/>
          <w:szCs w:val="24"/>
          <w14:textFill>
            <w14:solidFill>
              <w14:schemeClr w14:val="tx1"/>
            </w14:solidFill>
          </w14:textFill>
        </w:rPr>
        <w:t>参照《浙江省水利水电工程施工招标文件示范文本》(2022年版)。</w:t>
      </w:r>
    </w:p>
    <w:p>
      <w:pPr>
        <w:pStyle w:val="29"/>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6"/>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6"/>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6"/>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6"/>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嵊州市谷来镇人民政府</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6"/>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6"/>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6"/>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按第4.3条规定，批准工程分包。</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w:t>
      </w:r>
      <w:r>
        <w:rPr>
          <w:rFonts w:hint="eastAsia"/>
          <w:color w:val="000000" w:themeColor="text1"/>
          <w:sz w:val="21"/>
          <w:szCs w:val="21"/>
          <w:highlight w:val="none"/>
          <w:lang w:val="en-US" w:eastAsia="zh-CN" w:bidi="en-US"/>
          <w14:textFill>
            <w14:solidFill>
              <w14:schemeClr w14:val="tx1"/>
            </w14:solidFill>
          </w14:textFill>
        </w:rPr>
        <w:t>11.</w:t>
      </w:r>
      <w:r>
        <w:rPr>
          <w:rFonts w:hint="eastAsia"/>
          <w:color w:val="000000" w:themeColor="text1"/>
          <w:sz w:val="21"/>
          <w:szCs w:val="21"/>
          <w:highlight w:val="none"/>
          <w14:textFill>
            <w14:solidFill>
              <w14:schemeClr w14:val="tx1"/>
            </w14:solidFill>
          </w14:textFill>
        </w:rPr>
        <w:t>3款规定，确定延长完工期限。</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按第15.6条规定，批准预留金的使用。</w:t>
      </w:r>
    </w:p>
    <w:p>
      <w:pPr>
        <w:pStyle w:val="26"/>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000000" w:themeColor="text1"/>
          <w:sz w:val="28"/>
          <w:szCs w:val="28"/>
          <w:highlight w:val="none"/>
          <w:lang w:val="zh-CN" w:eastAsia="zh-CN"/>
          <w14:textFill>
            <w14:solidFill>
              <w14:schemeClr w14:val="tx1"/>
            </w14:solidFill>
          </w14:textFill>
        </w:rPr>
      </w:pPr>
      <w:bookmarkStart w:id="384" w:name="_Toc14208"/>
      <w:r>
        <w:rPr>
          <w:rFonts w:hint="eastAsia"/>
          <w:b/>
          <w:bCs/>
          <w:color w:val="000000" w:themeColor="text1"/>
          <w:sz w:val="28"/>
          <w:szCs w:val="28"/>
          <w:highlight w:val="none"/>
          <w:lang w:val="zh-CN" w:eastAsia="zh-CN"/>
          <w14:textFill>
            <w14:solidFill>
              <w14:schemeClr w14:val="tx1"/>
            </w14:solidFill>
          </w14:textFill>
        </w:rPr>
        <w:t>4</w:t>
      </w:r>
      <w:r>
        <w:rPr>
          <w:rFonts w:hint="eastAsia"/>
          <w:b/>
          <w:bCs/>
          <w:color w:val="000000" w:themeColor="text1"/>
          <w:sz w:val="28"/>
          <w:szCs w:val="28"/>
          <w:highlight w:val="none"/>
          <w:lang w:val="en-US" w:eastAsia="zh-CN"/>
          <w14:textFill>
            <w14:solidFill>
              <w14:schemeClr w14:val="tx1"/>
            </w14:solidFill>
          </w14:textFill>
        </w:rPr>
        <w:t xml:space="preserve">  </w:t>
      </w:r>
      <w:r>
        <w:rPr>
          <w:rFonts w:hint="eastAsia"/>
          <w:b/>
          <w:bCs/>
          <w:color w:val="000000" w:themeColor="text1"/>
          <w:sz w:val="28"/>
          <w:szCs w:val="28"/>
          <w:highlight w:val="none"/>
          <w:lang w:val="zh-CN" w:eastAsia="zh-CN"/>
          <w14:textFill>
            <w14:solidFill>
              <w14:schemeClr w14:val="tx1"/>
            </w14:solidFill>
          </w14:textFill>
        </w:rPr>
        <w:t>承包人</w:t>
      </w:r>
      <w:bookmarkEnd w:id="384"/>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  承包人的一般义务</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其他义务</w:t>
      </w:r>
    </w:p>
    <w:p>
      <w:pPr>
        <w:spacing w:line="400" w:lineRule="exact"/>
        <w:ind w:right="248" w:firstLine="480"/>
        <w:rPr>
          <w:rFonts w:ascii="宋体"/>
          <w:snapToGrid w:val="0"/>
          <w:color w:val="000000" w:themeColor="text1"/>
          <w:szCs w:val="21"/>
          <w:u w:val="single"/>
          <w14:textFill>
            <w14:solidFill>
              <w14:schemeClr w14:val="tx1"/>
            </w14:solidFill>
          </w14:textFill>
        </w:rPr>
      </w:pPr>
      <w:r>
        <w:rPr>
          <w:rFonts w:hint="eastAsia" w:ascii="宋体"/>
          <w:snapToGrid w:val="0"/>
          <w:color w:val="000000" w:themeColor="text1"/>
          <w:szCs w:val="21"/>
          <w14:textFill>
            <w14:solidFill>
              <w14:schemeClr w14:val="tx1"/>
            </w14:solidFill>
          </w14:textFill>
        </w:rPr>
        <w:t xml:space="preserve"> </w:t>
      </w:r>
      <w:r>
        <w:rPr>
          <w:rFonts w:hint="eastAsia" w:ascii="宋体"/>
          <w:snapToGrid w:val="0"/>
          <w:color w:val="000000" w:themeColor="text1"/>
          <w:szCs w:val="21"/>
          <w:u w:val="single"/>
          <w14:textFill>
            <w14:solidFill>
              <w14:schemeClr w14:val="tx1"/>
            </w14:solidFill>
          </w14:textFill>
        </w:rPr>
        <w:t xml:space="preserve">          /             </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  分包</w:t>
      </w:r>
    </w:p>
    <w:p>
      <w:pPr>
        <w:pStyle w:val="26"/>
        <w:tabs>
          <w:tab w:val="left" w:pos="1128"/>
        </w:tabs>
        <w:spacing w:after="0" w:line="360" w:lineRule="exact"/>
        <w:ind w:left="420" w:leftChars="200" w:firstLine="0"/>
        <w:rPr>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允许承包人分包的工程项目、工作内容与分包金额如下</w:t>
      </w:r>
      <w:r>
        <w:rPr>
          <w:rFonts w:hint="eastAsia"/>
          <w:color w:val="000000" w:themeColor="text1"/>
          <w:sz w:val="21"/>
          <w:szCs w:val="21"/>
          <w:highlight w:val="none"/>
          <w:lang w:eastAsia="zh-CN"/>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工作内容：</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6508"/>
        </w:tabs>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zh-CN" w:eastAsia="zh-CN" w:bidi="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分包金额限额：</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9412"/>
        </w:tabs>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分包人项目管理机构的设立：</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4.5  承包人项目负责人</w:t>
      </w:r>
    </w:p>
    <w:p>
      <w:pPr>
        <w:pStyle w:val="26"/>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本章</w:t>
      </w:r>
      <w:r>
        <w:rPr>
          <w:rFonts w:hint="eastAsia"/>
          <w:color w:val="000000" w:themeColor="text1"/>
          <w:sz w:val="21"/>
          <w:szCs w:val="21"/>
          <w:highlight w:val="none"/>
          <w:lang w:val="en-US" w:eastAsia="zh-CN" w:bidi="en-US"/>
          <w14:textFill>
            <w14:solidFill>
              <w14:schemeClr w14:val="tx1"/>
            </w14:solidFill>
          </w14:textFill>
        </w:rPr>
        <w:t>4.5.</w:t>
      </w:r>
      <w:r>
        <w:rPr>
          <w:rFonts w:hint="eastAsia"/>
          <w:color w:val="000000" w:themeColor="text1"/>
          <w:sz w:val="21"/>
          <w:szCs w:val="21"/>
          <w:highlight w:val="none"/>
          <w14:textFill>
            <w14:solidFill>
              <w14:schemeClr w14:val="tx1"/>
            </w14:solidFill>
          </w14:textFill>
        </w:rPr>
        <w:t>5款补充</w:t>
      </w:r>
      <w:r>
        <w:rPr>
          <w:rFonts w:hint="eastAsia"/>
          <w:color w:val="000000" w:themeColor="text1"/>
          <w:sz w:val="21"/>
          <w:szCs w:val="21"/>
          <w:highlight w:val="none"/>
          <w:lang w:eastAsia="zh-CN"/>
          <w14:textFill>
            <w14:solidFill>
              <w14:schemeClr w14:val="tx1"/>
            </w14:solidFill>
          </w14:textFill>
        </w:rPr>
        <w:t>：</w:t>
      </w:r>
    </w:p>
    <w:p>
      <w:pPr>
        <w:pStyle w:val="26"/>
        <w:tabs>
          <w:tab w:val="left" w:pos="4128"/>
          <w:tab w:val="left" w:pos="1202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项目负责人每月驻工地的天数不少于</w:t>
      </w:r>
      <w:r>
        <w:rPr>
          <w:rFonts w:hint="eastAsia"/>
          <w:b/>
          <w:bCs/>
          <w:color w:val="000000" w:themeColor="text1"/>
          <w:sz w:val="21"/>
          <w:szCs w:val="21"/>
          <w:highlight w:val="none"/>
          <w:u w:val="single"/>
          <w:lang w:val="en-US" w:eastAsia="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b/>
          <w:bCs/>
          <w:color w:val="000000" w:themeColor="text1"/>
          <w:sz w:val="21"/>
          <w:szCs w:val="21"/>
          <w:highlight w:val="none"/>
          <w:u w:val="single"/>
          <w:lang w:val="en-US" w:eastAsia="zh-CN"/>
          <w14:textFill>
            <w14:solidFill>
              <w14:schemeClr w14:val="tx1"/>
            </w14:solidFill>
          </w14:textFill>
        </w:rPr>
        <w:t xml:space="preserve">3000 </w:t>
      </w:r>
      <w:r>
        <w:rPr>
          <w:rFonts w:hint="eastAsia"/>
          <w:color w:val="000000" w:themeColor="text1"/>
          <w:sz w:val="21"/>
          <w:szCs w:val="21"/>
          <w:highlight w:val="none"/>
          <w:lang w:val="en-US" w:eastAsia="zh-CN"/>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14:textFill>
            <w14:solidFill>
              <w14:schemeClr w14:val="tx1"/>
            </w14:solidFill>
          </w14:textFill>
        </w:rPr>
        <w:tab/>
      </w:r>
      <w:r>
        <w:rPr>
          <w:rFonts w:hint="eastAsia"/>
          <w:b/>
          <w:bCs/>
          <w:color w:val="000000" w:themeColor="text1"/>
          <w:sz w:val="21"/>
          <w:szCs w:val="21"/>
          <w:highlight w:val="none"/>
          <w:u w:val="single"/>
          <w:lang w:val="en-US" w:eastAsia="zh-CN"/>
          <w14:textFill>
            <w14:solidFill>
              <w14:schemeClr w14:val="tx1"/>
            </w14:solidFill>
          </w14:textFill>
        </w:rPr>
        <w:t>10万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上述违约金在当月工程进度款中直接扣除，在工地工作天数按监理人实际考勤记录为准。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承包人的项目负责人连续</w:t>
      </w:r>
      <w:r>
        <w:rPr>
          <w:rFonts w:hint="eastAsia"/>
          <w:b/>
          <w:bCs/>
          <w:color w:val="000000" w:themeColor="text1"/>
          <w:sz w:val="21"/>
          <w:szCs w:val="21"/>
          <w:highlight w:val="none"/>
          <w:u w:val="single"/>
          <w:lang w:val="en-US" w:eastAsia="zh-CN" w:bidi="zh-CN"/>
          <w14:textFill>
            <w14:solidFill>
              <w14:schemeClr w14:val="tx1"/>
            </w14:solidFill>
          </w14:textFill>
        </w:rPr>
        <w:t xml:space="preserve"> 2 </w:t>
      </w:r>
      <w:r>
        <w:rPr>
          <w:rFonts w:hint="eastAsia"/>
          <w:color w:val="000000" w:themeColor="text1"/>
          <w:sz w:val="21"/>
          <w:szCs w:val="21"/>
          <w:highlight w:val="none"/>
          <w14:textFill>
            <w14:solidFill>
              <w14:schemeClr w14:val="tx1"/>
            </w14:solidFill>
          </w14:textFill>
        </w:rPr>
        <w:t>个月及以上每月驻工地的天数少于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天，发包人有权解除合同。</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4.6  承包人人员的管理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本章4.6.3款补充：</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项目技术负责人每月驻工地时间不得少于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b/>
          <w:bCs/>
          <w:color w:val="000000" w:themeColor="text1"/>
          <w:sz w:val="21"/>
          <w:szCs w:val="21"/>
          <w:highlight w:val="none"/>
          <w:u w:val="single"/>
          <w:lang w:val="en-US" w:eastAsia="zh-CN" w:bidi="zh-CN"/>
          <w14:textFill>
            <w14:solidFill>
              <w14:schemeClr w14:val="tx1"/>
            </w14:solidFill>
          </w14:textFill>
        </w:rPr>
        <w:t>1000</w:t>
      </w:r>
      <w:r>
        <w:rPr>
          <w:rFonts w:hint="eastAsia"/>
          <w:color w:val="000000" w:themeColor="text1"/>
          <w:sz w:val="21"/>
          <w:szCs w:val="21"/>
          <w:highlight w:val="none"/>
          <w14:textFill>
            <w14:solidFill>
              <w14:schemeClr w14:val="tx1"/>
            </w14:solidFill>
          </w14:textFill>
        </w:rPr>
        <w:t>元，但扣款最终的累计总金额不应超过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5万</w:t>
      </w:r>
      <w:r>
        <w:rPr>
          <w:rFonts w:hint="eastAsia"/>
          <w:color w:val="000000" w:themeColor="text1"/>
          <w:sz w:val="21"/>
          <w:szCs w:val="21"/>
          <w:highlight w:val="none"/>
          <w14:textFill>
            <w14:solidFill>
              <w14:schemeClr w14:val="tx1"/>
            </w14:solidFill>
          </w14:textFill>
        </w:rPr>
        <w:t>元。</w:t>
      </w:r>
    </w:p>
    <w:p>
      <w:pPr>
        <w:pStyle w:val="26"/>
        <w:tabs>
          <w:tab w:val="left" w:pos="68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安全</w:t>
      </w:r>
      <w:r>
        <w:rPr>
          <w:rFonts w:hint="eastAsia"/>
          <w:color w:val="000000" w:themeColor="text1"/>
          <w:sz w:val="21"/>
          <w:szCs w:val="21"/>
          <w:highlight w:val="none"/>
          <w14:textFill>
            <w14:solidFill>
              <w14:schemeClr w14:val="tx1"/>
            </w14:solidFill>
          </w14:textFill>
        </w:rPr>
        <w:t>员</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施工员、质量员</w:t>
      </w:r>
      <w:r>
        <w:rPr>
          <w:rFonts w:hint="eastAsia"/>
          <w:color w:val="000000" w:themeColor="text1"/>
          <w:sz w:val="21"/>
          <w:szCs w:val="21"/>
          <w:highlight w:val="none"/>
          <w14:textFill>
            <w14:solidFill>
              <w14:schemeClr w14:val="tx1"/>
            </w14:solidFill>
          </w14:textFill>
        </w:rPr>
        <w:t>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遇法定节假日可扣减），每人每少一天支付违约金</w:t>
      </w:r>
      <w:r>
        <w:rPr>
          <w:rFonts w:hint="eastAsia"/>
          <w:b w:val="0"/>
          <w:bCs w:val="0"/>
          <w:color w:val="000000" w:themeColor="text1"/>
          <w:sz w:val="21"/>
          <w:szCs w:val="21"/>
          <w:highlight w:val="none"/>
          <w:u w:val="single"/>
          <w:lang w:val="en-US" w:eastAsia="zh-CN"/>
          <w14:textFill>
            <w14:solidFill>
              <w14:schemeClr w14:val="tx1"/>
            </w14:solidFill>
          </w14:textFill>
        </w:rPr>
        <w:t>5</w:t>
      </w:r>
      <w:r>
        <w:rPr>
          <w:rFonts w:hint="eastAsia"/>
          <w:b w:val="0"/>
          <w:bCs w:val="0"/>
          <w:color w:val="000000" w:themeColor="text1"/>
          <w:sz w:val="21"/>
          <w:szCs w:val="21"/>
          <w:highlight w:val="none"/>
          <w:u w:val="single"/>
          <w:lang w:val="en-US" w:eastAsia="zh-CN" w:bidi="zh-CN"/>
          <w14:textFill>
            <w14:solidFill>
              <w14:schemeClr w14:val="tx1"/>
            </w14:solidFill>
          </w14:textFill>
        </w:rPr>
        <w:t>00</w:t>
      </w:r>
      <w:r>
        <w:rPr>
          <w:rFonts w:hint="eastAsia"/>
          <w:b w:val="0"/>
          <w:bCs w:val="0"/>
          <w:color w:val="000000" w:themeColor="text1"/>
          <w:sz w:val="21"/>
          <w:szCs w:val="21"/>
          <w:highlight w:val="none"/>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3万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000000" w:themeColor="text1"/>
          <w:sz w:val="21"/>
          <w:szCs w:val="21"/>
          <w:highlight w:val="none"/>
          <w:u w:val="single"/>
          <w:lang w:val="en-US" w:eastAsia="zh-CN" w:bidi="zh-CN"/>
          <w14:textFill>
            <w14:solidFill>
              <w14:schemeClr w14:val="tx1"/>
            </w14:solidFill>
          </w14:textFill>
        </w:rPr>
        <w:t>10</w:t>
      </w:r>
      <w:r>
        <w:rPr>
          <w:rFonts w:hint="eastAsia"/>
          <w:b/>
          <w:bCs/>
          <w:color w:val="000000" w:themeColor="text1"/>
          <w:sz w:val="21"/>
          <w:szCs w:val="21"/>
          <w:highlight w:val="none"/>
          <w:u w:val="single"/>
          <w14:textFill>
            <w14:solidFill>
              <w14:schemeClr w14:val="tx1"/>
            </w14:solidFill>
          </w14:textFill>
        </w:rPr>
        <w:t>万</w:t>
      </w:r>
      <w:r>
        <w:rPr>
          <w:rFonts w:hint="eastAsia"/>
          <w:color w:val="000000" w:themeColor="text1"/>
          <w:sz w:val="21"/>
          <w:szCs w:val="21"/>
          <w:highlight w:val="none"/>
          <w14:textFill>
            <w14:solidFill>
              <w14:schemeClr w14:val="tx1"/>
            </w14:solidFill>
          </w14:textFill>
        </w:rPr>
        <w:t>元</w:t>
      </w:r>
      <w:r>
        <w:rPr>
          <w:rFonts w:hint="eastAsia"/>
          <w:color w:val="auto"/>
          <w:sz w:val="21"/>
          <w:szCs w:val="21"/>
          <w:highlight w:val="none"/>
        </w:rPr>
        <w:t>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6"/>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6"/>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29"/>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6"/>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29"/>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5564"/>
      <w:bookmarkStart w:id="387" w:name="_Toc3220"/>
      <w:r>
        <w:rPr>
          <w:rFonts w:hint="eastAsia"/>
          <w:b/>
          <w:bCs/>
          <w:color w:val="auto"/>
          <w:sz w:val="21"/>
          <w:szCs w:val="21"/>
          <w:highlight w:val="none"/>
          <w:lang w:val="en-US" w:eastAsia="zh-CN"/>
        </w:rPr>
        <w:t>发包人提供的材料表（参考格式）</w:t>
      </w:r>
      <w:bookmarkEnd w:id="386"/>
      <w:bookmarkEnd w:id="387"/>
    </w:p>
    <w:tbl>
      <w:tblPr>
        <w:tblStyle w:val="18"/>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2"/>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2"/>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2"/>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17290"/>
      <w:bookmarkStart w:id="389" w:name="_Toc9081"/>
      <w:r>
        <w:rPr>
          <w:rFonts w:hint="eastAsia"/>
          <w:b/>
          <w:bCs/>
          <w:color w:val="auto"/>
          <w:sz w:val="21"/>
          <w:szCs w:val="21"/>
          <w:highlight w:val="none"/>
          <w:lang w:val="en-US" w:eastAsia="zh-CN"/>
        </w:rPr>
        <w:t>发包人提供的工程设备表（参考格式）</w:t>
      </w:r>
      <w:bookmarkEnd w:id="388"/>
      <w:bookmarkEnd w:id="389"/>
    </w:p>
    <w:tbl>
      <w:tblPr>
        <w:tblStyle w:val="18"/>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18"/>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2"/>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1"/>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1"/>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6"/>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sz w:val="21"/>
          <w:szCs w:val="21"/>
        </w:rPr>
      </w:pPr>
      <w:r>
        <w:rPr>
          <w:rFonts w:ascii="宋体" w:hAnsi="宋体" w:eastAsia="宋体" w:cs="宋体"/>
          <w:spacing w:val="2"/>
          <w:sz w:val="21"/>
          <w:szCs w:val="21"/>
        </w:rPr>
        <w:t>(1) 日降雨量大于</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spacing w:val="1"/>
          <w:sz w:val="21"/>
          <w:szCs w:val="21"/>
          <w:u w:val="single" w:color="auto"/>
        </w:rPr>
        <w:t xml:space="preserve"> </w:t>
      </w:r>
      <w:r>
        <w:rPr>
          <w:rFonts w:ascii="宋体" w:hAnsi="宋体" w:eastAsia="宋体" w:cs="宋体"/>
          <w:sz w:val="21"/>
          <w:szCs w:val="21"/>
        </w:rPr>
        <w:t>mm</w:t>
      </w:r>
      <w:r>
        <w:rPr>
          <w:rFonts w:ascii="宋体" w:hAnsi="宋体" w:eastAsia="宋体" w:cs="宋体"/>
          <w:spacing w:val="1"/>
          <w:sz w:val="21"/>
          <w:szCs w:val="21"/>
        </w:rPr>
        <w:t xml:space="preserve"> 的雨日超过</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天。</w:t>
      </w:r>
    </w:p>
    <w:p>
      <w:pPr>
        <w:spacing w:before="150" w:line="221" w:lineRule="auto"/>
        <w:ind w:left="547"/>
        <w:rPr>
          <w:rFonts w:ascii="宋体" w:hAnsi="宋体" w:eastAsia="宋体" w:cs="宋体"/>
          <w:sz w:val="21"/>
          <w:szCs w:val="21"/>
        </w:rPr>
      </w:pPr>
      <w:r>
        <w:rPr>
          <w:rFonts w:ascii="宋体" w:hAnsi="宋体" w:eastAsia="宋体" w:cs="宋体"/>
          <w:spacing w:val="2"/>
          <w:sz w:val="21"/>
          <w:szCs w:val="21"/>
        </w:rPr>
        <w:t>(2) 风</w:t>
      </w:r>
      <w:r>
        <w:rPr>
          <w:rFonts w:ascii="宋体" w:hAnsi="宋体" w:eastAsia="宋体" w:cs="宋体"/>
          <w:spacing w:val="1"/>
          <w:sz w:val="21"/>
          <w:szCs w:val="21"/>
        </w:rPr>
        <w:t>速大于</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spacing w:val="1"/>
          <w:sz w:val="21"/>
          <w:szCs w:val="21"/>
          <w:u w:val="single" w:color="auto"/>
        </w:rPr>
        <w:t xml:space="preserve"> </w:t>
      </w:r>
      <w:r>
        <w:rPr>
          <w:rFonts w:ascii="宋体" w:hAnsi="宋体" w:eastAsia="宋体" w:cs="宋体"/>
          <w:sz w:val="21"/>
          <w:szCs w:val="21"/>
        </w:rPr>
        <w:t>m</w:t>
      </w:r>
      <w:r>
        <w:rPr>
          <w:rFonts w:ascii="宋体" w:hAnsi="宋体" w:eastAsia="宋体" w:cs="宋体"/>
          <w:spacing w:val="1"/>
          <w:sz w:val="21"/>
          <w:szCs w:val="21"/>
        </w:rPr>
        <w:t>/</w:t>
      </w:r>
      <w:r>
        <w:rPr>
          <w:rFonts w:ascii="宋体" w:hAnsi="宋体" w:eastAsia="宋体" w:cs="宋体"/>
          <w:sz w:val="21"/>
          <w:szCs w:val="21"/>
        </w:rPr>
        <w:t>s</w:t>
      </w:r>
      <w:r>
        <w:rPr>
          <w:rFonts w:ascii="宋体" w:hAnsi="宋体" w:eastAsia="宋体" w:cs="宋体"/>
          <w:spacing w:val="1"/>
          <w:sz w:val="21"/>
          <w:szCs w:val="21"/>
        </w:rPr>
        <w:t xml:space="preserve"> 的</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级以上台风灾害。</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(3) </w:t>
      </w:r>
      <w:r>
        <w:rPr>
          <w:rFonts w:ascii="宋体" w:hAnsi="宋体" w:eastAsia="宋体" w:cs="宋体"/>
          <w:spacing w:val="5"/>
          <w:sz w:val="21"/>
          <w:szCs w:val="21"/>
        </w:rPr>
        <w:t>日</w:t>
      </w:r>
      <w:r>
        <w:rPr>
          <w:rFonts w:ascii="宋体" w:hAnsi="宋体" w:eastAsia="宋体" w:cs="宋体"/>
          <w:spacing w:val="3"/>
          <w:sz w:val="21"/>
          <w:szCs w:val="21"/>
        </w:rPr>
        <w:t>气温超过</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℃的高温大于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(4) </w:t>
      </w:r>
      <w:r>
        <w:rPr>
          <w:rFonts w:ascii="宋体" w:hAnsi="宋体" w:eastAsia="宋体" w:cs="宋体"/>
          <w:spacing w:val="5"/>
          <w:sz w:val="21"/>
          <w:szCs w:val="21"/>
        </w:rPr>
        <w:t>日</w:t>
      </w:r>
      <w:r>
        <w:rPr>
          <w:rFonts w:ascii="宋体" w:hAnsi="宋体" w:eastAsia="宋体" w:cs="宋体"/>
          <w:spacing w:val="3"/>
          <w:sz w:val="21"/>
          <w:szCs w:val="21"/>
        </w:rPr>
        <w:t>气温低于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℃的严寒大于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9" w:line="221" w:lineRule="auto"/>
        <w:ind w:left="547"/>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3"/>
          <w:sz w:val="21"/>
          <w:szCs w:val="21"/>
        </w:rPr>
        <w:t>)</w:t>
      </w:r>
      <w:r>
        <w:rPr>
          <w:rFonts w:ascii="宋体" w:hAnsi="宋体" w:eastAsia="宋体" w:cs="宋体"/>
          <w:spacing w:val="-2"/>
          <w:sz w:val="21"/>
          <w:szCs w:val="21"/>
        </w:rPr>
        <w:t xml:space="preserve"> 造成工程损失的冰雹和大雪灾害：</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spacing w:val="-2"/>
          <w:sz w:val="21"/>
          <w:szCs w:val="21"/>
        </w:rPr>
        <w:t>。</w:t>
      </w:r>
    </w:p>
    <w:p>
      <w:pPr>
        <w:spacing w:before="149" w:line="221" w:lineRule="auto"/>
        <w:ind w:left="547"/>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5"/>
          <w:sz w:val="21"/>
          <w:szCs w:val="21"/>
        </w:rPr>
        <w:t>6) 其他异常恶劣气候灾害。</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1"/>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18"/>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3"/>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6"/>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6"/>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6"/>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6"/>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6"/>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29"/>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000000" w:themeColor="text1"/>
          <w:u w:val="none"/>
          <w14:textFill>
            <w14:solidFill>
              <w14:schemeClr w14:val="tx1"/>
            </w14:solidFill>
          </w14:textFill>
        </w:rPr>
      </w:pPr>
      <w:r>
        <w:rPr>
          <w:rFonts w:hint="eastAsia"/>
          <w:snapToGrid w:val="0"/>
          <w:color w:val="000000" w:themeColor="text1"/>
          <w:u w:val="none"/>
          <w14:textFill>
            <w14:solidFill>
              <w14:schemeClr w14:val="tx1"/>
            </w14:solidFill>
          </w14:textFill>
        </w:rPr>
        <w:t>政府投资项目变更按《嵊州市政府及国有资金投资项目工程变更管理办法》嵊政办〔</w:t>
      </w:r>
      <w:r>
        <w:rPr>
          <w:snapToGrid w:val="0"/>
          <w:color w:val="000000" w:themeColor="text1"/>
          <w:u w:val="none"/>
          <w14:textFill>
            <w14:solidFill>
              <w14:schemeClr w14:val="tx1"/>
            </w14:solidFill>
          </w14:textFill>
        </w:rPr>
        <w:t>20</w:t>
      </w:r>
      <w:r>
        <w:rPr>
          <w:rFonts w:hint="eastAsia"/>
          <w:snapToGrid w:val="0"/>
          <w:color w:val="000000" w:themeColor="text1"/>
          <w:u w:val="none"/>
          <w14:textFill>
            <w14:solidFill>
              <w14:schemeClr w14:val="tx1"/>
            </w14:solidFill>
          </w14:textFill>
        </w:rPr>
        <w:t>21〕98号</w:t>
      </w:r>
      <w:r>
        <w:rPr>
          <w:rFonts w:hint="eastAsia" w:ascii="宋体" w:hAnsi="宋体" w:cs="宋体"/>
          <w:snapToGrid w:val="0"/>
          <w:color w:val="000000" w:themeColor="text1"/>
          <w:szCs w:val="21"/>
          <w:u w:val="none"/>
          <w14:textFill>
            <w14:solidFill>
              <w14:schemeClr w14:val="tx1"/>
            </w14:solidFill>
          </w14:textFill>
        </w:rPr>
        <w:t>、《嵊州市政府投资项目水利工程变更实施细则》（嵊水电2022】70号）</w:t>
      </w:r>
      <w:r>
        <w:rPr>
          <w:rFonts w:hint="eastAsia"/>
          <w:snapToGrid w:val="0"/>
          <w:color w:val="000000" w:themeColor="text1"/>
          <w:u w:val="none"/>
          <w14:textFill>
            <w14:solidFill>
              <w14:schemeClr w14:val="tx1"/>
            </w14:solidFill>
          </w14:textFill>
        </w:rPr>
        <w:t>文件执行。</w:t>
      </w:r>
    </w:p>
    <w:p>
      <w:pPr>
        <w:spacing w:line="380" w:lineRule="exact"/>
        <w:ind w:firstLine="420" w:firstLineChars="20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b/>
          <w:bCs/>
          <w:snapToGrid w:val="0"/>
          <w:color w:val="000000" w:themeColor="text1"/>
          <w14:textFill>
            <w14:solidFill>
              <w14:schemeClr w14:val="tx1"/>
            </w14:solidFill>
          </w14:textFill>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15.4  变更的估价原则</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删去15.4.3项全文，并代之以：</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因变更引起的价格调整按照本款约定处理。</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15.4.1 已标价的工程量清单中有适用于变更工作的子目的，采用该子目的单价。</w:t>
      </w:r>
    </w:p>
    <w:p>
      <w:pPr>
        <w:spacing w:line="360" w:lineRule="exact"/>
        <w:ind w:firstLine="420" w:firstLineChars="200"/>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15.4.2 已标价的工程量清单中无适用于变更工作的子目，但有类似子目的，按照以下原则确定：</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A、某种材料（或半成品或成品）等级、标准变化的，清单组合子目不变，仅调整不同的材料价格；</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15.4.3 己标价工程量清单中无适用或类似子目的单价，重新组价</w:t>
      </w:r>
      <w:r>
        <w:rPr>
          <w:rFonts w:hint="eastAsia"/>
          <w:snapToGrid w:val="0"/>
          <w:color w:val="000000" w:themeColor="text1"/>
          <w:szCs w:val="21"/>
          <w14:textFill>
            <w14:solidFill>
              <w14:schemeClr w14:val="tx1"/>
            </w14:solidFill>
          </w14:textFill>
        </w:rPr>
        <w:t>，组价的原则如下：</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 xml:space="preserve">(1) 工程组价采用投标期浙江省现行水利定额和有关规定，其定额为： </w:t>
      </w:r>
    </w:p>
    <w:p>
      <w:pPr>
        <w:pStyle w:val="43"/>
        <w:snapToGrid w:val="0"/>
        <w:spacing w:line="52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综合优惠率=[1- (投标人投标价一预留金一暂估价)÷(本标段最高投标限价—预留金—暂估价)]×100%。</w:t>
      </w:r>
    </w:p>
    <w:p>
      <w:pPr>
        <w:pStyle w:val="13"/>
        <w:adjustRightInd w:val="0"/>
        <w:spacing w:line="400" w:lineRule="exact"/>
        <w:ind w:firstLine="420" w:firstLineChars="200"/>
        <w:rPr>
          <w:rFonts w:asciiTheme="minorEastAsia" w:hAnsiTheme="minorEastAsia" w:eastAsiaTheme="minorEastAsia"/>
          <w:snapToGrid w:val="0"/>
          <w:color w:val="000000" w:themeColor="text1"/>
          <w:kern w:val="0"/>
          <w:szCs w:val="21"/>
          <w14:textFill>
            <w14:solidFill>
              <w14:schemeClr w14:val="tx1"/>
            </w14:solidFill>
          </w14:textFill>
        </w:rPr>
      </w:pPr>
      <w:r>
        <w:rPr>
          <w:rFonts w:asciiTheme="minorEastAsia" w:hAnsiTheme="minorEastAsia" w:eastAsiaTheme="minorEastAsia"/>
          <w:snapToGrid w:val="0"/>
          <w:color w:val="000000" w:themeColor="text1"/>
          <w:kern w:val="0"/>
          <w:szCs w:val="21"/>
          <w14:textFill>
            <w14:solidFill>
              <w14:schemeClr w14:val="tx1"/>
            </w14:solidFill>
          </w14:textFill>
        </w:rPr>
        <w:t>（4）按照上述仍无法组价的，根据市场招标或询价确定。新增项目单价组价时材料价格优先</w:t>
      </w:r>
      <w:r>
        <w:rPr>
          <w:rFonts w:hint="eastAsia" w:asciiTheme="minorEastAsia" w:hAnsiTheme="minorEastAsia" w:eastAsiaTheme="minorEastAsia"/>
          <w:snapToGrid w:val="0"/>
          <w:color w:val="000000" w:themeColor="text1"/>
          <w:kern w:val="0"/>
          <w:szCs w:val="21"/>
          <w14:textFill>
            <w14:solidFill>
              <w14:schemeClr w14:val="tx1"/>
            </w14:solidFill>
          </w14:textFill>
        </w:rPr>
        <w:t>依次</w:t>
      </w:r>
      <w:r>
        <w:rPr>
          <w:rFonts w:asciiTheme="minorEastAsia" w:hAnsiTheme="minorEastAsia" w:eastAsiaTheme="minorEastAsia"/>
          <w:snapToGrid w:val="0"/>
          <w:color w:val="000000" w:themeColor="text1"/>
          <w:kern w:val="0"/>
          <w:szCs w:val="21"/>
          <w14:textFill>
            <w14:solidFill>
              <w14:schemeClr w14:val="tx1"/>
            </w14:solidFill>
          </w14:textFill>
        </w:rPr>
        <w:t>采用</w:t>
      </w:r>
      <w:r>
        <w:rPr>
          <w:rFonts w:hint="eastAsia" w:asciiTheme="minorEastAsia" w:hAnsiTheme="minorEastAsia" w:eastAsiaTheme="minorEastAsia"/>
          <w:snapToGrid w:val="0"/>
          <w:color w:val="000000" w:themeColor="text1"/>
          <w:kern w:val="0"/>
          <w:szCs w:val="21"/>
          <w14:textFill>
            <w14:solidFill>
              <w14:schemeClr w14:val="tx1"/>
            </w14:solidFill>
          </w14:textFill>
        </w:rPr>
        <w:t>编制工程招标预算所采用的月份</w:t>
      </w:r>
      <w:r>
        <w:rPr>
          <w:rFonts w:asciiTheme="minorEastAsia" w:hAnsiTheme="minorEastAsia" w:eastAsiaTheme="minorEastAsia"/>
          <w:snapToGrid w:val="0"/>
          <w:color w:val="000000" w:themeColor="text1"/>
          <w:kern w:val="0"/>
          <w:szCs w:val="21"/>
          <w14:textFill>
            <w14:solidFill>
              <w14:schemeClr w14:val="tx1"/>
            </w14:solidFill>
          </w14:textFill>
        </w:rPr>
        <w:t>《绍兴市建设工程造价管理信息》</w:t>
      </w:r>
      <w:r>
        <w:rPr>
          <w:rFonts w:hint="eastAsia" w:asciiTheme="minorEastAsia" w:hAnsiTheme="minorEastAsia" w:eastAsiaTheme="minorEastAsia"/>
          <w:snapToGrid w:val="0"/>
          <w:color w:val="000000" w:themeColor="text1"/>
          <w:kern w:val="0"/>
          <w:szCs w:val="21"/>
          <w14:textFill>
            <w14:solidFill>
              <w14:schemeClr w14:val="tx1"/>
            </w14:solidFill>
          </w14:textFill>
        </w:rPr>
        <w:t>、《浙江造价信息》（正刊）</w:t>
      </w:r>
      <w:r>
        <w:rPr>
          <w:rFonts w:asciiTheme="minorEastAsia" w:hAnsiTheme="minorEastAsia" w:eastAsiaTheme="minorEastAsia"/>
          <w:snapToGrid w:val="0"/>
          <w:color w:val="000000" w:themeColor="text1"/>
          <w:kern w:val="0"/>
          <w:szCs w:val="21"/>
          <w14:textFill>
            <w14:solidFill>
              <w14:schemeClr w14:val="tx1"/>
            </w14:solidFill>
          </w14:textFill>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000000" w:themeColor="text1"/>
          <w:kern w:val="0"/>
          <w:szCs w:val="21"/>
          <w14:textFill>
            <w14:solidFill>
              <w14:schemeClr w14:val="tx1"/>
            </w14:solidFill>
          </w14:textFill>
        </w:rPr>
        <w:t>最终单价以审计为准。</w:t>
      </w:r>
    </w:p>
    <w:p>
      <w:pPr>
        <w:spacing w:line="40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(5)下列情况造价不得调整：</w:t>
      </w:r>
    </w:p>
    <w:p>
      <w:pPr>
        <w:spacing w:line="400" w:lineRule="exact"/>
        <w:ind w:firstLine="420" w:firstLineChars="200"/>
        <w:rPr>
          <w:rFonts w:hint="eastAsia"/>
          <w:color w:val="000000" w:themeColor="text1"/>
          <w:lang w:val="en-US" w:eastAsia="zh-CN"/>
          <w14:textFill>
            <w14:solidFill>
              <w14:schemeClr w14:val="tx1"/>
            </w14:solidFill>
          </w14:textFill>
        </w:rPr>
      </w:pPr>
      <w:r>
        <w:rPr>
          <w:rFonts w:hint="eastAsia" w:ascii="宋体" w:hAnsi="宋体"/>
          <w:snapToGrid w:val="0"/>
          <w:color w:val="000000" w:themeColor="text1"/>
          <w14:textFill>
            <w14:solidFill>
              <w14:schemeClr w14:val="tx1"/>
            </w14:solidFill>
          </w14:textFill>
        </w:rPr>
        <w:t>建设过程中遇政策性文件造价不予调整；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6"/>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6"/>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6"/>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物价波动引起的价格调整方式：</w:t>
      </w:r>
      <w:r>
        <w:rPr>
          <w:rFonts w:hint="eastAsia"/>
          <w:color w:val="000000" w:themeColor="text1"/>
          <w:sz w:val="21"/>
          <w:szCs w:val="21"/>
          <w:highlight w:val="none"/>
          <w:u w:val="single"/>
          <w:lang w:val="en-US" w:eastAsia="zh-CN"/>
          <w14:textFill>
            <w14:solidFill>
              <w14:schemeClr w14:val="tx1"/>
            </w14:solidFill>
          </w14:textFill>
        </w:rPr>
        <w:t xml:space="preserve"> 不调价 </w:t>
      </w:r>
      <w:r>
        <w:rPr>
          <w:rFonts w:hint="eastAsia"/>
          <w:color w:val="000000" w:themeColor="text1"/>
          <w:sz w:val="21"/>
          <w:szCs w:val="21"/>
          <w:highlight w:val="none"/>
          <w14:textFill>
            <w14:solidFill>
              <w14:schemeClr w14:val="tx1"/>
            </w14:solidFill>
          </w14:textFill>
        </w:rPr>
        <w:t>。</w:t>
      </w:r>
    </w:p>
    <w:p>
      <w:pPr>
        <w:spacing w:line="400" w:lineRule="exact"/>
        <w:ind w:firstLine="480"/>
        <w:rPr>
          <w:snapToGrid w:val="0"/>
          <w:color w:val="000000" w:themeColor="text1"/>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16.1.</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约定为：</w:t>
      </w:r>
      <w:r>
        <w:rPr>
          <w:rFonts w:hint="eastAsia"/>
          <w:snapToGrid w:val="0"/>
          <w:color w:val="000000" w:themeColor="text1"/>
          <w:kern w:val="0"/>
          <w:szCs w:val="21"/>
          <w14:textFill>
            <w14:solidFill>
              <w14:schemeClr w14:val="tx1"/>
            </w14:solidFill>
          </w14:textFill>
        </w:rPr>
        <w:t>本项目主要材料、人工价格不作调整，</w:t>
      </w:r>
      <w:r>
        <w:rPr>
          <w:snapToGrid w:val="0"/>
          <w:color w:val="000000" w:themeColor="text1"/>
          <w14:textFill>
            <w14:solidFill>
              <w14:schemeClr w14:val="tx1"/>
            </w14:solidFill>
          </w14:textFill>
        </w:rPr>
        <w:t>材料价格按当前的市场价考虑风险系数进入单价，在合同执行期内不作调整，价格风险由承包人自负。</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（2）因工期延误产生的人工、材料、施工机械台班等价格变化。</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000000" w:themeColor="text1"/>
          <w:sz w:val="28"/>
          <w:szCs w:val="28"/>
          <w:highlight w:val="none"/>
          <w:lang w:val="en-US" w:eastAsia="zh-CN"/>
          <w14:textFill>
            <w14:solidFill>
              <w14:schemeClr w14:val="tx1"/>
            </w14:solidFill>
          </w14:textFill>
        </w:rPr>
      </w:pPr>
      <w:r>
        <w:rPr>
          <w:rFonts w:hint="eastAsia"/>
          <w:snapToGrid w:val="0"/>
          <w:color w:val="000000" w:themeColor="text1"/>
          <w:kern w:val="0"/>
          <w14:textFill>
            <w14:solidFill>
              <w14:schemeClr w14:val="tx1"/>
            </w14:solidFill>
          </w14:textFill>
        </w:rPr>
        <w:t>2）</w:t>
      </w:r>
      <w:r>
        <w:rPr>
          <w:rFonts w:hint="eastAsia"/>
          <w:snapToGrid w:val="0"/>
          <w:color w:val="000000" w:themeColor="text1"/>
          <w14:textFill>
            <w14:solidFill>
              <w14:schemeClr w14:val="tx1"/>
            </w14:solidFill>
          </w14:textFill>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000000" w:themeColor="text1"/>
          <w:sz w:val="28"/>
          <w:szCs w:val="28"/>
          <w:highlight w:val="none"/>
          <w:lang w:val="en-US" w:eastAsia="zh-CN"/>
          <w14:textFill>
            <w14:solidFill>
              <w14:schemeClr w14:val="tx1"/>
            </w14:solidFill>
          </w14:textFill>
        </w:rPr>
        <w:t>17  计量与支付</w:t>
      </w:r>
      <w:bookmarkEnd w:id="401"/>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17.2  预付款</w:t>
      </w:r>
    </w:p>
    <w:p>
      <w:pPr>
        <w:pStyle w:val="26"/>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（1）工程预付款的总金额为签约合同价（不含预留金）的</w:t>
      </w:r>
      <w:r>
        <w:rPr>
          <w:rFonts w:hint="eastAsia"/>
          <w:snapToGrid w:val="0"/>
          <w:color w:val="000000" w:themeColor="text1"/>
          <w:sz w:val="20"/>
          <w:u w:val="single"/>
          <w14:textFill>
            <w14:solidFill>
              <w14:schemeClr w14:val="tx1"/>
            </w14:solidFill>
          </w14:textFill>
        </w:rPr>
        <w:t>10</w:t>
      </w:r>
      <w:r>
        <w:rPr>
          <w:rFonts w:hint="eastAsia" w:ascii="宋体" w:hAnsi="宋体"/>
          <w:snapToGrid w:val="0"/>
          <w:color w:val="000000" w:themeColor="text1"/>
          <w:szCs w:val="21"/>
          <w14:textFill>
            <w14:solidFill>
              <w14:schemeClr w14:val="tx1"/>
            </w14:solidFill>
          </w14:textFill>
        </w:rPr>
        <w:t>％，分二次支付给承包人。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1）各次预付款的支付额度和付款时间为：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3</w:t>
      </w:r>
      <w:r>
        <w:rPr>
          <w:rFonts w:hint="eastAsia" w:ascii="宋体" w:hAnsi="宋体"/>
          <w:snapToGrid w:val="0"/>
          <w:color w:val="000000" w:themeColor="text1"/>
          <w:szCs w:val="21"/>
          <w14:textFill>
            <w14:solidFill>
              <w14:schemeClr w14:val="tx1"/>
            </w14:solidFill>
          </w14:textFill>
        </w:rPr>
        <w:t>）预付款包含安全施工费。</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（2）工程材料预付款的额度和预付办法约定为：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17.2.2 预付款保函（担保）</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（2）工程材料预付款的担保约定为：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9" w:firstLineChars="147"/>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17.2.3 预付款的扣回与还清</w:t>
      </w:r>
    </w:p>
    <w:p>
      <w:pPr>
        <w:spacing w:line="400" w:lineRule="exact"/>
        <w:rPr>
          <w:color w:val="000000" w:themeColor="text1"/>
          <w:u w:val="single"/>
          <w:lang w:val="zh-CN"/>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（1） 工程预付款在合同累计完成金额达到签约合同价（扣除预留金后）的</w:t>
      </w:r>
      <w:r>
        <w:rPr>
          <w:rFonts w:hint="eastAsia" w:ascii="宋体" w:hAnsi="宋体"/>
          <w:color w:val="000000" w:themeColor="text1"/>
          <w:szCs w:val="21"/>
          <w14:textFill>
            <w14:solidFill>
              <w14:schemeClr w14:val="tx1"/>
            </w14:solidFill>
          </w14:textFill>
        </w:rPr>
        <w:t>30%</w:t>
      </w:r>
      <w:r>
        <w:rPr>
          <w:rFonts w:hint="eastAsia" w:ascii="宋体" w:hAnsi="宋体"/>
          <w:snapToGrid w:val="0"/>
          <w:color w:val="000000" w:themeColor="text1"/>
          <w:szCs w:val="21"/>
          <w14:textFill>
            <w14:solidFill>
              <w14:schemeClr w14:val="tx1"/>
            </w14:solidFill>
          </w14:textFill>
        </w:rPr>
        <w:t>时</w:t>
      </w:r>
      <w:r>
        <w:rPr>
          <w:rFonts w:hint="eastAsia" w:ascii="宋体" w:hAnsi="宋体" w:eastAsia="宋体"/>
          <w:snapToGrid w:val="0"/>
          <w:color w:val="000000" w:themeColor="text1"/>
          <w:szCs w:val="21"/>
          <w:lang w:val="en-US" w:eastAsia="zh-CN"/>
          <w14:textFill>
            <w14:solidFill>
              <w14:schemeClr w14:val="tx1"/>
            </w14:solidFill>
          </w14:textFill>
        </w:rPr>
        <w:t>一次性</w:t>
      </w:r>
      <w:r>
        <w:rPr>
          <w:rFonts w:hint="eastAsia" w:ascii="宋体" w:hAnsi="宋体"/>
          <w:snapToGrid w:val="0"/>
          <w:color w:val="000000" w:themeColor="text1"/>
          <w:szCs w:val="21"/>
          <w14:textFill>
            <w14:solidFill>
              <w14:schemeClr w14:val="tx1"/>
            </w14:solidFill>
          </w14:textFill>
        </w:rPr>
        <w:t>扣</w:t>
      </w:r>
      <w:r>
        <w:rPr>
          <w:rFonts w:hint="eastAsia" w:ascii="宋体" w:hAnsi="宋体" w:eastAsia="宋体"/>
          <w:snapToGrid w:val="0"/>
          <w:color w:val="000000" w:themeColor="text1"/>
          <w:szCs w:val="21"/>
          <w:lang w:val="en-US" w:eastAsia="zh-CN"/>
          <w14:textFill>
            <w14:solidFill>
              <w14:schemeClr w14:val="tx1"/>
            </w14:solidFill>
          </w14:textFill>
        </w:rPr>
        <w:t>完</w:t>
      </w:r>
      <w:r>
        <w:rPr>
          <w:rFonts w:hint="eastAsia" w:ascii="宋体" w:hAnsi="宋体"/>
          <w:snapToGrid w:val="0"/>
          <w:color w:val="000000" w:themeColor="text1"/>
          <w:szCs w:val="21"/>
          <w14:textFill>
            <w14:solidFill>
              <w14:schemeClr w14:val="tx1"/>
            </w14:solidFill>
          </w14:textFill>
        </w:rPr>
        <w:t>。</w:t>
      </w:r>
    </w:p>
    <w:p>
      <w:pPr>
        <w:spacing w:line="400" w:lineRule="exact"/>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（2）工程材料预付款的扣回与还清约定为：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  工程进度付款</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17.3.2  </w:t>
      </w:r>
      <w:r>
        <w:rPr>
          <w:rFonts w:hint="eastAsia"/>
          <w:color w:val="000000" w:themeColor="text1"/>
          <w:sz w:val="21"/>
          <w:szCs w:val="21"/>
          <w:highlight w:val="none"/>
          <w14:textFill>
            <w14:solidFill>
              <w14:schemeClr w14:val="tx1"/>
            </w14:solidFill>
          </w14:textFill>
        </w:rPr>
        <w:t>承包人在每个付款周期末向监理人提交进度付款申请单的份数</w:t>
      </w:r>
      <w:r>
        <w:rPr>
          <w:rFonts w:hint="eastAsia"/>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w:t>
      </w:r>
      <w:r>
        <w:rPr>
          <w:rFonts w:hint="eastAsia"/>
          <w:b/>
          <w:bCs/>
          <w:color w:val="000000" w:themeColor="text1"/>
          <w:sz w:val="21"/>
          <w:szCs w:val="21"/>
          <w:highlight w:val="none"/>
          <w14:textFill>
            <w14:solidFill>
              <w14:schemeClr w14:val="tx1"/>
            </w14:solidFill>
          </w14:textFill>
        </w:rPr>
        <w:t>3</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进度付款证书和支付时间细化为</w:t>
      </w:r>
      <w:r>
        <w:rPr>
          <w:rFonts w:hint="eastAsia"/>
          <w:color w:val="000000" w:themeColor="text1"/>
          <w:sz w:val="21"/>
          <w:szCs w:val="21"/>
          <w:highlight w:val="none"/>
          <w:lang w:eastAsia="zh-CN"/>
          <w14:textFill>
            <w14:solidFill>
              <w14:schemeClr w14:val="tx1"/>
            </w14:solidFill>
          </w14:textFill>
        </w:rPr>
        <w:t>：</w:t>
      </w:r>
    </w:p>
    <w:p>
      <w:pPr>
        <w:spacing w:line="460" w:lineRule="exact"/>
        <w:ind w:firstLine="412" w:firstLineChars="196"/>
        <w:jc w:val="left"/>
        <w:rPr>
          <w:b/>
          <w:color w:val="000000" w:themeColor="text1"/>
          <w:szCs w:val="21"/>
          <w:u w:val="single"/>
          <w14:textFill>
            <w14:solidFill>
              <w14:schemeClr w14:val="tx1"/>
            </w14:solidFill>
          </w14:textFill>
        </w:rPr>
      </w:pPr>
      <w:r>
        <w:rPr>
          <w:rFonts w:hint="eastAsia"/>
          <w:b/>
          <w:color w:val="000000" w:themeColor="text1"/>
          <w:szCs w:val="21"/>
          <w:u w:val="single"/>
          <w14:textFill>
            <w14:solidFill>
              <w14:schemeClr w14:val="tx1"/>
            </w14:solidFill>
          </w14:textFill>
        </w:rPr>
        <w:t>1、合同签订、开工通知发出，主要人员和机械设备进场并正式施工后,经监理工程师审核、发包人代表批准，支付预付款；2、当月完成的工作量经审核后，按审核造价的8</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%支付进度款；</w:t>
      </w:r>
      <w:r>
        <w:rPr>
          <w:rFonts w:hint="eastAsia" w:eastAsia="宋体"/>
          <w:b/>
          <w:color w:val="000000" w:themeColor="text1"/>
          <w:szCs w:val="21"/>
          <w:u w:val="single"/>
          <w:lang w:val="en-US" w:eastAsia="zh-CN"/>
          <w14:textFill>
            <w14:solidFill>
              <w14:schemeClr w14:val="tx1"/>
            </w14:solidFill>
          </w14:textFill>
        </w:rPr>
        <w:t>3</w:t>
      </w:r>
      <w:r>
        <w:rPr>
          <w:rFonts w:hint="eastAsia"/>
          <w:b/>
          <w:color w:val="000000" w:themeColor="text1"/>
          <w:szCs w:val="21"/>
          <w:u w:val="single"/>
          <w14:textFill>
            <w14:solidFill>
              <w14:schemeClr w14:val="tx1"/>
            </w14:solidFill>
          </w14:textFill>
        </w:rPr>
        <w:t>、工程资料归档后，工程结算由建设单位(或委托有资质的第三方中介机构)审定并经批复后(有主管部门的经主管部门批复)，支付至工程结算价的90%；</w:t>
      </w:r>
      <w:r>
        <w:rPr>
          <w:rFonts w:hint="eastAsia" w:eastAsia="宋体"/>
          <w:b/>
          <w:color w:val="000000" w:themeColor="text1"/>
          <w:szCs w:val="21"/>
          <w:u w:val="single"/>
          <w:lang w:val="en-US" w:eastAsia="zh-CN"/>
          <w14:textFill>
            <w14:solidFill>
              <w14:schemeClr w14:val="tx1"/>
            </w14:solidFill>
          </w14:textFill>
        </w:rPr>
        <w:t>4</w:t>
      </w:r>
      <w:r>
        <w:rPr>
          <w:rFonts w:hint="eastAsia"/>
          <w:b/>
          <w:color w:val="000000" w:themeColor="text1"/>
          <w:szCs w:val="21"/>
          <w:u w:val="single"/>
          <w14:textFill>
            <w14:solidFill>
              <w14:schemeClr w14:val="tx1"/>
            </w14:solidFill>
          </w14:textFill>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、余款1.5%为工程质量保修金（可以用保函替代），待保修期满复验合格最终交付后十四天内支付（不计息）。</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17.4  质量保证金</w:t>
      </w:r>
    </w:p>
    <w:p>
      <w:pPr>
        <w:pStyle w:val="26"/>
        <w:spacing w:after="0" w:line="360" w:lineRule="exact"/>
        <w:ind w:firstLine="422" w:firstLineChars="200"/>
        <w:rPr>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17.4.1  </w:t>
      </w:r>
      <w:r>
        <w:rPr>
          <w:rFonts w:hint="eastAsia"/>
          <w:color w:val="000000" w:themeColor="text1"/>
          <w:sz w:val="21"/>
          <w:szCs w:val="21"/>
          <w:highlight w:val="none"/>
          <w:lang w:val="zh-CN"/>
          <w14:textFill>
            <w14:solidFill>
              <w14:schemeClr w14:val="tx1"/>
            </w14:solidFill>
          </w14:textFill>
        </w:rPr>
        <w:t>质量保证金</w:t>
      </w:r>
      <w:r>
        <w:rPr>
          <w:rFonts w:hint="eastAsia"/>
          <w:color w:val="000000" w:themeColor="text1"/>
          <w:sz w:val="21"/>
          <w:szCs w:val="21"/>
          <w:highlight w:val="none"/>
          <w:lang w:val="en-US" w:eastAsia="zh-CN"/>
          <w14:textFill>
            <w14:solidFill>
              <w14:schemeClr w14:val="tx1"/>
            </w14:solidFill>
          </w14:textFill>
        </w:rPr>
        <w:t>总</w:t>
      </w:r>
      <w:r>
        <w:rPr>
          <w:rFonts w:hint="eastAsia"/>
          <w:color w:val="000000" w:themeColor="text1"/>
          <w:sz w:val="21"/>
          <w:szCs w:val="21"/>
          <w:highlight w:val="none"/>
          <w:lang w:val="zh-CN"/>
          <w14:textFill>
            <w14:solidFill>
              <w14:schemeClr w14:val="tx1"/>
            </w14:solidFill>
          </w14:textFill>
        </w:rPr>
        <w:t>额度</w:t>
      </w:r>
      <w:r>
        <w:rPr>
          <w:rFonts w:hint="eastAsia"/>
          <w:color w:val="000000" w:themeColor="text1"/>
          <w:sz w:val="21"/>
          <w:szCs w:val="21"/>
          <w:highlight w:val="none"/>
          <w:lang w:val="en-US" w:eastAsia="zh-CN"/>
          <w14:textFill>
            <w14:solidFill>
              <w14:schemeClr w14:val="tx1"/>
            </w14:solidFill>
          </w14:textFill>
        </w:rPr>
        <w:t>为完工结算价款总额的</w:t>
      </w:r>
      <w:r>
        <w:rPr>
          <w:rFonts w:hint="eastAsia"/>
          <w:b/>
          <w:bCs/>
          <w:color w:val="000000" w:themeColor="text1"/>
          <w:sz w:val="21"/>
          <w:szCs w:val="21"/>
          <w:highlight w:val="none"/>
          <w:u w:val="single"/>
          <w:lang w:val="en-US" w:eastAsia="zh-CN" w:bidi="zh-CN"/>
          <w14:textFill>
            <w14:solidFill>
              <w14:schemeClr w14:val="tx1"/>
            </w14:solidFill>
          </w14:textFill>
        </w:rPr>
        <w:t xml:space="preserve"> 1.5 </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zh-CN"/>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  完工结算</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完工付款申清单</w:t>
      </w:r>
    </w:p>
    <w:p>
      <w:pPr>
        <w:widowControl/>
        <w:spacing w:line="400" w:lineRule="exact"/>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1）承包人应提交完工付款中请单一式</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widowControl/>
        <w:spacing w:line="400" w:lineRule="exact"/>
        <w:ind w:firstLine="420"/>
        <w:rPr>
          <w:rFonts w:ascii="宋体" w:hAnsi="宋体"/>
          <w:snapToGrid w:val="0"/>
          <w:color w:val="000000" w:themeColor="text1"/>
          <w:kern w:val="0"/>
          <w:szCs w:val="21"/>
          <w14:textFill>
            <w14:solidFill>
              <w14:schemeClr w14:val="tx1"/>
            </w14:solidFill>
          </w14:textFill>
        </w:rPr>
      </w:pPr>
      <w:r>
        <w:rPr>
          <w:rFonts w:hint="eastAsia" w:ascii="宋体" w:hAnsi="宋体"/>
          <w:snapToGrid w:val="0"/>
          <w:color w:val="000000" w:themeColor="text1"/>
          <w:kern w:val="0"/>
          <w:szCs w:val="21"/>
          <w14:textFill>
            <w14:solidFill>
              <w14:schemeClr w14:val="tx1"/>
            </w14:solidFill>
          </w14:textFill>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firstLineChars="200"/>
        <w:rPr>
          <w:rFonts w:hint="eastAsia" w:eastAsia="宋体"/>
          <w:color w:val="auto"/>
          <w:sz w:val="21"/>
          <w:szCs w:val="21"/>
          <w:highlight w:val="none"/>
          <w:lang w:eastAsia="zh-CN"/>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6"/>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29"/>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6"/>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6"/>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6"/>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6"/>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6"/>
        <w:tabs>
          <w:tab w:val="left" w:pos="7616"/>
          <w:tab w:val="left" w:pos="8660"/>
          <w:tab w:val="left" w:pos="9716"/>
        </w:tabs>
        <w:spacing w:after="0" w:line="36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6"/>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6"/>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6"/>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6"/>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6"/>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6"/>
        <w:tabs>
          <w:tab w:val="left" w:pos="8008"/>
        </w:tabs>
        <w:spacing w:after="0" w:line="360" w:lineRule="exact"/>
        <w:ind w:firstLine="422" w:firstLineChars="200"/>
        <w:rPr>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20.4.2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第三者责任险保险费率：第三者责任险保险金额：100万元，由承包人负责投保，其费用均列入报价。</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6"/>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6"/>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6"/>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6"/>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6"/>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6"/>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建筑材料：工程建设中所需的建筑材料均由承包人负责采购供应，水泥、钢筋要求采用国家免检产品，各种材料的损耗计入单价中，发包人不再另行支付。</w:t>
      </w:r>
    </w:p>
    <w:bookmarkEnd w:id="406"/>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2"/>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29"/>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4"/>
        <w:spacing w:after="0" w:line="460" w:lineRule="exact"/>
        <w:rPr>
          <w:color w:val="auto"/>
          <w:sz w:val="21"/>
          <w:szCs w:val="21"/>
          <w:highlight w:val="none"/>
        </w:rPr>
      </w:pPr>
      <w:r>
        <w:rPr>
          <w:rFonts w:hint="eastAsia"/>
          <w:color w:val="auto"/>
          <w:sz w:val="21"/>
          <w:szCs w:val="21"/>
          <w:highlight w:val="none"/>
        </w:rPr>
        <w:t>附件一合同协议书</w:t>
      </w:r>
    </w:p>
    <w:p>
      <w:pPr>
        <w:pStyle w:val="28"/>
        <w:keepNext/>
        <w:keepLines/>
        <w:spacing w:after="120" w:afterLines="50"/>
        <w:jc w:val="center"/>
        <w:outlineLvl w:val="9"/>
        <w:rPr>
          <w:b/>
          <w:bCs/>
          <w:color w:val="auto"/>
          <w:sz w:val="36"/>
          <w:szCs w:val="36"/>
          <w:highlight w:val="none"/>
        </w:rPr>
      </w:pPr>
      <w:bookmarkStart w:id="408" w:name="_Toc23027"/>
      <w:bookmarkStart w:id="409" w:name="_Toc10354"/>
      <w:bookmarkStart w:id="410" w:name="_Toc6652"/>
      <w:bookmarkStart w:id="411" w:name="_Toc12698"/>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6"/>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6"/>
        <w:tabs>
          <w:tab w:val="left" w:pos="1225"/>
        </w:tabs>
        <w:spacing w:after="0" w:line="460" w:lineRule="exact"/>
        <w:ind w:left="420" w:leftChars="200" w:firstLine="0"/>
        <w:rPr>
          <w:color w:val="auto"/>
          <w:sz w:val="21"/>
          <w:szCs w:val="21"/>
          <w:highlight w:val="none"/>
          <w:lang w:val="en-US" w:eastAsia="zh-CN"/>
        </w:rPr>
      </w:pPr>
      <w:bookmarkStart w:id="412" w:name="_Toc18823"/>
      <w:bookmarkStart w:id="413" w:name="_Toc10772"/>
      <w:r>
        <w:rPr>
          <w:rFonts w:hint="eastAsia"/>
          <w:color w:val="auto"/>
          <w:sz w:val="21"/>
          <w:szCs w:val="21"/>
          <w:highlight w:val="none"/>
          <w:lang w:val="en-US" w:eastAsia="zh-CN"/>
        </w:rPr>
        <w:t>1.  本协议书与下列文件一起构成合同文件：</w:t>
      </w:r>
      <w:bookmarkEnd w:id="412"/>
      <w:bookmarkEnd w:id="413"/>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6"/>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6"/>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6"/>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6"/>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6"/>
        <w:tabs>
          <w:tab w:val="left" w:pos="2092"/>
          <w:tab w:val="left" w:pos="6184"/>
        </w:tabs>
        <w:spacing w:after="0" w:line="460" w:lineRule="exact"/>
        <w:ind w:firstLine="420" w:firstLineChars="200"/>
        <w:rPr>
          <w:color w:val="auto"/>
          <w:sz w:val="21"/>
          <w:szCs w:val="21"/>
          <w:highlight w:val="none"/>
        </w:rPr>
      </w:pPr>
    </w:p>
    <w:p>
      <w:pPr>
        <w:pStyle w:val="26"/>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28"/>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32498"/>
      <w:bookmarkStart w:id="415" w:name="_Toc18875"/>
      <w:bookmarkStart w:id="416" w:name="_Toc21213"/>
      <w:bookmarkStart w:id="417" w:name="_Toc15344"/>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4"/>
        <w:spacing w:after="0" w:line="460" w:lineRule="exact"/>
        <w:rPr>
          <w:rFonts w:hint="eastAsia"/>
          <w:color w:val="auto"/>
          <w:sz w:val="21"/>
          <w:szCs w:val="21"/>
          <w:highlight w:val="none"/>
        </w:rPr>
      </w:pPr>
    </w:p>
    <w:p>
      <w:pPr>
        <w:pStyle w:val="34"/>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28"/>
        <w:keepNext/>
        <w:keepLines/>
        <w:spacing w:before="240" w:beforeLines="100" w:after="120" w:afterLines="50"/>
        <w:jc w:val="center"/>
        <w:outlineLvl w:val="9"/>
        <w:rPr>
          <w:b/>
          <w:bCs/>
          <w:color w:val="auto"/>
          <w:sz w:val="36"/>
          <w:szCs w:val="36"/>
          <w:highlight w:val="none"/>
        </w:rPr>
      </w:pPr>
      <w:bookmarkStart w:id="418" w:name="_Toc15214"/>
      <w:bookmarkStart w:id="419" w:name="_Toc29339"/>
      <w:bookmarkStart w:id="420" w:name="_Toc10456"/>
      <w:bookmarkStart w:id="421" w:name="_Toc17155"/>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6"/>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6"/>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6"/>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6"/>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6"/>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380"/>
        </w:tabs>
        <w:spacing w:after="0" w:line="460" w:lineRule="exact"/>
        <w:ind w:firstLine="420" w:firstLineChars="200"/>
        <w:rPr>
          <w:color w:val="auto"/>
          <w:sz w:val="21"/>
          <w:szCs w:val="21"/>
          <w:highlight w:val="none"/>
        </w:rPr>
      </w:pPr>
    </w:p>
    <w:p>
      <w:pPr>
        <w:pStyle w:val="26"/>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2" w:name="_Toc3456"/>
      <w:bookmarkStart w:id="423" w:name="_Toc30047"/>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28"/>
        <w:keepNext/>
        <w:keepLines/>
        <w:spacing w:before="240" w:beforeLines="100" w:after="120" w:afterLines="50"/>
        <w:jc w:val="center"/>
        <w:outlineLvl w:val="9"/>
        <w:rPr>
          <w:b/>
          <w:bCs/>
          <w:color w:val="auto"/>
          <w:sz w:val="36"/>
          <w:szCs w:val="36"/>
          <w:highlight w:val="none"/>
        </w:rPr>
      </w:pPr>
      <w:bookmarkStart w:id="424" w:name="_Toc31190"/>
      <w:bookmarkStart w:id="425" w:name="_Toc6054"/>
      <w:bookmarkStart w:id="426" w:name="_Toc15843"/>
      <w:bookmarkStart w:id="427" w:name="_Toc24951"/>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6"/>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6"/>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6"/>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6"/>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6"/>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6"/>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6"/>
        <w:spacing w:after="0" w:line="460" w:lineRule="exact"/>
        <w:ind w:firstLine="420" w:firstLineChars="200"/>
        <w:rPr>
          <w:color w:val="auto"/>
          <w:sz w:val="21"/>
          <w:szCs w:val="21"/>
          <w:highlight w:val="none"/>
          <w:lang w:val="zh-CN" w:eastAsia="zh-CN" w:bidi="zh-CN"/>
        </w:rPr>
      </w:pPr>
    </w:p>
    <w:p>
      <w:pPr>
        <w:pStyle w:val="26"/>
        <w:spacing w:after="0" w:line="460" w:lineRule="exact"/>
        <w:ind w:firstLine="420" w:firstLineChars="200"/>
        <w:rPr>
          <w:color w:val="auto"/>
          <w:sz w:val="21"/>
          <w:szCs w:val="21"/>
          <w:highlight w:val="none"/>
          <w:lang w:val="zh-CN" w:eastAsia="zh-CN" w:bidi="zh-CN"/>
        </w:rPr>
      </w:pPr>
    </w:p>
    <w:p>
      <w:pPr>
        <w:pStyle w:val="26"/>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6"/>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6"/>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8" w:name="_Toc2046"/>
      <w:bookmarkStart w:id="429" w:name="_Toc28155"/>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28"/>
        <w:keepNext/>
        <w:keepLines/>
        <w:spacing w:before="240" w:beforeLines="100" w:after="120" w:afterLines="50"/>
        <w:jc w:val="center"/>
        <w:outlineLvl w:val="9"/>
        <w:rPr>
          <w:b/>
          <w:bCs/>
          <w:color w:val="auto"/>
          <w:sz w:val="36"/>
          <w:szCs w:val="36"/>
          <w:highlight w:val="none"/>
        </w:rPr>
      </w:pPr>
      <w:bookmarkStart w:id="430" w:name="_Toc25448"/>
      <w:bookmarkStart w:id="431" w:name="_Toc3241"/>
      <w:bookmarkStart w:id="432" w:name="_Toc27218"/>
      <w:bookmarkStart w:id="433" w:name="_Toc3546"/>
      <w:r>
        <w:rPr>
          <w:rFonts w:hint="eastAsia"/>
          <w:b/>
          <w:bCs/>
          <w:color w:val="auto"/>
          <w:sz w:val="36"/>
          <w:szCs w:val="36"/>
          <w:highlight w:val="none"/>
        </w:rPr>
        <w:t>安全生产协议书</w:t>
      </w:r>
      <w:bookmarkEnd w:id="430"/>
      <w:bookmarkEnd w:id="431"/>
      <w:bookmarkEnd w:id="432"/>
      <w:bookmarkEnd w:id="433"/>
    </w:p>
    <w:p>
      <w:pPr>
        <w:pStyle w:val="26"/>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6"/>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6"/>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6"/>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6"/>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6"/>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6"/>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6"/>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18958"/>
      <w:bookmarkStart w:id="435" w:name="_Toc30340"/>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outlineLvl w:val="0"/>
        <w:rPr>
          <w:rFonts w:hint="eastAsia"/>
          <w:sz w:val="32"/>
          <w:szCs w:val="32"/>
        </w:rPr>
      </w:pPr>
      <w:r>
        <w:rPr>
          <w:rFonts w:hint="eastAsia"/>
          <w:sz w:val="32"/>
          <w:szCs w:val="32"/>
        </w:rPr>
        <w:t>总  说  明</w:t>
      </w:r>
    </w:p>
    <w:p>
      <w:pPr>
        <w:rPr>
          <w:rFonts w:hint="eastAsia" w:ascii="宋体" w:hAnsi="宋体" w:cs="宋体"/>
          <w:sz w:val="18"/>
          <w:szCs w:val="18"/>
        </w:rPr>
      </w:pPr>
    </w:p>
    <w:p>
      <w:pPr>
        <w:rPr>
          <w:rFonts w:hint="eastAsia" w:ascii="宋体" w:hAnsi="宋体" w:cs="宋体"/>
          <w:sz w:val="24"/>
          <w:szCs w:val="24"/>
        </w:rPr>
      </w:pPr>
      <w:r>
        <w:rPr>
          <w:rFonts w:hint="eastAsia" w:ascii="宋体" w:hAnsi="宋体" w:cs="宋体"/>
          <w:sz w:val="21"/>
          <w:szCs w:val="21"/>
        </w:rPr>
        <w:t xml:space="preserve">项目名称: </w:t>
      </w:r>
      <w:r>
        <w:rPr>
          <w:rFonts w:hint="eastAsia" w:ascii="宋体" w:hAnsi="宋体" w:eastAsia="宋体" w:cs="宋体"/>
          <w:color w:val="000000" w:themeColor="text1"/>
          <w:sz w:val="21"/>
          <w:szCs w:val="21"/>
          <w:u w:val="single"/>
          <w:lang w:eastAsia="zh-CN"/>
          <w14:textFill>
            <w14:solidFill>
              <w14:schemeClr w14:val="tx1"/>
            </w14:solidFill>
          </w14:textFill>
        </w:rPr>
        <w:t>嵊州市谷来镇 2023 年小流域建设工程</w:t>
      </w:r>
      <w:r>
        <w:rPr>
          <w:rFonts w:hint="eastAsia" w:ascii="宋体" w:hAnsi="宋体" w:cs="宋体"/>
          <w:color w:val="00B050"/>
          <w:sz w:val="24"/>
          <w:szCs w:val="24"/>
        </w:rPr>
        <w:t xml:space="preserve">  </w:t>
      </w:r>
      <w:r>
        <w:rPr>
          <w:rFonts w:hint="eastAsia" w:ascii="宋体" w:hAnsi="宋体" w:cs="宋体"/>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8"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yellow"/>
              </w:rPr>
            </w:pPr>
            <w:r>
              <w:rPr>
                <w:rFonts w:hint="eastAsia" w:ascii="宋体" w:hAnsi="宋体" w:cs="宋体"/>
                <w:color w:val="auto"/>
                <w:sz w:val="21"/>
                <w:szCs w:val="21"/>
                <w:highlight w:val="none"/>
              </w:rPr>
              <w:t xml:space="preserve">1 </w:t>
            </w:r>
            <w:r>
              <w:rPr>
                <w:rFonts w:hint="eastAsia" w:ascii="宋体" w:hAnsi="宋体" w:cs="宋体"/>
                <w:color w:val="auto"/>
                <w:sz w:val="21"/>
                <w:szCs w:val="21"/>
                <w:highlight w:val="yellow"/>
              </w:rPr>
              <w:t xml:space="preserve"> 工程概况</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本工程的主要建设内容有：</w:t>
            </w:r>
            <w:r>
              <w:rPr>
                <w:rFonts w:hint="eastAsia" w:ascii="宋体" w:hAnsi="宋体" w:eastAsia="宋体" w:cs="宋体"/>
                <w:color w:val="auto"/>
                <w:sz w:val="21"/>
                <w:szCs w:val="21"/>
                <w:highlight w:val="none"/>
                <w:lang w:eastAsia="zh-CN"/>
              </w:rPr>
              <w:t>河道部分护岸建设总长约 2.55 千米，渠道建设长约 158 米，堰坝建设 6 座（其中 4 座为局部建设），踏步建设 6 处，护岸小路建设长约 668.2 米；龙潭顶山塘部分对原大坝进行挖除，新建 C15 细骨料混凝土砌石重力坝，对坝体、坝基进行防渗处理，新建溢流坝，新建放水设施，新建防汛抢险道路，增设水位观测设施及标识标牌。</w:t>
            </w:r>
            <w:r>
              <w:rPr>
                <w:rFonts w:hint="eastAsia" w:ascii="宋体" w:hAnsi="宋体" w:cs="宋体"/>
                <w:color w:val="auto"/>
                <w:sz w:val="21"/>
                <w:szCs w:val="21"/>
                <w:highlight w:val="none"/>
              </w:rPr>
              <w:t>本清单不含设备及安装工程。</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  工程招标范围</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由绍兴市水利水电勘测设计院有限公司设计的施工图纸全部内容。</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  招标人供应的材料、提供的施工设施</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无</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  工程量清单计价说明</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4.1  工程量清单应与招标文件中的投标人须知、通用合同条款、专用合同条款、技术标准和要求(合同技术条款)、图纸及《浙江省水利水电工程工程量清单计价办法》等一起阅读和理解。</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4.2  工程量清单标明的工程量仅是投标人投标报价的共同基础。除另有约定外，工程量清单中的工程量是根据招标设计图纸按《浙江省水利水电工程工程量清单计价办法》计算规则计算的用于投标报价的估算工程量，不作为最终结算工程量。最终结算的工程量是承包人实际完成并符合技术标准和要求(合同技术条款)及《浙江省水利水电工程工程量清单计价办法》计算规则等规定并按合同约定予以计量的有效工程量。</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4.3  工程量清单中各项目的工作内容和要求应符合相关技术标准和要求(合同技术条款)以及《浙江省水利水电工程工程量清单计价办法》的规定。</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4.4  工程量清单计价应包括按招标文件规定完成工程量清单所列项目的全部费用，包括分类分项工程费、施工临时工程费和其他项目费。</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4.5  除另有规定外，分类分项工程量清单计价应采用单价计价。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4.6  工程量清单中的综合单价是完成工程量清单中一个质量合格的规定计量单位项目所需的直接费(包括人工费、材料费、施工机械使用费、措施费)、间接费、利润、补差和税金等，并考虑一定范围内的风险费用。</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4.7  施工临时工程分类分项工程量清单的金额，应根据招标文件的要求以及工程的施工方案，按清单中所列项目的计量单位计价。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4.8  安全文明施工费不得低于建安费和临时工程费的</w:t>
            </w:r>
            <w:r>
              <w:rPr>
                <w:rFonts w:hint="eastAsia" w:ascii="宋体" w:hAnsi="宋体" w:eastAsia="宋体" w:cs="宋体"/>
                <w:color w:val="auto"/>
                <w:sz w:val="21"/>
                <w:szCs w:val="21"/>
                <w:highlight w:val="none"/>
                <w:lang w:val="en-US" w:eastAsia="zh-CN"/>
              </w:rPr>
              <w:t>1.8</w:t>
            </w:r>
            <w:r>
              <w:rPr>
                <w:rFonts w:hint="eastAsia" w:ascii="宋体" w:hAnsi="宋体" w:cs="宋体"/>
                <w:color w:val="auto"/>
                <w:sz w:val="21"/>
                <w:szCs w:val="21"/>
                <w:highlight w:val="none"/>
              </w:rPr>
              <w:t>%计，安全文明施工费不得作为竞争性费用，且实行标外管理。安全施工费的使用按国家和省有关规定执行，具体由承包人提出方案和预算，经监理审核、发包人批准后按方案实施进度支付。在确保工程安全措施的前提下，安全施工费和文明标化工地建设费可统筹使用。</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4.9 投标报价参考依据:</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（一）清单和定额依据：《浙江省水利水电建筑工程预算定额》(2021版) 《浙江省水利水电安装工程预算定额》(2021版)，取费按水利三类工程计取，费率按照《浙江省水利水电工程设计概（预）算编制规定（2021年）》计取；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（二）图纸依据：业主提供的施工图纸；</w:t>
            </w:r>
          </w:p>
          <w:p>
            <w:pPr>
              <w:spacing w:beforeLines="0" w:afterLines="0" w:line="56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（三）本工程人工费按《浙江省水利水电工程设计概（预）算编制规定》（2021年）规定，人工费以128元/工日计取；电、水、风概算价格（除税价）：电价：</w:t>
            </w:r>
            <w:r>
              <w:rPr>
                <w:rFonts w:hint="default" w:ascii="宋体" w:hAnsi="宋体" w:cs="宋体"/>
                <w:color w:val="auto"/>
                <w:sz w:val="21"/>
                <w:szCs w:val="21"/>
                <w:highlight w:val="none"/>
              </w:rPr>
              <w:t>0.98</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w:t>
            </w:r>
            <w:r>
              <w:rPr>
                <w:rFonts w:hint="eastAsia" w:ascii="宋体" w:hAnsi="宋体" w:cs="宋体"/>
                <w:color w:val="auto"/>
                <w:sz w:val="21"/>
                <w:szCs w:val="21"/>
                <w:highlight w:val="none"/>
              </w:rPr>
              <w:t>度；水价：</w:t>
            </w:r>
            <w:r>
              <w:rPr>
                <w:rFonts w:hint="default" w:ascii="宋体" w:hAnsi="宋体" w:cs="宋体"/>
                <w:color w:val="auto"/>
                <w:sz w:val="21"/>
                <w:szCs w:val="21"/>
                <w:highlight w:val="none"/>
              </w:rPr>
              <w:t>0.86</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w:t>
            </w:r>
            <w:r>
              <w:rPr>
                <w:rFonts w:hint="eastAsia" w:ascii="宋体" w:hAnsi="宋体" w:cs="宋体"/>
                <w:color w:val="auto"/>
                <w:sz w:val="21"/>
                <w:szCs w:val="21"/>
                <w:highlight w:val="none"/>
              </w:rPr>
              <w:t>立米；风价：</w:t>
            </w:r>
            <w:r>
              <w:rPr>
                <w:rFonts w:hint="default" w:ascii="宋体" w:hAnsi="宋体" w:cs="宋体"/>
                <w:color w:val="auto"/>
                <w:sz w:val="21"/>
                <w:szCs w:val="21"/>
                <w:highlight w:val="none"/>
              </w:rPr>
              <w:t>0.16</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w:t>
            </w:r>
            <w:r>
              <w:rPr>
                <w:rFonts w:hint="eastAsia" w:ascii="宋体" w:hAnsi="宋体" w:cs="宋体"/>
                <w:color w:val="auto"/>
                <w:sz w:val="21"/>
                <w:szCs w:val="21"/>
                <w:highlight w:val="none"/>
              </w:rPr>
              <w:t>立米。材料价格按《浙江造价信息》及《绍兴市建设工程造价管理信息》（</w:t>
            </w:r>
            <w:r>
              <w:rPr>
                <w:rFonts w:hint="default" w:ascii="宋体" w:hAnsi="宋体" w:cs="宋体"/>
                <w:color w:val="auto"/>
                <w:sz w:val="21"/>
                <w:szCs w:val="21"/>
                <w:highlight w:val="none"/>
              </w:rPr>
              <w:t>2023</w:t>
            </w:r>
            <w:r>
              <w:rPr>
                <w:rFonts w:hint="eastAsia" w:ascii="宋体" w:hAnsi="宋体" w:cs="宋体"/>
                <w:color w:val="auto"/>
                <w:sz w:val="21"/>
                <w:szCs w:val="21"/>
                <w:highlight w:val="none"/>
              </w:rPr>
              <w:t>年</w:t>
            </w:r>
            <w:r>
              <w:rPr>
                <w:rFonts w:hint="default" w:ascii="宋体" w:hAnsi="宋体" w:cs="宋体"/>
                <w:color w:val="auto"/>
                <w:sz w:val="21"/>
                <w:szCs w:val="21"/>
                <w:highlight w:val="none"/>
              </w:rPr>
              <w:t>5</w:t>
            </w:r>
            <w:r>
              <w:rPr>
                <w:rFonts w:hint="eastAsia" w:ascii="宋体" w:hAnsi="宋体" w:cs="宋体"/>
                <w:color w:val="auto"/>
                <w:sz w:val="21"/>
                <w:szCs w:val="21"/>
                <w:highlight w:val="none"/>
              </w:rPr>
              <w:t>月份）嵊州市建材信息价及市场调查价；进入直接费水泥限价为</w:t>
            </w:r>
            <w:r>
              <w:rPr>
                <w:rFonts w:hint="default" w:ascii="宋体" w:hAnsi="宋体" w:cs="宋体"/>
                <w:color w:val="auto"/>
                <w:sz w:val="21"/>
                <w:szCs w:val="21"/>
                <w:highlight w:val="none"/>
              </w:rPr>
              <w:t>300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w:t>
            </w:r>
            <w:r>
              <w:rPr>
                <w:rFonts w:hint="eastAsia" w:ascii="宋体" w:hAnsi="宋体" w:cs="宋体"/>
                <w:color w:val="auto"/>
                <w:sz w:val="21"/>
                <w:szCs w:val="21"/>
                <w:highlight w:val="none"/>
              </w:rPr>
              <w:t>Ｔ，柴油预算限价</w:t>
            </w:r>
            <w:r>
              <w:rPr>
                <w:rFonts w:hint="default" w:ascii="宋体" w:hAnsi="宋体" w:cs="宋体"/>
                <w:color w:val="auto"/>
                <w:sz w:val="21"/>
                <w:szCs w:val="21"/>
                <w:highlight w:val="none"/>
              </w:rPr>
              <w:t>3000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/T</w:t>
            </w:r>
            <w:r>
              <w:rPr>
                <w:rFonts w:hint="eastAsia" w:ascii="宋体" w:hAnsi="宋体" w:cs="宋体"/>
                <w:color w:val="auto"/>
                <w:sz w:val="21"/>
                <w:szCs w:val="21"/>
                <w:highlight w:val="none"/>
              </w:rPr>
              <w:t>，砂砾石、块石预算限价为</w:t>
            </w:r>
            <w:r>
              <w:rPr>
                <w:rFonts w:hint="default" w:ascii="宋体" w:hAnsi="宋体" w:cs="宋体"/>
                <w:color w:val="auto"/>
                <w:sz w:val="21"/>
                <w:szCs w:val="21"/>
                <w:highlight w:val="none"/>
              </w:rPr>
              <w:t>60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/m3</w:t>
            </w:r>
            <w:r>
              <w:rPr>
                <w:rFonts w:hint="eastAsia" w:ascii="宋体" w:hAnsi="宋体" w:cs="宋体"/>
                <w:color w:val="auto"/>
                <w:sz w:val="21"/>
                <w:szCs w:val="21"/>
                <w:highlight w:val="none"/>
              </w:rPr>
              <w:t>，回填料砂砾石、块石预算限价为</w:t>
            </w:r>
            <w:r>
              <w:rPr>
                <w:rFonts w:hint="default" w:ascii="宋体" w:hAnsi="宋体" w:cs="宋体"/>
                <w:color w:val="auto"/>
                <w:sz w:val="21"/>
                <w:szCs w:val="21"/>
                <w:highlight w:val="none"/>
              </w:rPr>
              <w:t>30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/m3</w:t>
            </w:r>
            <w:r>
              <w:rPr>
                <w:rFonts w:hint="eastAsia" w:ascii="宋体" w:hAnsi="宋体" w:cs="宋体"/>
                <w:color w:val="auto"/>
                <w:sz w:val="21"/>
                <w:szCs w:val="21"/>
                <w:highlight w:val="none"/>
              </w:rPr>
              <w:t>，钢筋预算限价为</w:t>
            </w:r>
            <w:r>
              <w:rPr>
                <w:rFonts w:hint="default" w:ascii="宋体" w:hAnsi="宋体" w:cs="宋体"/>
                <w:color w:val="auto"/>
                <w:sz w:val="21"/>
                <w:szCs w:val="21"/>
                <w:highlight w:val="none"/>
              </w:rPr>
              <w:t>3000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/T</w:t>
            </w:r>
            <w:r>
              <w:rPr>
                <w:rFonts w:hint="eastAsia" w:ascii="宋体" w:hAnsi="宋体" w:cs="宋体"/>
                <w:color w:val="auto"/>
                <w:sz w:val="21"/>
                <w:szCs w:val="21"/>
                <w:highlight w:val="none"/>
              </w:rPr>
              <w:t>，炸药预算限价</w:t>
            </w:r>
            <w:r>
              <w:rPr>
                <w:rFonts w:hint="default" w:ascii="宋体" w:hAnsi="宋体" w:cs="宋体"/>
                <w:color w:val="auto"/>
                <w:sz w:val="21"/>
                <w:szCs w:val="21"/>
                <w:highlight w:val="none"/>
              </w:rPr>
              <w:t>6000</w:t>
            </w:r>
            <w:r>
              <w:rPr>
                <w:rFonts w:hint="eastAsia" w:ascii="宋体" w:hAnsi="宋体" w:cs="宋体"/>
                <w:color w:val="auto"/>
                <w:sz w:val="21"/>
                <w:szCs w:val="21"/>
                <w:highlight w:val="none"/>
              </w:rPr>
              <w:t>元</w:t>
            </w:r>
            <w:r>
              <w:rPr>
                <w:rFonts w:hint="default" w:ascii="宋体" w:hAnsi="宋体" w:cs="宋体"/>
                <w:color w:val="auto"/>
                <w:sz w:val="21"/>
                <w:szCs w:val="21"/>
                <w:highlight w:val="none"/>
              </w:rPr>
              <w:t>/T</w:t>
            </w:r>
            <w:r>
              <w:rPr>
                <w:rFonts w:hint="eastAsia" w:ascii="宋体" w:hAnsi="宋体" w:cs="宋体"/>
                <w:color w:val="auto"/>
                <w:sz w:val="21"/>
                <w:szCs w:val="21"/>
                <w:highlight w:val="none"/>
              </w:rPr>
              <w:t>，市场价高于限价，超过限价部分作为价差，计取税金后列入相应单价内，实际市场价低于限价的，按实际算。</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  其他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（一）预留金按</w:t>
            </w:r>
            <w:r>
              <w:rPr>
                <w:rFonts w:hint="default" w:ascii="宋体" w:hAnsi="宋体" w:cs="宋体"/>
                <w:color w:val="auto"/>
                <w:sz w:val="21"/>
                <w:szCs w:val="21"/>
                <w:highlight w:val="none"/>
              </w:rPr>
              <w:t>200000</w:t>
            </w:r>
            <w:r>
              <w:rPr>
                <w:rFonts w:hint="eastAsia" w:ascii="宋体" w:hAnsi="宋体" w:cs="宋体"/>
                <w:color w:val="auto"/>
                <w:sz w:val="21"/>
                <w:szCs w:val="21"/>
                <w:highlight w:val="none"/>
              </w:rPr>
              <w:t>元计取。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（二）第三者责任险保额按</w:t>
            </w:r>
            <w:r>
              <w:rPr>
                <w:rFonts w:hint="default" w:ascii="宋体" w:hAnsi="宋体" w:cs="宋体"/>
                <w:color w:val="auto"/>
                <w:sz w:val="21"/>
                <w:szCs w:val="21"/>
                <w:highlight w:val="none"/>
              </w:rPr>
              <w:t>1000000</w:t>
            </w:r>
            <w:r>
              <w:rPr>
                <w:rFonts w:hint="eastAsia" w:ascii="宋体" w:hAnsi="宋体" w:cs="宋体"/>
                <w:color w:val="auto"/>
                <w:sz w:val="21"/>
                <w:szCs w:val="21"/>
                <w:highlight w:val="none"/>
              </w:rPr>
              <w:t>元，费率</w:t>
            </w:r>
            <w:r>
              <w:rPr>
                <w:rFonts w:hint="default" w:ascii="宋体" w:hAnsi="宋体" w:cs="宋体"/>
                <w:color w:val="auto"/>
                <w:sz w:val="21"/>
                <w:szCs w:val="21"/>
                <w:highlight w:val="none"/>
              </w:rPr>
              <w:t>0.5%</w:t>
            </w:r>
            <w:r>
              <w:rPr>
                <w:rFonts w:hint="eastAsia" w:ascii="宋体" w:hAnsi="宋体" w:cs="宋体"/>
                <w:color w:val="auto"/>
                <w:sz w:val="21"/>
                <w:szCs w:val="21"/>
                <w:highlight w:val="none"/>
              </w:rPr>
              <w:t>，第三者责任险保费</w:t>
            </w:r>
            <w:r>
              <w:rPr>
                <w:rFonts w:hint="default" w:ascii="宋体" w:hAnsi="宋体" w:cs="宋体"/>
                <w:color w:val="auto"/>
                <w:sz w:val="21"/>
                <w:szCs w:val="21"/>
                <w:highlight w:val="none"/>
              </w:rPr>
              <w:t>5000</w:t>
            </w:r>
            <w:r>
              <w:rPr>
                <w:rFonts w:hint="eastAsia" w:ascii="宋体" w:hAnsi="宋体" w:cs="宋体"/>
                <w:color w:val="auto"/>
                <w:sz w:val="21"/>
                <w:szCs w:val="21"/>
                <w:highlight w:val="none"/>
              </w:rPr>
              <w:t>元。</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（三）农民工工伤保险费按</w:t>
            </w:r>
            <w:r>
              <w:rPr>
                <w:rFonts w:hint="default" w:ascii="宋体" w:hAnsi="宋体" w:cs="宋体"/>
                <w:color w:val="auto"/>
                <w:sz w:val="21"/>
                <w:szCs w:val="21"/>
                <w:highlight w:val="none"/>
              </w:rPr>
              <w:t>0.2%</w:t>
            </w:r>
            <w:r>
              <w:rPr>
                <w:rFonts w:hint="eastAsia" w:ascii="宋体" w:hAnsi="宋体" w:cs="宋体"/>
                <w:color w:val="auto"/>
                <w:sz w:val="21"/>
                <w:szCs w:val="21"/>
                <w:highlight w:val="none"/>
              </w:rPr>
              <w:t>计取。</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（四）安全施工费按</w:t>
            </w:r>
            <w:r>
              <w:rPr>
                <w:rFonts w:hint="default" w:ascii="宋体" w:hAnsi="宋体" w:cs="宋体"/>
                <w:color w:val="auto"/>
                <w:sz w:val="21"/>
                <w:szCs w:val="21"/>
                <w:highlight w:val="none"/>
              </w:rPr>
              <w:t>1.8%</w:t>
            </w:r>
            <w:r>
              <w:rPr>
                <w:rFonts w:hint="eastAsia" w:ascii="宋体" w:hAnsi="宋体" w:cs="宋体"/>
                <w:color w:val="auto"/>
                <w:sz w:val="21"/>
                <w:szCs w:val="21"/>
                <w:highlight w:val="none"/>
              </w:rPr>
              <w:t>计取，文明标化工地建设费按</w:t>
            </w:r>
            <w:r>
              <w:rPr>
                <w:rFonts w:hint="default" w:ascii="宋体" w:hAnsi="宋体" w:cs="宋体"/>
                <w:color w:val="auto"/>
                <w:sz w:val="21"/>
                <w:szCs w:val="21"/>
                <w:highlight w:val="none"/>
              </w:rPr>
              <w:t>0.4%</w:t>
            </w:r>
            <w:r>
              <w:rPr>
                <w:rFonts w:hint="eastAsia" w:ascii="宋体" w:hAnsi="宋体" w:cs="宋体"/>
                <w:color w:val="auto"/>
                <w:sz w:val="21"/>
                <w:szCs w:val="21"/>
                <w:highlight w:val="none"/>
              </w:rPr>
              <w:t>计取。</w:t>
            </w:r>
          </w:p>
        </w:tc>
      </w:tr>
    </w:tbl>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2"/>
        <w:rPr>
          <w:rFonts w:ascii="黑体" w:hAnsi="黑体" w:eastAsia="黑体" w:cs="黑体"/>
          <w:color w:val="auto"/>
          <w:sz w:val="60"/>
          <w:szCs w:val="60"/>
          <w:highlight w:val="none"/>
        </w:rPr>
      </w:pPr>
    </w:p>
    <w:p>
      <w:pPr>
        <w:pStyle w:val="6"/>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6" w:name="_Toc11860"/>
      <w:r>
        <w:rPr>
          <w:rFonts w:hint="eastAsia" w:ascii="黑体" w:hAnsi="黑体" w:eastAsia="黑体" w:cs="黑体"/>
          <w:b/>
          <w:bCs/>
          <w:color w:val="auto"/>
          <w:sz w:val="36"/>
          <w:szCs w:val="36"/>
          <w:highlight w:val="none"/>
        </w:rPr>
        <w:t>第六章图纸（招标图纸）及其他资料</w:t>
      </w:r>
      <w:bookmarkEnd w:id="436"/>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7"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7"/>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8"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8"/>
    </w:p>
    <w:tbl>
      <w:tblPr>
        <w:tblStyle w:val="18"/>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9"/>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1117"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6"/>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ectPr>
          <w:headerReference r:id="rId20" w:type="default"/>
          <w:footerReference r:id="rId21" w:type="default"/>
          <w:pgSz w:w="11905" w:h="16839"/>
          <w:pgMar w:top="400" w:right="1785" w:bottom="400" w:left="1729" w:header="0" w:footer="283" w:gutter="0"/>
          <w:pgNumType w:fmt="decimal"/>
          <w:cols w:space="720" w:num="1"/>
        </w:sectPr>
      </w:pPr>
    </w:p>
    <w:p>
      <w:pPr>
        <w:spacing w:line="331" w:lineRule="auto"/>
        <w:rPr>
          <w:rFonts w:ascii="Arial"/>
          <w:sz w:val="21"/>
        </w:rPr>
      </w:pPr>
    </w:p>
    <w:p>
      <w:pPr>
        <w:spacing w:line="331" w:lineRule="auto"/>
        <w:rPr>
          <w:rFonts w:ascii="Arial"/>
          <w:sz w:val="21"/>
        </w:rPr>
      </w:pPr>
    </w:p>
    <w:p>
      <w:pPr>
        <w:spacing w:before="117" w:line="219" w:lineRule="auto"/>
        <w:ind w:left="1482"/>
        <w:rPr>
          <w:rFonts w:ascii="宋体" w:hAnsi="宋体" w:eastAsia="宋体" w:cs="宋体"/>
          <w:sz w:val="36"/>
          <w:szCs w:val="36"/>
        </w:rPr>
      </w:pPr>
      <w:bookmarkStart w:id="440" w:name="_bookmark89"/>
      <w:bookmarkEnd w:id="440"/>
      <w:r>
        <w:rPr>
          <w:rFonts w:ascii="宋体" w:hAnsi="宋体" w:eastAsia="宋体" w:cs="宋体"/>
          <w:spacing w:val="11"/>
          <w:sz w:val="36"/>
          <w:szCs w:val="36"/>
          <w14:textOutline w14:w="6531" w14:cap="flat" w14:cmpd="sng">
            <w14:solidFill>
              <w14:srgbClr w14:val="000000"/>
            </w14:solidFill>
            <w14:prstDash w14:val="solid"/>
            <w14:miter w14:val="0"/>
          </w14:textOutline>
        </w:rPr>
        <w:t>第</w:t>
      </w:r>
      <w:r>
        <w:rPr>
          <w:rFonts w:ascii="宋体" w:hAnsi="宋体" w:eastAsia="宋体" w:cs="宋体"/>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spacing w:val="10"/>
          <w:sz w:val="36"/>
          <w:szCs w:val="36"/>
        </w:rPr>
        <w:t xml:space="preserve"> </w:t>
      </w:r>
      <w:r>
        <w:rPr>
          <w:rFonts w:ascii="宋体" w:hAnsi="宋体" w:eastAsia="宋体" w:cs="宋体"/>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spacing w:val="-10"/>
          <w:sz w:val="29"/>
          <w:szCs w:val="29"/>
        </w:rPr>
      </w:pPr>
      <w:bookmarkStart w:id="441" w:name="_bookmark90"/>
      <w:bookmarkEnd w:id="441"/>
    </w:p>
    <w:p>
      <w:pPr>
        <w:spacing w:before="94" w:line="246" w:lineRule="auto"/>
        <w:ind w:firstLine="762"/>
        <w:rPr>
          <w:rFonts w:ascii="宋体" w:hAnsi="宋体" w:eastAsia="宋体" w:cs="宋体"/>
          <w:i w:val="0"/>
          <w:iCs w:val="0"/>
          <w:sz w:val="29"/>
          <w:szCs w:val="29"/>
        </w:rPr>
      </w:pPr>
      <w:r>
        <w:rPr>
          <w:rFonts w:ascii="宋体" w:hAnsi="宋体" w:eastAsia="宋体" w:cs="宋体"/>
          <w:i w:val="0"/>
          <w:iCs w:val="0"/>
          <w:spacing w:val="-10"/>
          <w:sz w:val="29"/>
          <w:szCs w:val="29"/>
        </w:rPr>
        <w:t>略。参照《</w:t>
      </w:r>
      <w:r>
        <w:rPr>
          <w:rFonts w:ascii="宋体" w:hAnsi="宋体" w:eastAsia="宋体" w:cs="宋体"/>
          <w:i w:val="0"/>
          <w:iCs w:val="0"/>
          <w:spacing w:val="-6"/>
          <w:sz w:val="29"/>
          <w:szCs w:val="29"/>
        </w:rPr>
        <w:t>浙</w:t>
      </w:r>
      <w:r>
        <w:rPr>
          <w:rFonts w:ascii="宋体" w:hAnsi="宋体" w:eastAsia="宋体" w:cs="宋体"/>
          <w:i w:val="0"/>
          <w:iCs w:val="0"/>
          <w:spacing w:val="-5"/>
          <w:sz w:val="29"/>
          <w:szCs w:val="29"/>
        </w:rPr>
        <w:t>江省水利水电工程施工招标文件示范文本》(2022 年</w:t>
      </w:r>
      <w:r>
        <w:rPr>
          <w:rFonts w:ascii="宋体" w:hAnsi="宋体" w:eastAsia="宋体" w:cs="宋体"/>
          <w:i w:val="0"/>
          <w:iCs w:val="0"/>
          <w:sz w:val="29"/>
          <w:szCs w:val="29"/>
        </w:rPr>
        <w:t xml:space="preserve"> </w:t>
      </w:r>
      <w:r>
        <w:rPr>
          <w:rFonts w:ascii="宋体" w:hAnsi="宋体" w:eastAsia="宋体" w:cs="宋体"/>
          <w:i w:val="0"/>
          <w:iCs w:val="0"/>
          <w:spacing w:val="25"/>
          <w:sz w:val="29"/>
          <w:szCs w:val="29"/>
        </w:rPr>
        <w:t>版</w:t>
      </w:r>
      <w:r>
        <w:rPr>
          <w:rFonts w:ascii="宋体" w:hAnsi="宋体" w:eastAsia="宋体" w:cs="宋体"/>
          <w:i w:val="0"/>
          <w:iCs w:val="0"/>
          <w:spacing w:val="24"/>
          <w:sz w:val="29"/>
          <w:szCs w:val="29"/>
        </w:rPr>
        <w:t>)</w:t>
      </w:r>
    </w:p>
    <w:p>
      <w:pPr>
        <w:rPr>
          <w:i w:val="0"/>
          <w:iCs w:val="0"/>
        </w:rPr>
        <w:sectPr>
          <w:footerReference r:id="rId22" w:type="default"/>
          <w:pgSz w:w="11907" w:h="16841"/>
          <w:pgMar w:top="400" w:right="1388" w:bottom="1278" w:left="1530" w:header="0" w:footer="1117" w:gutter="0"/>
          <w:pgNumType w:fmt="decimal"/>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273" w:line="220" w:lineRule="auto"/>
        <w:ind w:left="2932"/>
        <w:rPr>
          <w:rFonts w:ascii="宋体" w:hAnsi="宋体" w:eastAsia="宋体" w:cs="宋体"/>
          <w:sz w:val="84"/>
          <w:szCs w:val="84"/>
        </w:rPr>
      </w:pPr>
      <w:bookmarkStart w:id="442" w:name="_bookmark115"/>
      <w:bookmarkEnd w:id="442"/>
      <w:r>
        <w:rPr>
          <w:rFonts w:ascii="宋体" w:hAnsi="宋体" w:eastAsia="宋体" w:cs="宋体"/>
          <w:spacing w:val="-11"/>
          <w:sz w:val="84"/>
          <w:szCs w:val="84"/>
          <w14:textOutline w14:w="15240" w14:cap="flat" w14:cmpd="sng">
            <w14:solidFill>
              <w14:srgbClr w14:val="000000"/>
            </w14:solidFill>
            <w14:prstDash w14:val="solid"/>
            <w14:miter w14:val="0"/>
          </w14:textOutline>
        </w:rPr>
        <w:t>第</w:t>
      </w:r>
      <w:r>
        <w:rPr>
          <w:rFonts w:ascii="宋体" w:hAnsi="宋体" w:eastAsia="宋体" w:cs="宋体"/>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ectPr>
          <w:footerReference r:id="rId23" w:type="default"/>
          <w:pgSz w:w="11905" w:h="16839"/>
          <w:pgMar w:top="400" w:right="1785" w:bottom="400" w:left="1785" w:header="0" w:footer="397" w:gutter="0"/>
          <w:pgNumType w:fmt="decimal"/>
          <w:cols w:space="720" w:num="1"/>
        </w:sectPr>
      </w:pPr>
    </w:p>
    <w:p>
      <w:pPr>
        <w:spacing w:line="331" w:lineRule="auto"/>
        <w:rPr>
          <w:rFonts w:ascii="Arial"/>
          <w:sz w:val="21"/>
        </w:rPr>
      </w:pPr>
    </w:p>
    <w:p>
      <w:pPr>
        <w:spacing w:line="331" w:lineRule="auto"/>
        <w:rPr>
          <w:rFonts w:ascii="Arial"/>
          <w:sz w:val="21"/>
        </w:rPr>
      </w:pPr>
    </w:p>
    <w:p>
      <w:pPr>
        <w:spacing w:line="360" w:lineRule="auto"/>
        <w:jc w:val="center"/>
        <w:outlineLvl w:val="0"/>
        <w:rPr>
          <w:rFonts w:ascii="黑体" w:hAnsi="黑体" w:eastAsia="黑体" w:cs="黑体"/>
          <w:b/>
          <w:bCs/>
          <w:color w:val="auto"/>
          <w:sz w:val="36"/>
          <w:szCs w:val="36"/>
          <w:highlight w:val="none"/>
        </w:rPr>
      </w:pPr>
      <w:bookmarkStart w:id="443" w:name="_bookmark116"/>
      <w:bookmarkEnd w:id="443"/>
      <w:bookmarkStart w:id="444"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4"/>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5" w:name="_Toc11631"/>
      <w:bookmarkStart w:id="446" w:name="_Toc14845"/>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5"/>
      <w:bookmarkEnd w:id="446"/>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bookmarkStart w:id="447" w:name="_Toc5820"/>
      <w:bookmarkStart w:id="448" w:name="_Toc27849"/>
      <w:bookmarkStart w:id="449" w:name="_Toc20617"/>
      <w:bookmarkStart w:id="450" w:name="_Toc16645"/>
      <w:r>
        <w:rPr>
          <w:b/>
          <w:bCs/>
          <w:color w:val="auto"/>
          <w:sz w:val="72"/>
          <w:szCs w:val="72"/>
          <w:highlight w:val="none"/>
        </w:rPr>
        <w:t>投标文件</w:t>
      </w:r>
      <w:bookmarkEnd w:id="447"/>
      <w:bookmarkEnd w:id="448"/>
      <w:bookmarkEnd w:id="449"/>
      <w:bookmarkEnd w:id="450"/>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color w:val="auto"/>
          <w:sz w:val="21"/>
          <w:szCs w:val="21"/>
          <w:highlight w:val="none"/>
        </w:rPr>
      </w:pPr>
      <w:r>
        <w:rPr>
          <w:color w:val="auto"/>
          <w:sz w:val="21"/>
          <w:szCs w:val="21"/>
          <w:highlight w:val="none"/>
        </w:rPr>
        <w:br w:type="page"/>
      </w:r>
    </w:p>
    <w:p>
      <w:pPr>
        <w:pStyle w:val="32"/>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1468"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1" w:name="_Toc1255"/>
      <w:bookmarkStart w:id="452" w:name="_Toc31979"/>
      <w:bookmarkStart w:id="453" w:name="_Toc1970"/>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1"/>
      <w:bookmarkEnd w:id="452"/>
      <w:bookmarkEnd w:id="453"/>
    </w:p>
    <w:p>
      <w:pPr>
        <w:spacing w:line="317" w:lineRule="auto"/>
        <w:rPr>
          <w:rFonts w:ascii="Times New Roman" w:hAnsi="Times New Roman"/>
          <w:color w:val="auto"/>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4" w:name="_Toc12462"/>
      <w:bookmarkStart w:id="455" w:name="_Toc27094"/>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4"/>
      <w:bookmarkEnd w:id="455"/>
    </w:p>
    <w:p>
      <w:pPr>
        <w:pStyle w:val="26"/>
        <w:spacing w:after="0" w:line="460" w:lineRule="exact"/>
        <w:ind w:firstLine="422" w:firstLineChars="200"/>
        <w:outlineLvl w:val="1"/>
        <w:rPr>
          <w:b/>
          <w:bCs/>
          <w:color w:val="auto"/>
          <w:sz w:val="21"/>
          <w:szCs w:val="21"/>
          <w:highlight w:val="none"/>
        </w:rPr>
      </w:pPr>
      <w:bookmarkStart w:id="456" w:name="_Toc1528"/>
      <w:bookmarkStart w:id="457" w:name="_Toc27665"/>
      <w:bookmarkStart w:id="458" w:name="_Toc26434"/>
      <w:bookmarkStart w:id="459" w:name="_Toc655"/>
      <w:r>
        <w:rPr>
          <w:rFonts w:hint="eastAsia"/>
          <w:b/>
          <w:bCs/>
          <w:color w:val="auto"/>
          <w:sz w:val="21"/>
          <w:szCs w:val="21"/>
          <w:highlight w:val="none"/>
          <w:lang w:eastAsia="zh-CN"/>
        </w:rPr>
        <w:t>（</w:t>
      </w:r>
      <w:r>
        <w:rPr>
          <w:rFonts w:hint="eastAsia"/>
          <w:b/>
          <w:bCs/>
          <w:color w:val="auto"/>
          <w:sz w:val="21"/>
          <w:szCs w:val="21"/>
          <w:highlight w:val="none"/>
        </w:rPr>
        <w:t>一）投标函</w:t>
      </w:r>
      <w:bookmarkEnd w:id="456"/>
      <w:bookmarkEnd w:id="457"/>
      <w:bookmarkEnd w:id="458"/>
      <w:bookmarkEnd w:id="459"/>
    </w:p>
    <w:p>
      <w:pPr>
        <w:pStyle w:val="26"/>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6"/>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6"/>
        <w:tabs>
          <w:tab w:val="left" w:pos="1240"/>
          <w:tab w:val="left" w:pos="2448"/>
          <w:tab w:val="left" w:pos="12024"/>
        </w:tabs>
        <w:spacing w:after="0" w:line="460" w:lineRule="exact"/>
        <w:ind w:firstLine="420" w:firstLineChars="200"/>
        <w:rPr>
          <w:color w:val="auto"/>
          <w:sz w:val="21"/>
          <w:szCs w:val="21"/>
          <w:highlight w:val="none"/>
        </w:rPr>
      </w:pPr>
      <w:bookmarkStart w:id="460" w:name="_Toc5865"/>
      <w:bookmarkStart w:id="461" w:name="_Toc24501"/>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0"/>
      <w:bookmarkEnd w:id="461"/>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6"/>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6"/>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2730" w:firstLineChars="1300"/>
        <w:rPr>
          <w:color w:val="auto"/>
          <w:sz w:val="21"/>
          <w:szCs w:val="21"/>
          <w:highlight w:val="none"/>
          <w:u w:val="single"/>
        </w:rPr>
      </w:pPr>
      <w:bookmarkStart w:id="462" w:name="_Toc21846"/>
      <w:bookmarkStart w:id="463" w:name="_Toc12893"/>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2"/>
      <w:bookmarkEnd w:id="463"/>
    </w:p>
    <w:p>
      <w:pPr>
        <w:pStyle w:val="26"/>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6"/>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6"/>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6"/>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6"/>
        <w:spacing w:after="0" w:line="460" w:lineRule="exact"/>
        <w:ind w:firstLine="422" w:firstLineChars="200"/>
        <w:outlineLvl w:val="1"/>
        <w:rPr>
          <w:b/>
          <w:bCs/>
          <w:color w:val="auto"/>
          <w:sz w:val="21"/>
          <w:szCs w:val="21"/>
          <w:highlight w:val="none"/>
        </w:rPr>
      </w:pPr>
      <w:bookmarkStart w:id="464" w:name="_Toc10171"/>
      <w:bookmarkStart w:id="465" w:name="_Toc14563"/>
      <w:bookmarkStart w:id="466" w:name="_Toc5597"/>
      <w:bookmarkStart w:id="467" w:name="_Toc4828"/>
      <w:r>
        <w:rPr>
          <w:rFonts w:hint="eastAsia"/>
          <w:b/>
          <w:bCs/>
          <w:color w:val="auto"/>
          <w:sz w:val="21"/>
          <w:szCs w:val="21"/>
          <w:highlight w:val="none"/>
          <w:lang w:eastAsia="zh-CN"/>
        </w:rPr>
        <w:t>（</w:t>
      </w:r>
      <w:r>
        <w:rPr>
          <w:rFonts w:hint="eastAsia"/>
          <w:b/>
          <w:bCs/>
          <w:color w:val="auto"/>
          <w:sz w:val="21"/>
          <w:szCs w:val="21"/>
          <w:highlight w:val="none"/>
        </w:rPr>
        <w:t>二）投标函附录</w:t>
      </w:r>
      <w:bookmarkEnd w:id="464"/>
      <w:bookmarkEnd w:id="465"/>
      <w:bookmarkEnd w:id="466"/>
      <w:bookmarkEnd w:id="467"/>
    </w:p>
    <w:tbl>
      <w:tblPr>
        <w:tblStyle w:val="18"/>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2"/>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2"/>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val="en-US" w:eastAsia="zh-CN"/>
              </w:rPr>
              <w:t xml:space="preserve">日历天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2"/>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Cs w:val="24"/>
        </w:rPr>
      </w:pPr>
      <w:r>
        <w:rPr>
          <w:rStyle w:val="41"/>
          <w:rFonts w:hint="eastAsia"/>
          <w:b/>
          <w:snapToGrid w:val="0"/>
          <w:sz w:val="28"/>
          <w:szCs w:val="28"/>
        </w:rPr>
        <w:t>二、已标价工程量清单</w:t>
      </w:r>
      <w:r>
        <w:rPr>
          <w:rFonts w:hint="eastAsia"/>
          <w:snapToGrid w:val="0"/>
          <w:sz w:val="28"/>
          <w:szCs w:val="28"/>
        </w:rPr>
        <w:t xml:space="preserve"> </w:t>
      </w:r>
    </w:p>
    <w:p>
      <w:pPr>
        <w:spacing w:line="400" w:lineRule="exact"/>
        <w:jc w:val="center"/>
        <w:outlineLvl w:val="2"/>
        <w:rPr>
          <w:rStyle w:val="41"/>
          <w:rFonts w:hint="eastAsia"/>
          <w:snapToGrid w:val="0"/>
          <w:sz w:val="28"/>
          <w:szCs w:val="28"/>
        </w:rPr>
      </w:pPr>
    </w:p>
    <w:p>
      <w:pPr>
        <w:pStyle w:val="2"/>
      </w:pPr>
    </w:p>
    <w:p>
      <w:pPr>
        <w:pStyle w:val="2"/>
      </w:pPr>
    </w:p>
    <w:p>
      <w:pPr>
        <w:pStyle w:val="2"/>
      </w:pPr>
    </w:p>
    <w:p>
      <w:pPr>
        <w:pStyle w:val="2"/>
      </w:pPr>
    </w:p>
    <w:p>
      <w:pPr>
        <w:pStyle w:val="2"/>
      </w:pPr>
    </w:p>
    <w:p>
      <w:pPr>
        <w:pStyle w:val="2"/>
      </w:pPr>
    </w:p>
    <w:p>
      <w:pPr>
        <w:pStyle w:val="28"/>
        <w:keepNext/>
        <w:keepLines/>
        <w:spacing w:after="20"/>
        <w:jc w:val="center"/>
        <w:outlineLvl w:val="9"/>
        <w:rPr>
          <w:b/>
          <w:bCs/>
          <w:color w:val="auto"/>
          <w:sz w:val="32"/>
          <w:szCs w:val="32"/>
          <w:highlight w:val="none"/>
          <w:u w:val="single"/>
          <w:lang w:val="en-US" w:eastAsia="zh-CN"/>
        </w:rPr>
      </w:pPr>
    </w:p>
    <w:p>
      <w:pPr>
        <w:pStyle w:val="28"/>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8" w:name="_Toc1079"/>
      <w:bookmarkStart w:id="469" w:name="_Toc7573"/>
      <w:bookmarkStart w:id="470" w:name="_Toc13805"/>
      <w:bookmarkStart w:id="471" w:name="_Toc21083"/>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8"/>
      <w:bookmarkEnd w:id="469"/>
      <w:bookmarkEnd w:id="470"/>
      <w:bookmarkEnd w:id="471"/>
      <w:r>
        <w:rPr>
          <w:rFonts w:hint="eastAsia"/>
          <w:b/>
          <w:bCs/>
          <w:color w:val="auto"/>
          <w:sz w:val="32"/>
          <w:szCs w:val="32"/>
          <w:highlight w:val="none"/>
          <w:u w:val="single"/>
          <w:lang w:val="en-US" w:eastAsia="zh-CN"/>
        </w:rPr>
        <w:t xml:space="preserve">             </w:t>
      </w: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lang w:val="en-US" w:eastAsia="zh-CN"/>
        </w:rPr>
      </w:pPr>
      <w:bookmarkStart w:id="472" w:name="_Toc19797"/>
      <w:bookmarkStart w:id="473" w:name="_Toc30388"/>
      <w:bookmarkStart w:id="474" w:name="_Toc21053"/>
      <w:bookmarkStart w:id="475" w:name="_Toc2477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2"/>
      <w:bookmarkEnd w:id="473"/>
      <w:bookmarkEnd w:id="474"/>
      <w:bookmarkEnd w:id="475"/>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ind w:firstLine="640" w:firstLineChars="200"/>
        <w:jc w:val="both"/>
        <w:outlineLvl w:val="9"/>
        <w:rPr>
          <w:color w:val="auto"/>
          <w:sz w:val="32"/>
          <w:szCs w:val="32"/>
          <w:highlight w:val="none"/>
        </w:rPr>
      </w:pPr>
      <w:bookmarkStart w:id="476" w:name="_Toc10916"/>
      <w:bookmarkStart w:id="477" w:name="_Toc3689"/>
      <w:bookmarkStart w:id="478" w:name="_Toc8821"/>
      <w:bookmarkStart w:id="479" w:name="_Toc20551"/>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6"/>
      <w:bookmarkEnd w:id="477"/>
      <w:bookmarkEnd w:id="478"/>
      <w:bookmarkEnd w:id="479"/>
    </w:p>
    <w:p>
      <w:pPr>
        <w:pStyle w:val="28"/>
        <w:keepNext/>
        <w:keepLines/>
        <w:spacing w:after="0"/>
        <w:ind w:firstLine="640" w:firstLineChars="200"/>
        <w:jc w:val="both"/>
        <w:outlineLvl w:val="9"/>
        <w:rPr>
          <w:color w:val="auto"/>
          <w:sz w:val="32"/>
          <w:szCs w:val="32"/>
          <w:highlight w:val="none"/>
        </w:rPr>
      </w:pPr>
      <w:bookmarkStart w:id="480" w:name="_Toc2205"/>
      <w:bookmarkStart w:id="481" w:name="_Toc12332"/>
      <w:bookmarkStart w:id="482" w:name="_Toc22589"/>
      <w:bookmarkStart w:id="483" w:name="_Toc16269"/>
      <w:r>
        <w:rPr>
          <w:rFonts w:hint="eastAsia"/>
          <w:color w:val="auto"/>
          <w:sz w:val="32"/>
          <w:szCs w:val="32"/>
          <w:highlight w:val="none"/>
          <w:lang w:val="en-US" w:eastAsia="zh-CN"/>
        </w:rPr>
        <w:t>法定代表人或</w:t>
      </w:r>
      <w:r>
        <w:rPr>
          <w:rFonts w:hint="eastAsia"/>
          <w:color w:val="auto"/>
          <w:sz w:val="32"/>
          <w:szCs w:val="32"/>
          <w:highlight w:val="none"/>
        </w:rPr>
        <w:t>：</w:t>
      </w:r>
      <w:bookmarkEnd w:id="480"/>
      <w:bookmarkEnd w:id="481"/>
      <w:bookmarkEnd w:id="482"/>
      <w:bookmarkEnd w:id="483"/>
    </w:p>
    <w:p>
      <w:pPr>
        <w:pStyle w:val="28"/>
        <w:keepNext/>
        <w:keepLines/>
        <w:spacing w:after="20" w:line="480" w:lineRule="auto"/>
        <w:ind w:firstLine="640" w:firstLineChars="200"/>
        <w:jc w:val="both"/>
        <w:outlineLvl w:val="9"/>
        <w:rPr>
          <w:color w:val="auto"/>
          <w:sz w:val="32"/>
          <w:szCs w:val="32"/>
          <w:highlight w:val="none"/>
        </w:rPr>
      </w:pPr>
      <w:bookmarkStart w:id="484" w:name="_Toc9409"/>
      <w:bookmarkStart w:id="485" w:name="_Toc10057"/>
      <w:bookmarkStart w:id="486" w:name="_Toc14413"/>
      <w:bookmarkStart w:id="487"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4"/>
      <w:bookmarkEnd w:id="485"/>
      <w:bookmarkEnd w:id="486"/>
      <w:r>
        <w:rPr>
          <w:rFonts w:hint="eastAsia"/>
          <w:color w:val="auto"/>
          <w:sz w:val="32"/>
          <w:szCs w:val="32"/>
          <w:highlight w:val="none"/>
          <w:lang w:eastAsia="zh-CN"/>
        </w:rPr>
        <w:t>（签字或盖章）</w:t>
      </w:r>
      <w:bookmarkEnd w:id="487"/>
    </w:p>
    <w:p>
      <w:pPr>
        <w:pStyle w:val="28"/>
        <w:keepNext/>
        <w:keepLines/>
        <w:spacing w:after="20" w:line="480" w:lineRule="auto"/>
        <w:ind w:firstLine="640" w:firstLineChars="200"/>
        <w:jc w:val="both"/>
        <w:outlineLvl w:val="9"/>
        <w:rPr>
          <w:color w:val="auto"/>
          <w:sz w:val="32"/>
          <w:szCs w:val="32"/>
          <w:highlight w:val="none"/>
        </w:rPr>
      </w:pPr>
      <w:bookmarkStart w:id="488" w:name="_Toc6837"/>
      <w:bookmarkStart w:id="489" w:name="_Toc5915"/>
      <w:bookmarkStart w:id="490" w:name="_Toc8040"/>
      <w:bookmarkStart w:id="491" w:name="_Toc20118"/>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8"/>
      <w:bookmarkEnd w:id="489"/>
      <w:bookmarkEnd w:id="490"/>
      <w:bookmarkEnd w:id="491"/>
    </w:p>
    <w:p>
      <w:pPr>
        <w:pStyle w:val="28"/>
        <w:keepNext/>
        <w:keepLines/>
        <w:spacing w:after="20" w:line="480" w:lineRule="auto"/>
        <w:ind w:firstLine="640" w:firstLineChars="200"/>
        <w:jc w:val="both"/>
        <w:outlineLvl w:val="9"/>
        <w:rPr>
          <w:color w:val="auto"/>
          <w:highlight w:val="none"/>
        </w:rPr>
      </w:pPr>
      <w:bookmarkStart w:id="492" w:name="_Toc9013"/>
      <w:bookmarkStart w:id="493" w:name="_Toc18712"/>
      <w:bookmarkStart w:id="494" w:name="_Toc375"/>
      <w:bookmarkStart w:id="495" w:name="_Toc18129"/>
      <w:r>
        <w:rPr>
          <w:color w:val="auto"/>
          <w:sz w:val="32"/>
          <w:szCs w:val="32"/>
          <w:highlight w:val="none"/>
        </w:rPr>
        <w:t>编制时间</w:t>
      </w:r>
      <w:r>
        <w:rPr>
          <w:rFonts w:hint="eastAsia"/>
          <w:color w:val="auto"/>
          <w:sz w:val="32"/>
          <w:szCs w:val="32"/>
          <w:highlight w:val="none"/>
          <w:lang w:eastAsia="zh-CN"/>
        </w:rPr>
        <w:t>：</w:t>
      </w:r>
      <w:bookmarkEnd w:id="492"/>
      <w:bookmarkEnd w:id="493"/>
      <w:bookmarkEnd w:id="494"/>
      <w:bookmarkEnd w:id="495"/>
      <w:r>
        <w:rPr>
          <w:rFonts w:hint="eastAsia"/>
          <w:color w:val="auto"/>
          <w:sz w:val="32"/>
          <w:szCs w:val="32"/>
          <w:highlight w:val="none"/>
          <w:u w:val="single"/>
          <w:lang w:val="en-US" w:eastAsia="zh-CN"/>
        </w:rPr>
        <w:t xml:space="preserve">                 </w:t>
      </w:r>
    </w:p>
    <w:p>
      <w:pPr>
        <w:rPr>
          <w:b/>
          <w:bCs/>
          <w:color w:val="auto"/>
          <w:sz w:val="48"/>
          <w:szCs w:val="48"/>
          <w:highlight w:val="none"/>
        </w:rPr>
      </w:pPr>
      <w:bookmarkStart w:id="496" w:name="_Toc26844"/>
      <w:bookmarkStart w:id="497" w:name="_Toc14352"/>
      <w:r>
        <w:rPr>
          <w:b/>
          <w:bCs/>
          <w:color w:val="auto"/>
          <w:sz w:val="48"/>
          <w:szCs w:val="48"/>
          <w:highlight w:val="none"/>
        </w:rPr>
        <w:br w:type="page"/>
      </w:r>
    </w:p>
    <w:p>
      <w:pPr>
        <w:pStyle w:val="28"/>
        <w:keepNext/>
        <w:keepLines/>
        <w:spacing w:after="0" w:line="480" w:lineRule="auto"/>
        <w:jc w:val="center"/>
        <w:outlineLvl w:val="1"/>
        <w:rPr>
          <w:b/>
          <w:bCs/>
          <w:color w:val="auto"/>
          <w:sz w:val="48"/>
          <w:szCs w:val="48"/>
          <w:highlight w:val="none"/>
        </w:rPr>
      </w:pPr>
      <w:bookmarkStart w:id="498" w:name="_Toc25002"/>
      <w:bookmarkStart w:id="499" w:name="_Toc16376"/>
    </w:p>
    <w:p>
      <w:pPr>
        <w:pStyle w:val="28"/>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6"/>
      <w:bookmarkEnd w:id="497"/>
      <w:bookmarkEnd w:id="498"/>
      <w:bookmarkEnd w:id="499"/>
    </w:p>
    <w:p>
      <w:pPr>
        <w:pStyle w:val="26"/>
        <w:tabs>
          <w:tab w:val="left" w:pos="3828"/>
        </w:tabs>
        <w:spacing w:after="240" w:afterLines="100" w:line="480" w:lineRule="auto"/>
        <w:ind w:firstLine="0"/>
        <w:rPr>
          <w:color w:val="auto"/>
          <w:sz w:val="32"/>
          <w:szCs w:val="32"/>
          <w:highlight w:val="none"/>
        </w:rPr>
      </w:pPr>
    </w:p>
    <w:p>
      <w:pPr>
        <w:pStyle w:val="26"/>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6"/>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6"/>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6"/>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6"/>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6"/>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6"/>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1468"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8"/>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1468"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6"/>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1468" w:gutter="0"/>
          <w:pgNumType w:fmt="decimal"/>
          <w:cols w:space="0" w:num="1"/>
          <w:docGrid w:linePitch="360" w:charSpace="0"/>
        </w:sect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38"/>
        <w:spacing w:after="0" w:line="240" w:lineRule="auto"/>
        <w:jc w:val="center"/>
        <w:rPr>
          <w:color w:val="auto"/>
          <w:highlight w:val="none"/>
        </w:rPr>
        <w:sectPr>
          <w:footerReference r:id="rId34" w:type="default"/>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600" w:lineRule="exact"/>
        <w:rPr>
          <w:b w:val="0"/>
          <w:bCs w:val="0"/>
          <w:color w:val="auto"/>
          <w:highlight w:val="none"/>
        </w:rPr>
        <w:sectPr>
          <w:pgSz w:w="16838" w:h="11905" w:orient="landscape"/>
          <w:pgMar w:top="1417" w:right="1247" w:bottom="1417" w:left="1247" w:header="0" w:footer="1468" w:gutter="0"/>
          <w:pgNumType w:fmt="decimal"/>
          <w:cols w:space="0" w:num="1"/>
          <w:docGrid w:linePitch="360" w:charSpace="0"/>
        </w:sectPr>
      </w:pPr>
      <w:r>
        <w:rPr>
          <w:b w:val="0"/>
          <w:bCs w:val="0"/>
          <w:color w:val="auto"/>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rPr>
          <w:color w:val="auto"/>
          <w:highlight w:val="none"/>
        </w:rPr>
      </w:pPr>
    </w:p>
    <w:p>
      <w:pPr>
        <w:pStyle w:val="38"/>
        <w:spacing w:after="0" w:line="600" w:lineRule="exact"/>
        <w:rPr>
          <w:color w:val="auto"/>
          <w:sz w:val="21"/>
          <w:szCs w:val="21"/>
          <w:highlight w:val="none"/>
          <w:lang w:val="en-US" w:eastAsia="zh-CN"/>
        </w:rPr>
      </w:pPr>
    </w:p>
    <w:p>
      <w:pP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sectPr>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color w:val="auto"/>
          <w:highlight w:val="none"/>
        </w:r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240" w:lineRule="auto"/>
        <w:jc w:val="center"/>
        <w:rPr>
          <w:color w:val="auto"/>
          <w:highlight w:val="none"/>
        </w:rPr>
        <w:sectPr>
          <w:pgSz w:w="16838" w:h="11905" w:orient="landscape"/>
          <w:pgMar w:top="1417" w:right="1247" w:bottom="1417" w:left="124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6"/>
        <w:spacing w:after="0" w:line="460" w:lineRule="exact"/>
        <w:ind w:firstLine="680"/>
        <w:jc w:val="both"/>
        <w:rPr>
          <w:color w:val="auto"/>
          <w:sz w:val="21"/>
          <w:szCs w:val="21"/>
          <w:highlight w:val="none"/>
        </w:rPr>
      </w:pPr>
    </w:p>
    <w:p>
      <w:pPr>
        <w:pStyle w:val="26"/>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1468"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18"/>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含</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6"/>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spacing w:line="400" w:lineRule="exact"/>
        <w:jc w:val="center"/>
        <w:outlineLvl w:val="2"/>
        <w:rPr>
          <w:rFonts w:hint="eastAsia"/>
        </w:rPr>
      </w:pPr>
      <w:r>
        <w:rPr>
          <w:rStyle w:val="42"/>
          <w:rFonts w:hint="eastAsia"/>
          <w:sz w:val="32"/>
        </w:rPr>
        <w:t>三、</w:t>
      </w:r>
      <w:r>
        <w:rPr>
          <w:rStyle w:val="41"/>
          <w:rFonts w:hint="eastAsia"/>
          <w:b/>
          <w:snapToGrid w:val="0"/>
          <w:sz w:val="28"/>
          <w:szCs w:val="28"/>
        </w:rPr>
        <w:t>其他材料</w:t>
      </w: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snapToGrid w:val="0"/>
          <w:sz w:val="28"/>
          <w:szCs w:val="28"/>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1468" w:gutter="0"/>
          <w:pgNumType w:fmt="decimal"/>
          <w:cols w:space="0" w:num="1"/>
          <w:docGrid w:linePitch="360" w:charSpace="0"/>
        </w:sect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0" w:name="_Toc30619"/>
      <w:bookmarkStart w:id="501" w:name="_Toc13881"/>
    </w:p>
    <w:p>
      <w:pPr>
        <w:pStyle w:val="26"/>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6"/>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0"/>
      <w:bookmarkEnd w:id="501"/>
    </w:p>
    <w:p>
      <w:pPr>
        <w:pStyle w:val="26"/>
        <w:tabs>
          <w:tab w:val="left" w:pos="8348"/>
        </w:tabs>
        <w:spacing w:after="0" w:line="460" w:lineRule="exact"/>
        <w:ind w:firstLine="420" w:firstLineChars="200"/>
        <w:jc w:val="both"/>
        <w:rPr>
          <w:color w:val="auto"/>
          <w:sz w:val="21"/>
          <w:szCs w:val="21"/>
          <w:highlight w:val="none"/>
        </w:rPr>
      </w:pPr>
    </w:p>
    <w:p>
      <w:pPr>
        <w:pStyle w:val="26"/>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6"/>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6"/>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6"/>
        <w:spacing w:after="0" w:line="600" w:lineRule="exact"/>
        <w:ind w:firstLine="420" w:firstLineChars="200"/>
        <w:rPr>
          <w:color w:val="auto"/>
          <w:sz w:val="21"/>
          <w:szCs w:val="21"/>
          <w:highlight w:val="none"/>
        </w:rPr>
      </w:pPr>
      <w:r>
        <w:rPr>
          <w:color w:val="auto"/>
          <w:sz w:val="21"/>
          <w:szCs w:val="21"/>
          <w:highlight w:val="none"/>
        </w:rPr>
        <w:t>特此证明。</w:t>
      </w: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9"/>
        <w:keepNext/>
        <w:keepLines/>
        <w:tabs>
          <w:tab w:val="left" w:pos="5161"/>
        </w:tabs>
        <w:spacing w:after="0" w:line="600" w:lineRule="exact"/>
        <w:outlineLvl w:val="9"/>
        <w:rPr>
          <w:color w:val="auto"/>
          <w:sz w:val="48"/>
          <w:szCs w:val="48"/>
          <w:highlight w:val="none"/>
          <w:lang w:eastAsia="zh-CN"/>
        </w:rPr>
      </w:pPr>
    </w:p>
    <w:p>
      <w:pPr>
        <w:pStyle w:val="29"/>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28"/>
        <w:keepNext/>
        <w:keepLines/>
        <w:spacing w:before="240" w:beforeLines="100" w:after="120" w:afterLines="50"/>
        <w:jc w:val="center"/>
        <w:outlineLvl w:val="1"/>
        <w:rPr>
          <w:b/>
          <w:bCs/>
          <w:color w:val="auto"/>
          <w:sz w:val="36"/>
          <w:szCs w:val="36"/>
          <w:highlight w:val="none"/>
          <w:lang w:val="en-US" w:eastAsia="zh-CN"/>
        </w:rPr>
      </w:pPr>
      <w:bookmarkStart w:id="502" w:name="_Toc23829"/>
      <w:bookmarkStart w:id="503" w:name="_Toc11467"/>
      <w:r>
        <w:rPr>
          <w:rFonts w:hint="eastAsia"/>
          <w:b/>
          <w:bCs/>
          <w:color w:val="auto"/>
          <w:sz w:val="36"/>
          <w:szCs w:val="36"/>
          <w:highlight w:val="none"/>
          <w:lang w:val="en-US" w:eastAsia="zh-CN"/>
        </w:rPr>
        <w:t>二、授权委托书</w:t>
      </w:r>
      <w:bookmarkEnd w:id="502"/>
      <w:bookmarkEnd w:id="503"/>
    </w:p>
    <w:p>
      <w:pPr>
        <w:pStyle w:val="36"/>
        <w:spacing w:line="600" w:lineRule="exact"/>
        <w:ind w:firstLine="420" w:firstLineChars="200"/>
        <w:rPr>
          <w:color w:val="auto"/>
          <w:sz w:val="21"/>
          <w:szCs w:val="21"/>
          <w:highlight w:val="none"/>
          <w:lang w:eastAsia="zh-CN"/>
        </w:rPr>
      </w:pPr>
    </w:p>
    <w:p>
      <w:pPr>
        <w:pStyle w:val="26"/>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6"/>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6"/>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6"/>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6"/>
        <w:tabs>
          <w:tab w:val="left" w:pos="9736"/>
        </w:tabs>
        <w:spacing w:after="0" w:line="600" w:lineRule="exact"/>
        <w:ind w:firstLine="420" w:firstLineChars="200"/>
        <w:rPr>
          <w:color w:val="auto"/>
          <w:sz w:val="21"/>
          <w:szCs w:val="21"/>
          <w:highlight w:val="none"/>
          <w:lang w:val="en-US" w:eastAsia="zh-CN"/>
        </w:rPr>
      </w:pPr>
    </w:p>
    <w:p>
      <w:pPr>
        <w:pStyle w:val="26"/>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460" w:lineRule="exact"/>
        <w:ind w:firstLine="420" w:firstLineChars="200"/>
        <w:rPr>
          <w:color w:val="auto"/>
          <w:sz w:val="21"/>
          <w:szCs w:val="21"/>
          <w:highlight w:val="none"/>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28"/>
        <w:keepNext/>
        <w:keepLines/>
        <w:spacing w:before="240" w:beforeLines="100" w:after="120" w:afterLines="50"/>
        <w:jc w:val="center"/>
        <w:outlineLvl w:val="1"/>
        <w:rPr>
          <w:b/>
          <w:bCs/>
          <w:color w:val="auto"/>
          <w:sz w:val="36"/>
          <w:szCs w:val="36"/>
          <w:highlight w:val="none"/>
          <w:lang w:val="en-US" w:eastAsia="zh-CN"/>
        </w:rPr>
      </w:pPr>
      <w:bookmarkStart w:id="504" w:name="_Toc27482"/>
      <w:bookmarkStart w:id="505" w:name="_Toc13796"/>
      <w:r>
        <w:rPr>
          <w:rFonts w:hint="eastAsia"/>
          <w:b/>
          <w:bCs/>
          <w:color w:val="auto"/>
          <w:sz w:val="36"/>
          <w:szCs w:val="36"/>
          <w:highlight w:val="none"/>
          <w:lang w:val="en-US" w:eastAsia="zh-CN"/>
        </w:rPr>
        <w:t>三、联合体协议书</w:t>
      </w:r>
      <w:bookmarkEnd w:id="504"/>
      <w:r>
        <w:rPr>
          <w:rFonts w:hint="eastAsia"/>
          <w:b/>
          <w:bCs/>
          <w:color w:val="auto"/>
          <w:sz w:val="36"/>
          <w:szCs w:val="36"/>
          <w:highlight w:val="none"/>
          <w:lang w:val="en-US" w:eastAsia="zh-CN"/>
        </w:rPr>
        <w:t>（本项目不适用）</w:t>
      </w:r>
      <w:bookmarkEnd w:id="505"/>
    </w:p>
    <w:p>
      <w:pPr>
        <w:pStyle w:val="26"/>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6"/>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6"/>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6"/>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6"/>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s>
        <w:spacing w:after="0" w:line="460" w:lineRule="exact"/>
        <w:ind w:firstLine="420" w:firstLineChars="200"/>
        <w:rPr>
          <w:color w:val="auto"/>
          <w:sz w:val="21"/>
          <w:szCs w:val="21"/>
          <w:highlight w:val="none"/>
          <w:lang w:val="zh-CN" w:eastAsia="zh-CN" w:bidi="zh-CN"/>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 w:val="left" w:pos="9736"/>
        </w:tabs>
        <w:spacing w:after="0" w:line="460" w:lineRule="exact"/>
        <w:ind w:firstLine="420" w:firstLineChars="200"/>
        <w:rPr>
          <w:color w:val="auto"/>
          <w:sz w:val="21"/>
          <w:szCs w:val="21"/>
          <w:highlight w:val="none"/>
        </w:rPr>
      </w:pPr>
    </w:p>
    <w:p>
      <w:pPr>
        <w:pStyle w:val="26"/>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7"/>
        <w:spacing w:after="240" w:line="240" w:lineRule="auto"/>
        <w:ind w:firstLine="620"/>
        <w:jc w:val="both"/>
        <w:rPr>
          <w:color w:val="auto"/>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6" w:name="_Toc22250"/>
      <w:bookmarkStart w:id="507" w:name="_Toc27276"/>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6"/>
      <w:bookmarkEnd w:id="507"/>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投标保证金由评标专家在系统中核查</w:t>
      </w:r>
      <w:r>
        <w:rPr>
          <w:rFonts w:hint="eastAsia" w:ascii="宋体" w:hAnsi="宋体" w:eastAsia="宋体" w:cs="宋体"/>
          <w:color w:val="000000" w:themeColor="text1"/>
          <w:sz w:val="24"/>
          <w:szCs w:val="24"/>
          <w:highlight w:val="none"/>
          <w14:textFill>
            <w14:solidFill>
              <w14:schemeClr w14:val="tx1"/>
            </w14:solidFill>
          </w14:textFill>
        </w:rPr>
        <w:t>）</w:t>
      </w:r>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bookmarkStart w:id="508" w:name="_Toc12289"/>
      <w:bookmarkStart w:id="509" w:name="_Toc19463"/>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8"/>
      <w:bookmarkEnd w:id="509"/>
    </w:p>
    <w:p>
      <w:pPr>
        <w:pStyle w:val="29"/>
        <w:keepNext/>
        <w:keepLines/>
        <w:spacing w:after="0" w:line="600" w:lineRule="exact"/>
        <w:outlineLvl w:val="9"/>
        <w:rPr>
          <w:b/>
          <w:bCs/>
          <w:color w:val="auto"/>
          <w:sz w:val="24"/>
          <w:szCs w:val="24"/>
          <w:highlight w:val="none"/>
        </w:rPr>
      </w:pPr>
      <w:bookmarkStart w:id="510" w:name="_Toc12267"/>
      <w:bookmarkStart w:id="511" w:name="_Toc1299"/>
      <w:bookmarkStart w:id="512" w:name="_Toc9817"/>
      <w:bookmarkStart w:id="513" w:name="_Toc29365"/>
      <w:r>
        <w:rPr>
          <w:rFonts w:hint="eastAsia"/>
          <w:b/>
          <w:bCs/>
          <w:color w:val="auto"/>
          <w:sz w:val="24"/>
          <w:szCs w:val="24"/>
          <w:highlight w:val="none"/>
          <w:lang w:eastAsia="zh-CN"/>
        </w:rPr>
        <w:t>（</w:t>
      </w:r>
      <w:r>
        <w:rPr>
          <w:b/>
          <w:bCs/>
          <w:color w:val="auto"/>
          <w:sz w:val="24"/>
          <w:szCs w:val="24"/>
          <w:highlight w:val="none"/>
        </w:rPr>
        <w:t>一）项目管理机构组成表</w:t>
      </w:r>
      <w:bookmarkEnd w:id="510"/>
      <w:bookmarkEnd w:id="511"/>
      <w:bookmarkEnd w:id="512"/>
      <w:bookmarkEnd w:id="513"/>
    </w:p>
    <w:tbl>
      <w:tblPr>
        <w:tblStyle w:val="18"/>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2"/>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spacing w:val="2"/>
          <w:sz w:val="21"/>
          <w:szCs w:val="21"/>
        </w:rPr>
      </w:pPr>
      <w:bookmarkStart w:id="514" w:name="_Toc23014"/>
      <w:bookmarkStart w:id="515" w:name="_Toc1163"/>
      <w:bookmarkStart w:id="516" w:name="_Toc29699"/>
    </w:p>
    <w:p>
      <w:pPr>
        <w:spacing w:before="29" w:line="253" w:lineRule="auto"/>
        <w:ind w:right="41"/>
        <w:sectPr>
          <w:footerReference r:id="rId39" w:type="default"/>
          <w:pgSz w:w="11907" w:h="16841"/>
          <w:pgMar w:top="400" w:right="1433" w:bottom="1278" w:left="1493" w:header="0" w:footer="1117" w:gutter="0"/>
          <w:pgNumType w:fmt="decimal"/>
          <w:cols w:space="720" w:num="1"/>
        </w:sectPr>
      </w:pPr>
      <w:r>
        <w:rPr>
          <w:rFonts w:ascii="宋体" w:hAnsi="宋体" w:eastAsia="宋体" w:cs="宋体"/>
          <w:spacing w:val="2"/>
          <w:sz w:val="21"/>
          <w:szCs w:val="21"/>
        </w:rPr>
        <w:t>注：拟派项目管理机构主要人员必须在浙江省水利厅“透明工程”应用</w:t>
      </w:r>
      <w:r>
        <w:rPr>
          <w:rFonts w:ascii="宋体" w:hAnsi="宋体" w:eastAsia="宋体" w:cs="宋体"/>
          <w:spacing w:val="1"/>
          <w:sz w:val="21"/>
          <w:szCs w:val="21"/>
        </w:rPr>
        <w:t>上已经公示。投标人</w:t>
      </w:r>
      <w:r>
        <w:rPr>
          <w:rFonts w:ascii="宋体" w:hAnsi="宋体" w:eastAsia="宋体" w:cs="宋体"/>
          <w:spacing w:val="-1"/>
          <w:sz w:val="21"/>
          <w:szCs w:val="21"/>
        </w:rPr>
        <w:t>应在“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、原件的复制件”中提供公示网页</w:t>
      </w:r>
      <w:r>
        <w:rPr>
          <w:rFonts w:ascii="宋体" w:hAnsi="宋体" w:eastAsia="宋体" w:cs="宋体"/>
          <w:sz w:val="21"/>
          <w:szCs w:val="21"/>
        </w:rPr>
        <w:t>的打印件。</w:t>
      </w:r>
    </w:p>
    <w:p>
      <w:pPr>
        <w:pStyle w:val="29"/>
        <w:keepNext/>
        <w:keepLines/>
        <w:spacing w:after="0" w:line="600" w:lineRule="exact"/>
        <w:outlineLvl w:val="9"/>
        <w:rPr>
          <w:b/>
          <w:bCs/>
          <w:color w:val="auto"/>
          <w:sz w:val="24"/>
          <w:szCs w:val="24"/>
          <w:highlight w:val="none"/>
        </w:rPr>
      </w:pPr>
      <w:bookmarkStart w:id="517" w:name="_Toc12968"/>
      <w:r>
        <w:rPr>
          <w:rFonts w:hint="eastAsia"/>
          <w:b/>
          <w:bCs/>
          <w:color w:val="auto"/>
          <w:sz w:val="24"/>
          <w:szCs w:val="24"/>
          <w:highlight w:val="none"/>
          <w:lang w:eastAsia="zh-CN"/>
        </w:rPr>
        <w:t>（</w:t>
      </w:r>
      <w:r>
        <w:rPr>
          <w:b/>
          <w:bCs/>
          <w:color w:val="auto"/>
          <w:sz w:val="24"/>
          <w:szCs w:val="24"/>
          <w:highlight w:val="none"/>
        </w:rPr>
        <w:t>二）主要人员简历表</w:t>
      </w:r>
      <w:bookmarkEnd w:id="514"/>
      <w:bookmarkEnd w:id="515"/>
      <w:bookmarkEnd w:id="516"/>
      <w:bookmarkEnd w:id="517"/>
    </w:p>
    <w:tbl>
      <w:tblPr>
        <w:tblStyle w:val="18"/>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2"/>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sz w:val="21"/>
          <w:szCs w:val="21"/>
        </w:rPr>
      </w:pPr>
      <w:r>
        <w:rPr>
          <w:rFonts w:ascii="宋体" w:hAnsi="宋体" w:eastAsia="宋体" w:cs="宋体"/>
          <w:spacing w:val="-1"/>
          <w:sz w:val="21"/>
          <w:szCs w:val="21"/>
        </w:rPr>
        <w:t>注：主要人员指项目负责人、技术负</w:t>
      </w:r>
      <w:r>
        <w:rPr>
          <w:rFonts w:ascii="宋体" w:hAnsi="宋体" w:eastAsia="宋体" w:cs="宋体"/>
          <w:sz w:val="21"/>
          <w:szCs w:val="21"/>
        </w:rPr>
        <w:t>责人、专职安全生产管理人员、施工员、质检员、安全员。</w:t>
      </w:r>
    </w:p>
    <w:p>
      <w:pPr>
        <w:pStyle w:val="30"/>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28"/>
        <w:keepNext/>
        <w:keepLines/>
        <w:spacing w:before="240" w:beforeLines="100" w:after="120" w:afterLines="50"/>
        <w:jc w:val="center"/>
        <w:outlineLvl w:val="1"/>
        <w:rPr>
          <w:b/>
          <w:bCs/>
          <w:color w:val="auto"/>
          <w:sz w:val="32"/>
          <w:szCs w:val="32"/>
          <w:highlight w:val="none"/>
          <w:lang w:val="en-US" w:eastAsia="en-US"/>
        </w:rPr>
      </w:pPr>
      <w:bookmarkStart w:id="518" w:name="_Toc20658"/>
      <w:bookmarkStart w:id="519" w:name="_Toc24453"/>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8"/>
      <w:bookmarkEnd w:id="519"/>
    </w:p>
    <w:tbl>
      <w:tblPr>
        <w:tblStyle w:val="18"/>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2"/>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1468" w:gutter="0"/>
          <w:pgNumType w:fmt="decimal"/>
          <w:cols w:space="0" w:num="1"/>
          <w:docGrid w:linePitch="360" w:charSpace="0"/>
        </w:sectPr>
      </w:pPr>
    </w:p>
    <w:p>
      <w:pPr>
        <w:pStyle w:val="28"/>
        <w:keepNext/>
        <w:keepLines/>
        <w:spacing w:before="240" w:beforeLines="100" w:after="120" w:afterLines="50"/>
        <w:jc w:val="center"/>
        <w:outlineLvl w:val="1"/>
        <w:rPr>
          <w:b/>
          <w:bCs/>
          <w:color w:val="auto"/>
          <w:sz w:val="32"/>
          <w:szCs w:val="32"/>
          <w:highlight w:val="none"/>
          <w:lang w:val="en-US" w:eastAsia="en-US"/>
        </w:rPr>
      </w:pPr>
      <w:bookmarkStart w:id="520" w:name="_Toc10"/>
      <w:bookmarkStart w:id="521" w:name="_Toc570"/>
      <w:bookmarkStart w:id="522" w:name="_Toc12135"/>
      <w:bookmarkStart w:id="523" w:name="_Toc76053302"/>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0"/>
      <w:bookmarkEnd w:id="521"/>
      <w:bookmarkEnd w:id="522"/>
      <w:bookmarkEnd w:id="523"/>
    </w:p>
    <w:p>
      <w:pPr>
        <w:pStyle w:val="29"/>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4" w:name="_Toc5689"/>
      <w:bookmarkStart w:id="525" w:name="_Toc8509"/>
      <w:bookmarkStart w:id="526" w:name="_Toc13546"/>
      <w:bookmarkStart w:id="527" w:name="_Toc1187"/>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4"/>
      <w:bookmarkEnd w:id="525"/>
      <w:bookmarkEnd w:id="526"/>
      <w:bookmarkEnd w:id="527"/>
    </w:p>
    <w:tbl>
      <w:tblPr>
        <w:tblStyle w:val="18"/>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widowControl w:val="0"/>
        <w:spacing w:line="360" w:lineRule="exact"/>
        <w:rPr>
          <w:color w:val="auto"/>
          <w:highlight w:val="no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bookmarkStart w:id="528" w:name="_Toc3169"/>
      <w:bookmarkStart w:id="529" w:name="_Toc18580"/>
      <w:bookmarkStart w:id="530" w:name="_Toc28029"/>
      <w:bookmarkStart w:id="531" w:name="_Toc14473"/>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b/>
          <w:bCs/>
          <w:snapToGrid/>
          <w:color w:val="auto"/>
          <w:kern w:val="0"/>
          <w:sz w:val="28"/>
          <w:szCs w:val="28"/>
          <w:highlight w:val="none"/>
          <w:lang w:val="zh-TW" w:eastAsia="zh-TW" w:bidi="zh-TW"/>
        </w:rPr>
      </w:pPr>
    </w:p>
    <w:p>
      <w:pPr>
        <w:numPr>
          <w:ilvl w:val="0"/>
          <w:numId w:val="3"/>
        </w:num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近年财务状况</w:t>
      </w:r>
    </w:p>
    <w:p>
      <w:pPr>
        <w:numPr>
          <w:ilvl w:val="0"/>
          <w:numId w:val="0"/>
        </w:numPr>
        <w:spacing w:before="69" w:line="221" w:lineRule="auto"/>
        <w:jc w:val="center"/>
        <w:rPr>
          <w:rFonts w:hint="eastAsia" w:ascii="宋体" w:hAnsi="宋体" w:eastAsia="宋体" w:cs="宋体"/>
          <w:b/>
          <w:bCs/>
          <w:snapToGrid/>
          <w:color w:val="auto"/>
          <w:kern w:val="0"/>
          <w:sz w:val="28"/>
          <w:szCs w:val="28"/>
          <w:highlight w:val="none"/>
          <w:lang w:val="en-US" w:eastAsia="zh-CN" w:bidi="zh-TW"/>
        </w:rPr>
      </w:pPr>
      <w:r>
        <w:rPr>
          <w:rFonts w:ascii="宋体" w:hAnsi="宋体" w:eastAsia="宋体" w:cs="宋体"/>
          <w:b/>
          <w:bCs/>
          <w:snapToGrid/>
          <w:color w:val="auto"/>
          <w:kern w:val="0"/>
          <w:sz w:val="28"/>
          <w:szCs w:val="28"/>
          <w:highlight w:val="none"/>
          <w:lang w:val="zh-TW" w:eastAsia="zh-TW" w:bidi="zh-TW"/>
        </w:rPr>
        <w:t>财务状况</w:t>
      </w:r>
      <w:r>
        <w:rPr>
          <w:rFonts w:hint="eastAsia" w:ascii="宋体" w:hAnsi="宋体" w:eastAsia="宋体" w:cs="宋体"/>
          <w:b/>
          <w:bCs/>
          <w:snapToGrid/>
          <w:color w:val="auto"/>
          <w:kern w:val="0"/>
          <w:sz w:val="28"/>
          <w:szCs w:val="28"/>
          <w:highlight w:val="none"/>
          <w:lang w:val="en-US" w:eastAsia="zh-CN" w:bidi="zh-TW"/>
        </w:rPr>
        <w:t>表</w:t>
      </w:r>
    </w:p>
    <w:p/>
    <w:p>
      <w:pPr>
        <w:spacing w:line="21"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9"/>
        <w:gridCol w:w="1160"/>
        <w:gridCol w:w="1802"/>
        <w:gridCol w:w="1804"/>
        <w:gridCol w:w="18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64" w:line="221" w:lineRule="auto"/>
              <w:ind w:left="682"/>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1160" w:type="dxa"/>
            <w:vAlign w:val="top"/>
          </w:tcPr>
          <w:p>
            <w:pPr>
              <w:spacing w:before="164" w:line="221" w:lineRule="auto"/>
              <w:ind w:left="374"/>
              <w:rPr>
                <w:rFonts w:ascii="宋体" w:hAnsi="宋体" w:eastAsia="宋体" w:cs="宋体"/>
                <w:sz w:val="21"/>
                <w:szCs w:val="21"/>
              </w:rPr>
            </w:pPr>
            <w:r>
              <w:rPr>
                <w:rFonts w:ascii="宋体" w:hAnsi="宋体" w:eastAsia="宋体" w:cs="宋体"/>
                <w:spacing w:val="-2"/>
                <w:sz w:val="21"/>
                <w:szCs w:val="21"/>
              </w:rPr>
              <w:t>单位</w:t>
            </w:r>
          </w:p>
        </w:tc>
        <w:tc>
          <w:tcPr>
            <w:tcW w:w="1802" w:type="dxa"/>
            <w:vAlign w:val="top"/>
          </w:tcPr>
          <w:p>
            <w:pPr>
              <w:tabs>
                <w:tab w:val="left" w:pos="1115"/>
              </w:tabs>
              <w:spacing w:before="163" w:line="221" w:lineRule="auto"/>
              <w:ind w:left="476"/>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04" w:type="dxa"/>
            <w:vAlign w:val="top"/>
          </w:tcPr>
          <w:p>
            <w:pPr>
              <w:tabs>
                <w:tab w:val="left" w:pos="1121"/>
              </w:tabs>
              <w:spacing w:before="163" w:line="221" w:lineRule="auto"/>
              <w:ind w:left="48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12" w:type="dxa"/>
            <w:tcBorders>
              <w:right w:val="single" w:color="000000" w:sz="6" w:space="0"/>
            </w:tcBorders>
            <w:vAlign w:val="top"/>
          </w:tcPr>
          <w:p>
            <w:pPr>
              <w:tabs>
                <w:tab w:val="left" w:pos="1123"/>
              </w:tabs>
              <w:spacing w:before="163" w:line="221" w:lineRule="auto"/>
              <w:ind w:left="48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47" w:line="222" w:lineRule="auto"/>
              <w:ind w:left="114"/>
              <w:rPr>
                <w:rFonts w:ascii="宋体" w:hAnsi="宋体" w:eastAsia="宋体" w:cs="宋体"/>
                <w:sz w:val="21"/>
                <w:szCs w:val="21"/>
              </w:rPr>
            </w:pPr>
            <w:r>
              <w:rPr>
                <w:rFonts w:ascii="宋体" w:hAnsi="宋体" w:eastAsia="宋体" w:cs="宋体"/>
                <w:spacing w:val="-2"/>
                <w:sz w:val="21"/>
                <w:szCs w:val="21"/>
              </w:rPr>
              <w:t>一、</w:t>
            </w:r>
            <w:r>
              <w:rPr>
                <w:rFonts w:ascii="宋体" w:hAnsi="宋体" w:eastAsia="宋体" w:cs="宋体"/>
                <w:spacing w:val="-1"/>
                <w:sz w:val="21"/>
                <w:szCs w:val="21"/>
              </w:rPr>
              <w:t>注册资金</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49" w:line="221" w:lineRule="auto"/>
              <w:ind w:left="114"/>
              <w:rPr>
                <w:rFonts w:ascii="宋体" w:hAnsi="宋体" w:eastAsia="宋体" w:cs="宋体"/>
                <w:sz w:val="21"/>
                <w:szCs w:val="21"/>
              </w:rPr>
            </w:pPr>
            <w:r>
              <w:rPr>
                <w:rFonts w:ascii="宋体" w:hAnsi="宋体" w:eastAsia="宋体" w:cs="宋体"/>
                <w:spacing w:val="-2"/>
                <w:sz w:val="21"/>
                <w:szCs w:val="21"/>
              </w:rPr>
              <w:t>二、净</w:t>
            </w:r>
            <w:r>
              <w:rPr>
                <w:rFonts w:ascii="宋体" w:hAnsi="宋体" w:eastAsia="宋体" w:cs="宋体"/>
                <w:spacing w:val="-1"/>
                <w:sz w:val="21"/>
                <w:szCs w:val="21"/>
              </w:rPr>
              <w:t>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0" w:line="221" w:lineRule="auto"/>
              <w:ind w:left="110"/>
              <w:rPr>
                <w:rFonts w:ascii="宋体" w:hAnsi="宋体" w:eastAsia="宋体" w:cs="宋体"/>
                <w:sz w:val="21"/>
                <w:szCs w:val="21"/>
              </w:rPr>
            </w:pPr>
            <w:r>
              <w:rPr>
                <w:rFonts w:ascii="宋体" w:hAnsi="宋体" w:eastAsia="宋体" w:cs="宋体"/>
                <w:spacing w:val="-1"/>
                <w:sz w:val="21"/>
                <w:szCs w:val="21"/>
              </w:rPr>
              <w:t>三、总资产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199" w:type="dxa"/>
            <w:tcBorders>
              <w:left w:val="single" w:color="000000" w:sz="6" w:space="0"/>
            </w:tcBorders>
            <w:vAlign w:val="top"/>
          </w:tcPr>
          <w:p>
            <w:pPr>
              <w:spacing w:before="148" w:line="221" w:lineRule="auto"/>
              <w:ind w:left="130"/>
              <w:rPr>
                <w:rFonts w:ascii="宋体" w:hAnsi="宋体" w:eastAsia="宋体" w:cs="宋体"/>
                <w:sz w:val="21"/>
                <w:szCs w:val="21"/>
              </w:rPr>
            </w:pPr>
            <w:r>
              <w:rPr>
                <w:rFonts w:ascii="宋体" w:hAnsi="宋体" w:eastAsia="宋体" w:cs="宋体"/>
                <w:spacing w:val="-5"/>
                <w:sz w:val="21"/>
                <w:szCs w:val="21"/>
              </w:rPr>
              <w:t>四</w:t>
            </w:r>
            <w:r>
              <w:rPr>
                <w:rFonts w:ascii="宋体" w:hAnsi="宋体" w:eastAsia="宋体" w:cs="宋体"/>
                <w:spacing w:val="-4"/>
                <w:sz w:val="21"/>
                <w:szCs w:val="21"/>
              </w:rPr>
              <w:t>、固定资产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1" w:line="221" w:lineRule="auto"/>
              <w:ind w:left="114"/>
              <w:rPr>
                <w:rFonts w:ascii="宋体" w:hAnsi="宋体" w:eastAsia="宋体" w:cs="宋体"/>
                <w:sz w:val="21"/>
                <w:szCs w:val="21"/>
              </w:rPr>
            </w:pPr>
            <w:r>
              <w:rPr>
                <w:rFonts w:ascii="宋体" w:hAnsi="宋体" w:eastAsia="宋体" w:cs="宋体"/>
                <w:spacing w:val="-2"/>
                <w:sz w:val="21"/>
                <w:szCs w:val="21"/>
              </w:rPr>
              <w:t>五、</w:t>
            </w:r>
            <w:r>
              <w:rPr>
                <w:rFonts w:ascii="宋体" w:hAnsi="宋体" w:eastAsia="宋体" w:cs="宋体"/>
                <w:spacing w:val="-1"/>
                <w:sz w:val="21"/>
                <w:szCs w:val="21"/>
              </w:rPr>
              <w:t>流动资产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2" w:line="221" w:lineRule="auto"/>
              <w:ind w:left="112"/>
              <w:rPr>
                <w:rFonts w:ascii="宋体" w:hAnsi="宋体" w:eastAsia="宋体" w:cs="宋体"/>
                <w:sz w:val="21"/>
                <w:szCs w:val="21"/>
              </w:rPr>
            </w:pPr>
            <w:r>
              <w:rPr>
                <w:rFonts w:ascii="宋体" w:hAnsi="宋体" w:eastAsia="宋体" w:cs="宋体"/>
                <w:spacing w:val="-2"/>
                <w:sz w:val="21"/>
                <w:szCs w:val="21"/>
              </w:rPr>
              <w:t>六</w:t>
            </w:r>
            <w:r>
              <w:rPr>
                <w:rFonts w:ascii="宋体" w:hAnsi="宋体" w:eastAsia="宋体" w:cs="宋体"/>
                <w:spacing w:val="-1"/>
                <w:sz w:val="21"/>
                <w:szCs w:val="21"/>
              </w:rPr>
              <w:t>、流动负债</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50" w:line="221" w:lineRule="auto"/>
              <w:ind w:left="109"/>
              <w:rPr>
                <w:rFonts w:ascii="宋体" w:hAnsi="宋体" w:eastAsia="宋体" w:cs="宋体"/>
                <w:sz w:val="21"/>
                <w:szCs w:val="21"/>
              </w:rPr>
            </w:pPr>
            <w:r>
              <w:rPr>
                <w:rFonts w:ascii="宋体" w:hAnsi="宋体" w:eastAsia="宋体" w:cs="宋体"/>
                <w:spacing w:val="-1"/>
                <w:sz w:val="21"/>
                <w:szCs w:val="21"/>
              </w:rPr>
              <w:t>七、负债</w:t>
            </w:r>
            <w:r>
              <w:rPr>
                <w:rFonts w:ascii="宋体" w:hAnsi="宋体" w:eastAsia="宋体" w:cs="宋体"/>
                <w:sz w:val="21"/>
                <w:szCs w:val="21"/>
              </w:rPr>
              <w:t>合计</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3" w:line="221" w:lineRule="auto"/>
              <w:ind w:left="114"/>
              <w:rPr>
                <w:rFonts w:ascii="宋体" w:hAnsi="宋体" w:eastAsia="宋体" w:cs="宋体"/>
                <w:sz w:val="21"/>
                <w:szCs w:val="21"/>
              </w:rPr>
            </w:pPr>
            <w:r>
              <w:rPr>
                <w:rFonts w:ascii="宋体" w:hAnsi="宋体" w:eastAsia="宋体" w:cs="宋体"/>
                <w:spacing w:val="-2"/>
                <w:sz w:val="21"/>
                <w:szCs w:val="21"/>
              </w:rPr>
              <w:t>八、</w:t>
            </w:r>
            <w:r>
              <w:rPr>
                <w:rFonts w:ascii="宋体" w:hAnsi="宋体" w:eastAsia="宋体" w:cs="宋体"/>
                <w:spacing w:val="-1"/>
                <w:sz w:val="21"/>
                <w:szCs w:val="21"/>
              </w:rPr>
              <w:t>营业收入</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4" w:line="221" w:lineRule="auto"/>
              <w:ind w:left="115"/>
              <w:rPr>
                <w:rFonts w:ascii="宋体" w:hAnsi="宋体" w:eastAsia="宋体" w:cs="宋体"/>
                <w:sz w:val="21"/>
                <w:szCs w:val="21"/>
              </w:rPr>
            </w:pPr>
            <w:r>
              <w:rPr>
                <w:rFonts w:ascii="宋体" w:hAnsi="宋体" w:eastAsia="宋体" w:cs="宋体"/>
                <w:spacing w:val="-2"/>
                <w:sz w:val="21"/>
                <w:szCs w:val="21"/>
              </w:rPr>
              <w:t>九、净利润</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52" w:line="225"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bl>
    <w:p>
      <w:pPr>
        <w:sectPr>
          <w:footerReference r:id="rId42" w:type="default"/>
          <w:pgSz w:w="11907" w:h="16841"/>
          <w:pgMar w:top="400" w:right="1591" w:bottom="1278" w:left="1522" w:header="0" w:footer="1117" w:gutter="0"/>
          <w:pgNumType w:fmt="decimal"/>
          <w:cols w:space="720" w:num="1"/>
        </w:sectPr>
      </w:pPr>
    </w:p>
    <w:p>
      <w:p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(三)近年完成的类似项目情况表</w:t>
      </w:r>
    </w:p>
    <w:p>
      <w:pPr>
        <w:spacing w:before="166" w:line="220" w:lineRule="auto"/>
        <w:ind w:left="2789"/>
        <w:rPr>
          <w:rFonts w:ascii="宋体" w:hAnsi="宋体" w:eastAsia="宋体" w:cs="宋体"/>
          <w:b/>
          <w:bCs/>
          <w:sz w:val="28"/>
          <w:szCs w:val="28"/>
        </w:rPr>
      </w:pPr>
      <w:r>
        <w:rPr>
          <w:rFonts w:ascii="宋体" w:hAnsi="宋体" w:eastAsia="宋体" w:cs="宋体"/>
          <w:b/>
          <w:bCs/>
          <w:spacing w:val="-1"/>
          <w:sz w:val="28"/>
          <w:szCs w:val="28"/>
        </w:rPr>
        <w:t>近年完成的类似项</w:t>
      </w:r>
      <w:r>
        <w:rPr>
          <w:rFonts w:ascii="宋体" w:hAnsi="宋体" w:eastAsia="宋体" w:cs="宋体"/>
          <w:b/>
          <w:bCs/>
          <w:sz w:val="28"/>
          <w:szCs w:val="28"/>
        </w:rPr>
        <w:t>目情况表</w:t>
      </w:r>
    </w:p>
    <w:p>
      <w:pPr>
        <w:keepNext w:val="0"/>
        <w:keepLines w:val="0"/>
        <w:pageBreakBefore w:val="0"/>
        <w:widowControl/>
        <w:kinsoku w:val="0"/>
        <w:wordWrap/>
        <w:overflowPunct/>
        <w:topLinePunct w:val="0"/>
        <w:autoSpaceDE w:val="0"/>
        <w:autoSpaceDN w:val="0"/>
        <w:bidi w:val="0"/>
        <w:adjustRightInd w:val="0"/>
        <w:snapToGrid w:val="0"/>
        <w:spacing w:before="142" w:line="221" w:lineRule="auto"/>
        <w:ind w:left="1593"/>
        <w:textAlignment w:val="baseline"/>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
          <w:sz w:val="24"/>
          <w:szCs w:val="24"/>
        </w:rPr>
        <w:t>近年指</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日至</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w:t>
      </w:r>
    </w:p>
    <w:p>
      <w:pPr>
        <w:spacing w:line="148"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6"/>
        <w:gridCol w:w="65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2206" w:type="dxa"/>
            <w:tcBorders>
              <w:left w:val="single" w:color="000000" w:sz="6" w:space="0"/>
            </w:tcBorders>
            <w:vAlign w:val="top"/>
          </w:tcPr>
          <w:p>
            <w:pPr>
              <w:spacing w:before="223" w:line="223" w:lineRule="auto"/>
              <w:ind w:left="682"/>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7" w:line="221" w:lineRule="auto"/>
              <w:ind w:left="368"/>
              <w:rPr>
                <w:rFonts w:ascii="宋体" w:hAnsi="宋体" w:eastAsia="宋体" w:cs="宋体"/>
                <w:sz w:val="21"/>
                <w:szCs w:val="21"/>
              </w:rPr>
            </w:pPr>
            <w:r>
              <w:rPr>
                <w:rFonts w:ascii="宋体" w:hAnsi="宋体" w:eastAsia="宋体" w:cs="宋体"/>
                <w:spacing w:val="-1"/>
                <w:sz w:val="21"/>
                <w:szCs w:val="21"/>
              </w:rPr>
              <w:t>合同项目所在</w:t>
            </w:r>
            <w:r>
              <w:rPr>
                <w:rFonts w:ascii="宋体" w:hAnsi="宋体" w:eastAsia="宋体" w:cs="宋体"/>
                <w:sz w:val="21"/>
                <w:szCs w:val="21"/>
              </w:rPr>
              <w:t>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0"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21" w:lineRule="auto"/>
              <w:ind w:left="579"/>
              <w:rPr>
                <w:rFonts w:ascii="宋体" w:hAnsi="宋体" w:eastAsia="宋体" w:cs="宋体"/>
                <w:sz w:val="21"/>
                <w:szCs w:val="21"/>
              </w:rPr>
            </w:pPr>
            <w:r>
              <w:rPr>
                <w:rFonts w:ascii="宋体" w:hAnsi="宋体" w:eastAsia="宋体" w:cs="宋体"/>
                <w:spacing w:val="-2"/>
                <w:sz w:val="21"/>
                <w:szCs w:val="21"/>
              </w:rPr>
              <w:t>发包人地</w:t>
            </w:r>
            <w:r>
              <w:rPr>
                <w:rFonts w:ascii="宋体" w:hAnsi="宋体" w:eastAsia="宋体" w:cs="宋体"/>
                <w:spacing w:val="-1"/>
                <w:sz w:val="21"/>
                <w:szCs w:val="21"/>
              </w:rPr>
              <w:t>址</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19" w:lineRule="auto"/>
              <w:ind w:left="576"/>
              <w:rPr>
                <w:rFonts w:ascii="宋体" w:hAnsi="宋体" w:eastAsia="宋体" w:cs="宋体"/>
                <w:sz w:val="21"/>
                <w:szCs w:val="21"/>
              </w:rPr>
            </w:pPr>
            <w:r>
              <w:rPr>
                <w:rFonts w:ascii="宋体" w:hAnsi="宋体" w:eastAsia="宋体" w:cs="宋体"/>
                <w:spacing w:val="-1"/>
                <w:sz w:val="21"/>
                <w:szCs w:val="21"/>
              </w:rPr>
              <w:t>签约合同价</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1" w:line="221" w:lineRule="auto"/>
              <w:ind w:left="682"/>
              <w:rPr>
                <w:rFonts w:ascii="宋体" w:hAnsi="宋体" w:eastAsia="宋体" w:cs="宋体"/>
                <w:sz w:val="21"/>
                <w:szCs w:val="21"/>
              </w:rPr>
            </w:pPr>
            <w:r>
              <w:rPr>
                <w:rFonts w:ascii="宋体" w:hAnsi="宋体" w:eastAsia="宋体" w:cs="宋体"/>
                <w:spacing w:val="-2"/>
                <w:sz w:val="21"/>
                <w:szCs w:val="21"/>
              </w:rPr>
              <w:t>开工</w:t>
            </w:r>
            <w:r>
              <w:rPr>
                <w:rFonts w:ascii="宋体" w:hAnsi="宋体" w:eastAsia="宋体" w:cs="宋体"/>
                <w:spacing w:val="-1"/>
                <w:sz w:val="21"/>
                <w:szCs w:val="21"/>
              </w:rPr>
              <w:t>日期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683"/>
              <w:rPr>
                <w:rFonts w:ascii="宋体" w:hAnsi="宋体" w:eastAsia="宋体" w:cs="宋体"/>
                <w:sz w:val="21"/>
                <w:szCs w:val="21"/>
              </w:rPr>
            </w:pPr>
            <w:r>
              <w:rPr>
                <w:rFonts w:ascii="宋体" w:hAnsi="宋体" w:eastAsia="宋体" w:cs="宋体"/>
                <w:spacing w:val="-2"/>
                <w:sz w:val="21"/>
                <w:szCs w:val="21"/>
              </w:rPr>
              <w:t>完工日</w:t>
            </w:r>
            <w:r>
              <w:rPr>
                <w:rFonts w:ascii="宋体" w:hAnsi="宋体" w:eastAsia="宋体" w:cs="宋体"/>
                <w:spacing w:val="-1"/>
                <w:sz w:val="21"/>
                <w:szCs w:val="21"/>
              </w:rPr>
              <w:t>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576"/>
              <w:rPr>
                <w:rFonts w:ascii="宋体" w:hAnsi="宋体" w:eastAsia="宋体" w:cs="宋体"/>
                <w:sz w:val="21"/>
                <w:szCs w:val="21"/>
              </w:rPr>
            </w:pPr>
            <w:r>
              <w:rPr>
                <w:rFonts w:ascii="宋体" w:hAnsi="宋体" w:eastAsia="宋体" w:cs="宋体"/>
                <w:spacing w:val="-1"/>
                <w:sz w:val="21"/>
                <w:szCs w:val="21"/>
              </w:rPr>
              <w:t>承担的工作</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3" w:line="221" w:lineRule="auto"/>
              <w:ind w:left="684"/>
              <w:rPr>
                <w:rFonts w:ascii="宋体" w:hAnsi="宋体" w:eastAsia="宋体" w:cs="宋体"/>
                <w:sz w:val="21"/>
                <w:szCs w:val="21"/>
              </w:rPr>
            </w:pPr>
            <w:r>
              <w:rPr>
                <w:rFonts w:ascii="宋体" w:hAnsi="宋体" w:eastAsia="宋体" w:cs="宋体"/>
                <w:spacing w:val="-2"/>
                <w:sz w:val="21"/>
                <w:szCs w:val="21"/>
              </w:rPr>
              <w:t>工程质量</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项目负</w:t>
            </w:r>
            <w:r>
              <w:rPr>
                <w:rFonts w:ascii="宋体" w:hAnsi="宋体" w:eastAsia="宋体" w:cs="宋体"/>
                <w:spacing w:val="-1"/>
                <w:sz w:val="21"/>
                <w:szCs w:val="21"/>
              </w:rPr>
              <w:t>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371"/>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目技术负责人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2206" w:type="dxa"/>
            <w:tcBorders>
              <w:left w:val="single" w:color="000000" w:sz="6" w:space="0"/>
            </w:tcBorders>
            <w:vAlign w:val="top"/>
          </w:tcPr>
          <w:p>
            <w:pPr>
              <w:spacing w:before="194" w:line="253" w:lineRule="auto"/>
              <w:ind w:left="579" w:right="153" w:hanging="422"/>
              <w:rPr>
                <w:rFonts w:ascii="宋体" w:hAnsi="宋体" w:eastAsia="宋体" w:cs="宋体"/>
                <w:sz w:val="21"/>
                <w:szCs w:val="21"/>
              </w:rPr>
            </w:pPr>
            <w:r>
              <w:rPr>
                <w:rFonts w:ascii="宋体" w:hAnsi="宋体" w:eastAsia="宋体" w:cs="宋体"/>
                <w:spacing w:val="-1"/>
                <w:sz w:val="21"/>
                <w:szCs w:val="21"/>
              </w:rPr>
              <w:t>监理人和总监</w:t>
            </w:r>
            <w:r>
              <w:rPr>
                <w:rFonts w:ascii="宋体" w:hAnsi="宋体" w:eastAsia="宋体" w:cs="宋体"/>
                <w:sz w:val="21"/>
                <w:szCs w:val="21"/>
              </w:rPr>
              <w:t xml:space="preserve">理工程 </w:t>
            </w:r>
            <w:r>
              <w:rPr>
                <w:rFonts w:ascii="宋体" w:hAnsi="宋体" w:eastAsia="宋体" w:cs="宋体"/>
                <w:spacing w:val="-2"/>
                <w:sz w:val="21"/>
                <w:szCs w:val="21"/>
              </w:rPr>
              <w:t>师以及</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2206" w:type="dxa"/>
            <w:tcBorders>
              <w:left w:val="single" w:color="000000" w:sz="6" w:space="0"/>
            </w:tcBorders>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8" w:line="221" w:lineRule="auto"/>
              <w:ind w:left="474"/>
              <w:rPr>
                <w:rFonts w:ascii="宋体" w:hAnsi="宋体" w:eastAsia="宋体" w:cs="宋体"/>
                <w:sz w:val="21"/>
                <w:szCs w:val="21"/>
              </w:rPr>
            </w:pPr>
            <w:r>
              <w:rPr>
                <w:rFonts w:ascii="宋体" w:hAnsi="宋体" w:eastAsia="宋体" w:cs="宋体"/>
                <w:spacing w:val="-1"/>
                <w:sz w:val="21"/>
                <w:szCs w:val="21"/>
              </w:rPr>
              <w:t>合同项目描述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2206" w:type="dxa"/>
            <w:tcBorders>
              <w:left w:val="single" w:color="000000" w:sz="6" w:space="0"/>
            </w:tcBorders>
            <w:vAlign w:val="top"/>
          </w:tcPr>
          <w:p>
            <w:pPr>
              <w:spacing w:line="376" w:lineRule="auto"/>
              <w:rPr>
                <w:rFonts w:ascii="Arial"/>
                <w:sz w:val="21"/>
              </w:rPr>
            </w:pPr>
          </w:p>
          <w:p>
            <w:pPr>
              <w:spacing w:before="69" w:line="222" w:lineRule="auto"/>
              <w:ind w:left="895"/>
              <w:rPr>
                <w:rFonts w:ascii="宋体" w:hAnsi="宋体" w:eastAsia="宋体" w:cs="宋体"/>
                <w:sz w:val="21"/>
                <w:szCs w:val="21"/>
              </w:rPr>
            </w:pPr>
            <w:r>
              <w:rPr>
                <w:rFonts w:ascii="宋体" w:hAnsi="宋体" w:eastAsia="宋体" w:cs="宋体"/>
                <w:spacing w:val="-3"/>
                <w:sz w:val="21"/>
                <w:szCs w:val="21"/>
              </w:rPr>
              <w:t>备</w:t>
            </w:r>
            <w:r>
              <w:rPr>
                <w:rFonts w:ascii="宋体" w:hAnsi="宋体" w:eastAsia="宋体" w:cs="宋体"/>
                <w:spacing w:val="-2"/>
                <w:sz w:val="21"/>
                <w:szCs w:val="21"/>
              </w:rPr>
              <w:t>注</w:t>
            </w:r>
          </w:p>
        </w:tc>
        <w:tc>
          <w:tcPr>
            <w:tcW w:w="6571" w:type="dxa"/>
            <w:tcBorders>
              <w:right w:val="single" w:color="000000" w:sz="6" w:space="0"/>
            </w:tcBorders>
            <w:vAlign w:val="top"/>
          </w:tcPr>
          <w:p>
            <w:pPr>
              <w:spacing w:line="242" w:lineRule="auto"/>
              <w:rPr>
                <w:rFonts w:ascii="Arial"/>
                <w:sz w:val="21"/>
              </w:rPr>
            </w:pPr>
          </w:p>
          <w:p>
            <w:pPr>
              <w:spacing w:before="68" w:line="253" w:lineRule="auto"/>
              <w:ind w:left="112" w:right="22"/>
              <w:rPr>
                <w:rFonts w:ascii="宋体" w:hAnsi="宋体" w:eastAsia="宋体" w:cs="宋体"/>
                <w:sz w:val="21"/>
                <w:szCs w:val="21"/>
              </w:rPr>
            </w:pPr>
            <w:r>
              <w:rPr>
                <w:rFonts w:ascii="宋体" w:hAnsi="宋体" w:eastAsia="宋体" w:cs="宋体"/>
                <w:spacing w:val="1"/>
                <w:sz w:val="21"/>
                <w:szCs w:val="21"/>
              </w:rPr>
              <w:t>合同项目描述内容至少包括项目概况、本合同在</w:t>
            </w:r>
            <w:r>
              <w:rPr>
                <w:rFonts w:ascii="宋体" w:hAnsi="宋体" w:eastAsia="宋体" w:cs="宋体"/>
                <w:sz w:val="21"/>
                <w:szCs w:val="21"/>
              </w:rPr>
              <w:t xml:space="preserve">项目中的地位(部位、 </w:t>
            </w:r>
            <w:r>
              <w:rPr>
                <w:rFonts w:ascii="宋体" w:hAnsi="宋体" w:eastAsia="宋体" w:cs="宋体"/>
                <w:spacing w:val="-1"/>
                <w:sz w:val="21"/>
                <w:szCs w:val="21"/>
              </w:rPr>
              <w:t>合同价</w:t>
            </w:r>
            <w:r>
              <w:rPr>
                <w:rFonts w:ascii="宋体" w:hAnsi="宋体" w:eastAsia="宋体" w:cs="宋体"/>
                <w:sz w:val="21"/>
                <w:szCs w:val="21"/>
              </w:rPr>
              <w:t>格所占比例) 和合同工程完工验收鉴定书有关验收结论。</w:t>
            </w:r>
          </w:p>
        </w:tc>
      </w:tr>
    </w:tbl>
    <w:p>
      <w:pPr>
        <w:spacing w:before="29" w:line="220" w:lineRule="auto"/>
        <w:ind w:left="17"/>
        <w:rPr>
          <w:rFonts w:ascii="宋体" w:hAnsi="宋体" w:eastAsia="宋体" w:cs="宋体"/>
          <w:sz w:val="21"/>
          <w:szCs w:val="21"/>
        </w:rPr>
      </w:pPr>
      <w:r>
        <w:rPr>
          <w:rFonts w:ascii="宋体" w:hAnsi="宋体" w:eastAsia="宋体" w:cs="宋体"/>
          <w:spacing w:val="-1"/>
          <w:sz w:val="21"/>
          <w:szCs w:val="21"/>
        </w:rPr>
        <w:t>注：相关材料复制件在“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w:t>
      </w:r>
      <w:r>
        <w:rPr>
          <w:rFonts w:ascii="宋体" w:hAnsi="宋体" w:eastAsia="宋体" w:cs="宋体"/>
          <w:sz w:val="21"/>
          <w:szCs w:val="21"/>
        </w:rPr>
        <w:t>”中提供。</w:t>
      </w:r>
    </w:p>
    <w:p>
      <w:pPr>
        <w:sectPr>
          <w:footerReference r:id="rId43" w:type="default"/>
          <w:pgSz w:w="11907" w:h="16841"/>
          <w:pgMar w:top="400" w:right="1591" w:bottom="1278" w:left="1522" w:header="0" w:footer="1117" w:gutter="0"/>
          <w:pgNumType w:fmt="decimal"/>
          <w:cols w:space="720" w:num="1"/>
        </w:sectPr>
      </w:pPr>
    </w:p>
    <w:p>
      <w:pPr>
        <w:pStyle w:val="29"/>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w:t>
      </w:r>
      <w:bookmarkEnd w:id="528"/>
      <w:bookmarkEnd w:id="529"/>
      <w:bookmarkStart w:id="532" w:name="_Toc11431"/>
      <w:bookmarkStart w:id="533" w:name="_Toc24023"/>
      <w:r>
        <w:rPr>
          <w:b/>
          <w:bCs/>
          <w:color w:val="auto"/>
          <w:sz w:val="28"/>
          <w:szCs w:val="28"/>
          <w:highlight w:val="none"/>
        </w:rPr>
        <w:t>正在施工的和新承接的项目情况表</w:t>
      </w:r>
      <w:bookmarkEnd w:id="530"/>
      <w:bookmarkEnd w:id="531"/>
      <w:bookmarkEnd w:id="532"/>
      <w:bookmarkEnd w:id="533"/>
    </w:p>
    <w:p>
      <w:pPr>
        <w:pStyle w:val="28"/>
        <w:keepNext/>
        <w:keepLines/>
        <w:spacing w:before="240" w:beforeLines="100" w:after="120" w:afterLines="50"/>
        <w:jc w:val="center"/>
        <w:outlineLvl w:val="9"/>
        <w:rPr>
          <w:b/>
          <w:bCs/>
          <w:color w:val="auto"/>
          <w:sz w:val="32"/>
          <w:szCs w:val="32"/>
          <w:highlight w:val="none"/>
          <w:lang w:val="en-US" w:eastAsia="zh-CN"/>
        </w:rPr>
      </w:pPr>
      <w:bookmarkStart w:id="534" w:name="_Toc28248"/>
      <w:bookmarkStart w:id="535" w:name="_Toc5017"/>
      <w:bookmarkStart w:id="536" w:name="_Toc27672"/>
      <w:bookmarkStart w:id="537" w:name="_Toc10282"/>
      <w:r>
        <w:rPr>
          <w:rFonts w:hint="eastAsia"/>
          <w:b/>
          <w:bCs/>
          <w:color w:val="auto"/>
          <w:sz w:val="32"/>
          <w:szCs w:val="32"/>
          <w:highlight w:val="none"/>
          <w:lang w:val="en-US" w:eastAsia="zh-CN"/>
        </w:rPr>
        <w:t>正在施工的和新承接的项目情况表</w:t>
      </w:r>
      <w:bookmarkEnd w:id="534"/>
      <w:bookmarkEnd w:id="535"/>
      <w:bookmarkEnd w:id="536"/>
      <w:bookmarkEnd w:id="537"/>
    </w:p>
    <w:tbl>
      <w:tblPr>
        <w:tblStyle w:val="18"/>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2"/>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38" w:name="_Toc30651"/>
      <w:bookmarkStart w:id="539" w:name="_Toc1256"/>
      <w:bookmarkStart w:id="540" w:name="_Toc28108"/>
      <w:bookmarkStart w:id="541" w:name="_Toc11387"/>
      <w:r>
        <w:rPr>
          <w:rFonts w:hint="eastAsia"/>
          <w:b/>
          <w:bCs/>
          <w:color w:val="auto"/>
          <w:sz w:val="28"/>
          <w:szCs w:val="28"/>
          <w:highlight w:val="none"/>
          <w:lang w:eastAsia="zh-CN"/>
        </w:rPr>
        <w:t>（</w:t>
      </w:r>
      <w:r>
        <w:rPr>
          <w:rFonts w:hint="eastAsia"/>
          <w:b/>
          <w:bCs/>
          <w:color w:val="auto"/>
          <w:sz w:val="28"/>
          <w:szCs w:val="28"/>
          <w:highlight w:val="none"/>
          <w:lang w:val="en-US" w:eastAsia="zh-CN"/>
        </w:rPr>
        <w:t>五</w:t>
      </w:r>
      <w:r>
        <w:rPr>
          <w:b/>
          <w:bCs/>
          <w:color w:val="auto"/>
          <w:sz w:val="28"/>
          <w:szCs w:val="28"/>
          <w:highlight w:val="none"/>
        </w:rPr>
        <w:t>）近年发生的诉讼及仲裁情况表</w:t>
      </w:r>
      <w:bookmarkEnd w:id="538"/>
      <w:bookmarkEnd w:id="539"/>
      <w:bookmarkEnd w:id="540"/>
      <w:bookmarkEnd w:id="541"/>
    </w:p>
    <w:p>
      <w:pPr>
        <w:pStyle w:val="28"/>
        <w:keepNext/>
        <w:keepLines/>
        <w:spacing w:before="240" w:beforeLines="100" w:after="120" w:afterLines="50"/>
        <w:jc w:val="center"/>
        <w:outlineLvl w:val="9"/>
        <w:rPr>
          <w:b/>
          <w:bCs/>
          <w:color w:val="auto"/>
          <w:sz w:val="32"/>
          <w:szCs w:val="32"/>
          <w:highlight w:val="none"/>
          <w:lang w:val="en-US" w:eastAsia="zh-CN"/>
        </w:rPr>
      </w:pPr>
      <w:bookmarkStart w:id="542" w:name="_Toc18238"/>
      <w:bookmarkStart w:id="543" w:name="_Toc30890"/>
      <w:bookmarkStart w:id="544" w:name="_Toc15867"/>
      <w:bookmarkStart w:id="545" w:name="_Toc22495"/>
      <w:r>
        <w:rPr>
          <w:rFonts w:hint="eastAsia"/>
          <w:b/>
          <w:bCs/>
          <w:color w:val="auto"/>
          <w:sz w:val="32"/>
          <w:szCs w:val="32"/>
          <w:highlight w:val="none"/>
          <w:lang w:val="en-US" w:eastAsia="zh-CN"/>
        </w:rPr>
        <w:t>近年发生的诉讼及仲裁情况表</w:t>
      </w:r>
      <w:bookmarkEnd w:id="542"/>
      <w:bookmarkEnd w:id="543"/>
      <w:bookmarkEnd w:id="544"/>
      <w:bookmarkEnd w:id="545"/>
    </w:p>
    <w:p>
      <w:pPr>
        <w:pStyle w:val="39"/>
        <w:keepNext/>
        <w:keepLines/>
        <w:tabs>
          <w:tab w:val="left" w:pos="1896"/>
          <w:tab w:val="left" w:pos="2256"/>
          <w:tab w:val="left" w:pos="2952"/>
          <w:tab w:val="left" w:pos="3324"/>
          <w:tab w:val="left" w:pos="4008"/>
        </w:tabs>
        <w:spacing w:after="0" w:line="460" w:lineRule="exact"/>
        <w:ind w:firstLine="0"/>
        <w:jc w:val="center"/>
        <w:outlineLvl w:val="9"/>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近年指</w:t>
      </w:r>
      <w:r>
        <w:rPr>
          <w:rFonts w:hint="eastAsia"/>
          <w:b/>
          <w:bCs/>
          <w:color w:val="000000" w:themeColor="text1"/>
          <w:sz w:val="21"/>
          <w:szCs w:val="21"/>
          <w:highlight w:val="none"/>
          <w:lang w:val="en-US" w:eastAsia="zh-CN"/>
          <w14:textFill>
            <w14:solidFill>
              <w14:schemeClr w14:val="tx1"/>
            </w14:solidFill>
          </w14:textFill>
        </w:rPr>
        <w:t>2020年4月1日</w:t>
      </w:r>
      <w:r>
        <w:rPr>
          <w:b/>
          <w:bCs/>
          <w:color w:val="000000" w:themeColor="text1"/>
          <w:sz w:val="21"/>
          <w:szCs w:val="21"/>
          <w:highlight w:val="none"/>
          <w14:textFill>
            <w14:solidFill>
              <w14:schemeClr w14:val="tx1"/>
            </w14:solidFill>
          </w14:textFill>
        </w:rPr>
        <w:t>至投标截止时间）</w:t>
      </w:r>
    </w:p>
    <w:tbl>
      <w:tblPr>
        <w:tblStyle w:val="18"/>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2"/>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46" w:name="_Toc26185"/>
      <w:bookmarkStart w:id="547" w:name="_Toc19324"/>
      <w:bookmarkStart w:id="548" w:name="_Toc9275"/>
      <w:bookmarkStart w:id="549" w:name="_Toc32124"/>
      <w:r>
        <w:rPr>
          <w:rFonts w:hint="eastAsia"/>
          <w:b/>
          <w:bCs/>
          <w:color w:val="auto"/>
          <w:sz w:val="28"/>
          <w:szCs w:val="28"/>
          <w:highlight w:val="none"/>
          <w:lang w:eastAsia="zh-CN"/>
        </w:rPr>
        <w:t>（</w:t>
      </w:r>
      <w:r>
        <w:rPr>
          <w:rFonts w:hint="eastAsia"/>
          <w:b/>
          <w:bCs/>
          <w:color w:val="auto"/>
          <w:sz w:val="28"/>
          <w:szCs w:val="28"/>
          <w:highlight w:val="none"/>
          <w:lang w:val="en-US" w:eastAsia="zh-CN"/>
        </w:rPr>
        <w:t>六</w:t>
      </w:r>
      <w:r>
        <w:rPr>
          <w:b/>
          <w:bCs/>
          <w:color w:val="auto"/>
          <w:sz w:val="28"/>
          <w:szCs w:val="28"/>
          <w:highlight w:val="none"/>
        </w:rPr>
        <w:t>）资格审查自审表</w:t>
      </w:r>
      <w:bookmarkEnd w:id="546"/>
      <w:bookmarkEnd w:id="547"/>
      <w:bookmarkEnd w:id="548"/>
      <w:bookmarkEnd w:id="549"/>
    </w:p>
    <w:p>
      <w:pPr>
        <w:pStyle w:val="28"/>
        <w:keepNext/>
        <w:keepLines/>
        <w:spacing w:before="240" w:beforeLines="100" w:after="120" w:afterLines="50"/>
        <w:jc w:val="center"/>
        <w:outlineLvl w:val="9"/>
        <w:rPr>
          <w:b/>
          <w:bCs/>
          <w:color w:val="auto"/>
          <w:sz w:val="32"/>
          <w:szCs w:val="32"/>
          <w:highlight w:val="none"/>
          <w:lang w:val="en-US" w:eastAsia="zh-CN"/>
        </w:rPr>
      </w:pPr>
      <w:bookmarkStart w:id="550" w:name="_Toc22578"/>
      <w:bookmarkStart w:id="551" w:name="_Toc24319"/>
      <w:bookmarkStart w:id="552" w:name="_Toc22973"/>
      <w:bookmarkStart w:id="553" w:name="_Toc8915"/>
      <w:r>
        <w:rPr>
          <w:rFonts w:hint="eastAsia"/>
          <w:b/>
          <w:bCs/>
          <w:color w:val="auto"/>
          <w:sz w:val="32"/>
          <w:szCs w:val="32"/>
          <w:highlight w:val="none"/>
          <w:lang w:val="en-US" w:eastAsia="zh-CN"/>
        </w:rPr>
        <w:t>资格审查自申表</w:t>
      </w:r>
      <w:bookmarkEnd w:id="550"/>
      <w:bookmarkEnd w:id="551"/>
      <w:bookmarkEnd w:id="552"/>
      <w:bookmarkEnd w:id="553"/>
    </w:p>
    <w:tbl>
      <w:tblPr>
        <w:tblStyle w:val="18"/>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2"/>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2"/>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28"/>
        <w:keepNext/>
        <w:keepLines/>
        <w:spacing w:before="240" w:beforeLines="100" w:after="120" w:afterLines="50"/>
        <w:jc w:val="center"/>
        <w:outlineLvl w:val="1"/>
        <w:rPr>
          <w:b/>
          <w:bCs/>
          <w:color w:val="auto"/>
          <w:sz w:val="36"/>
          <w:szCs w:val="36"/>
          <w:highlight w:val="none"/>
          <w:lang w:val="en-US" w:eastAsia="en-US"/>
        </w:rPr>
      </w:pPr>
      <w:bookmarkStart w:id="554" w:name="_Toc10550"/>
      <w:bookmarkStart w:id="555" w:name="_Toc30391"/>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4"/>
      <w:bookmarkEnd w:id="555"/>
    </w:p>
    <w:p>
      <w:pPr>
        <w:pStyle w:val="26"/>
        <w:tabs>
          <w:tab w:val="left" w:pos="1344"/>
        </w:tabs>
        <w:spacing w:after="0" w:line="460" w:lineRule="exact"/>
        <w:ind w:firstLine="422" w:firstLineChars="200"/>
        <w:rPr>
          <w:b/>
          <w:bCs/>
          <w:color w:val="auto"/>
          <w:sz w:val="21"/>
          <w:szCs w:val="21"/>
          <w:highlight w:val="none"/>
        </w:rPr>
      </w:pPr>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6"/>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bookmarkStart w:id="556" w:name="_Toc15738"/>
      <w:bookmarkStart w:id="557" w:name="_Toc23132"/>
      <w:r>
        <w:rPr>
          <w:rFonts w:hint="eastAsia"/>
          <w:b/>
          <w:bCs/>
          <w:color w:val="auto"/>
          <w:sz w:val="36"/>
          <w:szCs w:val="36"/>
          <w:highlight w:val="none"/>
          <w:lang w:val="en-US" w:eastAsia="zh-CN"/>
        </w:rPr>
        <w:t>九、其他材料</w:t>
      </w:r>
      <w:bookmarkEnd w:id="556"/>
      <w:bookmarkEnd w:id="557"/>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6"/>
        <w:tabs>
          <w:tab w:val="left" w:pos="1344"/>
        </w:tabs>
        <w:spacing w:after="0" w:line="460" w:lineRule="exact"/>
        <w:ind w:firstLine="420" w:firstLineChars="200"/>
        <w:rPr>
          <w:color w:val="auto"/>
          <w:sz w:val="21"/>
          <w:szCs w:val="21"/>
          <w:highlight w:val="none"/>
        </w:rPr>
        <w:sectPr>
          <w:footerReference r:id="rId44" w:type="default"/>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28"/>
        <w:keepNext/>
        <w:keepLines/>
        <w:spacing w:before="240" w:beforeLines="100" w:after="120" w:afterLines="50"/>
        <w:jc w:val="center"/>
        <w:outlineLvl w:val="1"/>
        <w:rPr>
          <w:b/>
          <w:bCs/>
          <w:color w:val="auto"/>
          <w:sz w:val="36"/>
          <w:szCs w:val="36"/>
          <w:highlight w:val="none"/>
          <w:lang w:val="en-US" w:eastAsia="zh-CN"/>
        </w:rPr>
      </w:pPr>
      <w:bookmarkStart w:id="558" w:name="_Toc18937"/>
      <w:bookmarkStart w:id="559" w:name="_Toc25611"/>
      <w:bookmarkStart w:id="560" w:name="_Toc14351"/>
      <w:bookmarkStart w:id="561" w:name="_Toc26238"/>
      <w:r>
        <w:rPr>
          <w:rFonts w:hint="eastAsia"/>
          <w:b/>
          <w:bCs/>
          <w:color w:val="auto"/>
          <w:sz w:val="36"/>
          <w:szCs w:val="36"/>
          <w:highlight w:val="none"/>
          <w:lang w:val="en-US" w:eastAsia="zh-CN"/>
        </w:rPr>
        <w:t>投 标 承 诺 书</w:t>
      </w:r>
      <w:bookmarkEnd w:id="558"/>
      <w:bookmarkEnd w:id="559"/>
      <w:bookmarkEnd w:id="560"/>
      <w:bookmarkEnd w:id="561"/>
    </w:p>
    <w:p>
      <w:pPr>
        <w:pStyle w:val="26"/>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6"/>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6"/>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sz w:val="21"/>
          <w:szCs w:val="21"/>
        </w:rPr>
      </w:pPr>
      <w:r>
        <w:rPr>
          <w:rFonts w:ascii="宋体" w:hAnsi="宋体" w:eastAsia="宋体" w:cs="宋体"/>
          <w:spacing w:val="-1"/>
          <w:sz w:val="21"/>
          <w:szCs w:val="21"/>
        </w:rPr>
        <w:t>2、投标人及法定代表人(身份证号码：</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、拟派本招标项目</w:t>
      </w:r>
      <w:r>
        <w:rPr>
          <w:rFonts w:ascii="宋体" w:hAnsi="宋体" w:eastAsia="宋体" w:cs="宋体"/>
          <w:sz w:val="21"/>
          <w:szCs w:val="21"/>
        </w:rPr>
        <w:t xml:space="preserve">项目负责人(身份证号码： </w:t>
      </w:r>
      <w:r>
        <w:rPr>
          <w:rFonts w:ascii="宋体" w:hAnsi="宋体" w:eastAsia="宋体" w:cs="宋体"/>
          <w:sz w:val="21"/>
          <w:szCs w:val="21"/>
          <w:u w:val="single" w:color="auto"/>
        </w:rPr>
        <w:tab/>
      </w:r>
      <w:r>
        <w:rPr>
          <w:rFonts w:ascii="宋体" w:hAnsi="宋体" w:eastAsia="宋体" w:cs="宋体"/>
          <w:spacing w:val="4"/>
          <w:sz w:val="21"/>
          <w:szCs w:val="21"/>
        </w:rPr>
        <w:t>)自</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日以 来至投标截止时间，无行贿犯罪记录[以中国裁判文书网(</w:t>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6"/>
          <w:sz w:val="21"/>
          <w:szCs w:val="21"/>
        </w:rPr>
        <w:t>//</w:t>
      </w:r>
      <w:r>
        <w:rPr>
          <w:rFonts w:ascii="宋体" w:hAnsi="宋体" w:eastAsia="宋体" w:cs="宋体"/>
          <w:sz w:val="21"/>
          <w:szCs w:val="21"/>
        </w:rPr>
        <w:t>wenshu</w:t>
      </w:r>
      <w:r>
        <w:rPr>
          <w:rFonts w:ascii="宋体" w:hAnsi="宋体" w:eastAsia="宋体" w:cs="宋体"/>
          <w:spacing w:val="6"/>
          <w:sz w:val="21"/>
          <w:szCs w:val="21"/>
        </w:rPr>
        <w:t>.</w:t>
      </w:r>
      <w:r>
        <w:rPr>
          <w:rFonts w:ascii="宋体" w:hAnsi="宋体" w:eastAsia="宋体" w:cs="宋体"/>
          <w:sz w:val="21"/>
          <w:szCs w:val="21"/>
        </w:rPr>
        <w:t>court</w:t>
      </w:r>
      <w:r>
        <w:rPr>
          <w:rFonts w:hint="eastAsia" w:ascii="宋体" w:hAnsi="宋体" w:eastAsia="宋体" w:cs="宋体"/>
          <w:sz w:val="21"/>
          <w:szCs w:val="21"/>
          <w:lang w:val="en-US" w:eastAsia="zh-CN"/>
        </w:rPr>
        <w:t>.</w:t>
      </w:r>
      <w:r>
        <w:rPr>
          <w:rFonts w:ascii="宋体" w:hAnsi="宋体" w:eastAsia="宋体" w:cs="宋体"/>
          <w:spacing w:val="6"/>
          <w:sz w:val="21"/>
          <w:szCs w:val="21"/>
        </w:rPr>
        <w:t xml:space="preserve"> </w:t>
      </w:r>
      <w:r>
        <w:rPr>
          <w:rFonts w:ascii="宋体" w:hAnsi="宋体" w:eastAsia="宋体" w:cs="宋体"/>
          <w:sz w:val="21"/>
          <w:szCs w:val="21"/>
        </w:rPr>
        <w:t>gov</w:t>
      </w:r>
      <w:r>
        <w:rPr>
          <w:rFonts w:ascii="宋体" w:hAnsi="宋体" w:eastAsia="宋体" w:cs="宋体"/>
          <w:spacing w:val="6"/>
          <w:sz w:val="21"/>
          <w:szCs w:val="21"/>
        </w:rPr>
        <w:t>.</w:t>
      </w:r>
      <w:r>
        <w:rPr>
          <w:rFonts w:ascii="宋体" w:hAnsi="宋体" w:eastAsia="宋体" w:cs="宋体"/>
          <w:sz w:val="21"/>
          <w:szCs w:val="21"/>
        </w:rPr>
        <w:t>cn</w:t>
      </w:r>
      <w:r>
        <w:rPr>
          <w:rFonts w:ascii="宋体" w:hAnsi="宋体" w:eastAsia="宋体" w:cs="宋体"/>
          <w:spacing w:val="6"/>
          <w:sz w:val="21"/>
          <w:szCs w:val="21"/>
        </w:rPr>
        <w:t xml:space="preserve">)查询结果为准] </w:t>
      </w:r>
      <w:r>
        <w:rPr>
          <w:rFonts w:ascii="宋体" w:hAnsi="宋体" w:eastAsia="宋体" w:cs="宋体"/>
          <w:spacing w:val="4"/>
          <w:sz w:val="21"/>
          <w:szCs w:val="21"/>
        </w:rPr>
        <w:t>。</w:t>
      </w:r>
    </w:p>
    <w:p>
      <w:pPr>
        <w:spacing w:before="1" w:line="359" w:lineRule="auto"/>
        <w:ind w:left="9" w:right="54" w:firstLine="423"/>
        <w:rPr>
          <w:rFonts w:ascii="宋体" w:hAnsi="宋体" w:eastAsia="宋体" w:cs="宋体"/>
          <w:sz w:val="21"/>
          <w:szCs w:val="21"/>
        </w:rPr>
      </w:pPr>
      <w:r>
        <w:rPr>
          <w:rFonts w:ascii="宋体" w:hAnsi="宋体" w:eastAsia="宋体" w:cs="宋体"/>
          <w:spacing w:val="2"/>
          <w:sz w:val="21"/>
          <w:szCs w:val="21"/>
        </w:rPr>
        <w:t>3、投标人及其法定代表人、拟派项目负责人未被列入失信被执行人名单[以“信用</w:t>
      </w:r>
      <w:r>
        <w:rPr>
          <w:rFonts w:ascii="宋体" w:hAnsi="宋体" w:eastAsia="宋体" w:cs="宋体"/>
          <w:sz w:val="21"/>
          <w:szCs w:val="21"/>
        </w:rPr>
        <w:t xml:space="preserve">中国”网 </w:t>
      </w:r>
      <w:r>
        <w:rPr>
          <w:rFonts w:ascii="宋体" w:hAnsi="宋体" w:eastAsia="宋体" w:cs="宋体"/>
          <w:spacing w:val="16"/>
          <w:sz w:val="21"/>
          <w:szCs w:val="21"/>
        </w:rPr>
        <w:t>站</w:t>
      </w:r>
      <w:r>
        <w:rPr>
          <w:rFonts w:ascii="宋体" w:hAnsi="宋体" w:eastAsia="宋体" w:cs="宋体"/>
          <w:spacing w:val="13"/>
          <w:sz w:val="21"/>
          <w:szCs w:val="21"/>
        </w:rPr>
        <w:t>(</w:t>
      </w:r>
      <w:r>
        <w:rPr>
          <w:rFonts w:ascii="宋体" w:hAnsi="宋体" w:eastAsia="宋体" w:cs="宋体"/>
          <w:sz w:val="21"/>
          <w:szCs w:val="21"/>
        </w:rPr>
        <w:t>www</w:t>
      </w:r>
      <w:r>
        <w:rPr>
          <w:rFonts w:ascii="宋体" w:hAnsi="宋体" w:eastAsia="宋体" w:cs="宋体"/>
          <w:spacing w:val="13"/>
          <w:sz w:val="21"/>
          <w:szCs w:val="21"/>
        </w:rPr>
        <w:t>.</w:t>
      </w:r>
      <w:r>
        <w:rPr>
          <w:rFonts w:ascii="宋体" w:hAnsi="宋体" w:eastAsia="宋体" w:cs="宋体"/>
          <w:sz w:val="21"/>
          <w:szCs w:val="21"/>
        </w:rPr>
        <w:t>creditchina</w:t>
      </w:r>
      <w:r>
        <w:rPr>
          <w:rFonts w:ascii="宋体" w:hAnsi="宋体" w:eastAsia="宋体" w:cs="宋体"/>
          <w:spacing w:val="13"/>
          <w:sz w:val="21"/>
          <w:szCs w:val="21"/>
        </w:rPr>
        <w:t>.</w:t>
      </w:r>
      <w:r>
        <w:rPr>
          <w:rFonts w:ascii="宋体" w:hAnsi="宋体" w:eastAsia="宋体" w:cs="宋体"/>
          <w:sz w:val="21"/>
          <w:szCs w:val="21"/>
        </w:rPr>
        <w:t>gov</w:t>
      </w:r>
      <w:r>
        <w:rPr>
          <w:rFonts w:ascii="宋体" w:hAnsi="宋体" w:eastAsia="宋体" w:cs="宋体"/>
          <w:spacing w:val="13"/>
          <w:sz w:val="21"/>
          <w:szCs w:val="21"/>
        </w:rPr>
        <w:t>.</w:t>
      </w:r>
      <w:r>
        <w:rPr>
          <w:rFonts w:ascii="宋体" w:hAnsi="宋体" w:eastAsia="宋体" w:cs="宋体"/>
          <w:sz w:val="21"/>
          <w:szCs w:val="21"/>
        </w:rPr>
        <w:t>cn</w:t>
      </w:r>
      <w:r>
        <w:rPr>
          <w:rFonts w:ascii="宋体" w:hAnsi="宋体" w:eastAsia="宋体" w:cs="宋体"/>
          <w:spacing w:val="13"/>
          <w:sz w:val="21"/>
          <w:szCs w:val="21"/>
        </w:rPr>
        <w:t>) 查询为准]。</w:t>
      </w:r>
    </w:p>
    <w:p>
      <w:pPr>
        <w:spacing w:before="1" w:line="350" w:lineRule="auto"/>
        <w:ind w:left="8" w:right="54" w:firstLine="419"/>
        <w:rPr>
          <w:rFonts w:ascii="宋体" w:hAnsi="宋体" w:eastAsia="宋体" w:cs="宋体"/>
          <w:sz w:val="21"/>
          <w:szCs w:val="21"/>
        </w:rPr>
      </w:pPr>
      <w:r>
        <w:rPr>
          <w:rFonts w:ascii="宋体" w:hAnsi="宋体" w:eastAsia="宋体" w:cs="宋体"/>
          <w:spacing w:val="-2"/>
          <w:sz w:val="21"/>
          <w:szCs w:val="21"/>
        </w:rPr>
        <w:t>4、</w:t>
      </w:r>
      <w:r>
        <w:rPr>
          <w:rFonts w:ascii="宋体" w:hAnsi="宋体" w:eastAsia="宋体" w:cs="宋体"/>
          <w:spacing w:val="-2"/>
          <w:sz w:val="22"/>
          <w:szCs w:val="22"/>
          <w:u w:val="single" w:color="auto"/>
        </w:rPr>
        <w:t xml:space="preserve"> </w:t>
      </w:r>
      <w:r>
        <w:rPr>
          <w:rFonts w:hint="eastAsia" w:ascii="宋体" w:hAnsi="宋体" w:eastAsia="宋体" w:cs="宋体"/>
          <w:i/>
          <w:iCs/>
          <w:spacing w:val="-2"/>
          <w:sz w:val="22"/>
          <w:szCs w:val="22"/>
          <w:u w:val="single" w:color="auto"/>
        </w:rPr>
        <w:t>投标人及其法定代表人、拟派项目负责人</w:t>
      </w:r>
      <w:r>
        <w:rPr>
          <w:rFonts w:ascii="宋体" w:hAnsi="宋体" w:eastAsia="宋体" w:cs="宋体"/>
          <w:spacing w:val="-2"/>
          <w:sz w:val="22"/>
          <w:szCs w:val="22"/>
          <w:u w:val="single" w:color="auto"/>
        </w:rPr>
        <w:t xml:space="preserve"> </w:t>
      </w:r>
      <w:r>
        <w:rPr>
          <w:rFonts w:ascii="宋体" w:hAnsi="宋体" w:eastAsia="宋体" w:cs="宋体"/>
          <w:spacing w:val="-2"/>
          <w:sz w:val="21"/>
          <w:szCs w:val="21"/>
        </w:rPr>
        <w:t>未被列入招标投标</w:t>
      </w:r>
      <w:r>
        <w:rPr>
          <w:rFonts w:ascii="宋体" w:hAnsi="宋体" w:eastAsia="宋体" w:cs="宋体"/>
          <w:spacing w:val="-1"/>
          <w:sz w:val="21"/>
          <w:szCs w:val="21"/>
        </w:rPr>
        <w:t>失信黑名单(以浙江省发改委公布的</w:t>
      </w:r>
      <w:r>
        <w:rPr>
          <w:rFonts w:ascii="宋体" w:hAnsi="宋体" w:eastAsia="宋体" w:cs="宋体"/>
          <w:sz w:val="21"/>
          <w:szCs w:val="21"/>
        </w:rPr>
        <w:t xml:space="preserve"> </w:t>
      </w:r>
      <w:r>
        <w:rPr>
          <w:rFonts w:ascii="宋体" w:hAnsi="宋体" w:eastAsia="宋体" w:cs="宋体"/>
          <w:spacing w:val="-1"/>
          <w:sz w:val="21"/>
          <w:szCs w:val="21"/>
        </w:rPr>
        <w:t>披露期内</w:t>
      </w:r>
      <w:r>
        <w:rPr>
          <w:rFonts w:ascii="宋体" w:hAnsi="宋体" w:eastAsia="宋体" w:cs="宋体"/>
          <w:sz w:val="21"/>
          <w:szCs w:val="21"/>
        </w:rPr>
        <w:t>的失信黑名单为准) 。</w:t>
      </w:r>
    </w:p>
    <w:p>
      <w:pPr>
        <w:spacing w:before="2" w:line="359" w:lineRule="auto"/>
        <w:ind w:left="24" w:right="60" w:firstLine="407"/>
        <w:rPr>
          <w:rFonts w:ascii="宋体" w:hAnsi="宋体" w:eastAsia="宋体" w:cs="宋体"/>
          <w:sz w:val="21"/>
          <w:szCs w:val="21"/>
        </w:rPr>
      </w:pPr>
      <w:r>
        <w:rPr>
          <w:rFonts w:ascii="宋体" w:hAnsi="宋体" w:eastAsia="宋体" w:cs="宋体"/>
          <w:spacing w:val="-1"/>
          <w:sz w:val="21"/>
          <w:szCs w:val="21"/>
        </w:rPr>
        <w:t>5.投标人、投标人的 “三类人员”、拟派项目组主要人员未被列入全国水利建设</w:t>
      </w:r>
      <w:r>
        <w:rPr>
          <w:rFonts w:ascii="宋体" w:hAnsi="宋体" w:eastAsia="宋体" w:cs="宋体"/>
          <w:sz w:val="21"/>
          <w:szCs w:val="21"/>
        </w:rPr>
        <w:t xml:space="preserve">市场信用平 </w:t>
      </w:r>
      <w:r>
        <w:rPr>
          <w:rFonts w:ascii="宋体" w:hAnsi="宋体" w:eastAsia="宋体" w:cs="宋体"/>
          <w:spacing w:val="-23"/>
          <w:sz w:val="21"/>
          <w:szCs w:val="21"/>
        </w:rPr>
        <w:t>台</w:t>
      </w:r>
      <w:r>
        <w:rPr>
          <w:rFonts w:ascii="宋体" w:hAnsi="宋体" w:eastAsia="宋体" w:cs="宋体"/>
          <w:spacing w:val="-17"/>
          <w:sz w:val="21"/>
          <w:szCs w:val="21"/>
        </w:rPr>
        <w:t xml:space="preserve"> “黑名单”。</w:t>
      </w:r>
    </w:p>
    <w:p>
      <w:pPr>
        <w:ind w:left="429"/>
        <w:rPr>
          <w:rFonts w:ascii="宋体" w:hAnsi="宋体" w:eastAsia="宋体" w:cs="宋体"/>
          <w:sz w:val="21"/>
          <w:szCs w:val="21"/>
        </w:rPr>
      </w:pPr>
      <w:r>
        <w:rPr>
          <w:rFonts w:ascii="宋体" w:hAnsi="宋体" w:eastAsia="宋体" w:cs="宋体"/>
          <w:spacing w:val="-1"/>
          <w:sz w:val="21"/>
          <w:szCs w:val="21"/>
        </w:rPr>
        <w:t>6.投标人及拟派项目负责人未被行政主管</w:t>
      </w:r>
      <w:r>
        <w:rPr>
          <w:rFonts w:ascii="宋体" w:hAnsi="宋体" w:eastAsia="宋体" w:cs="宋体"/>
          <w:sz w:val="21"/>
          <w:szCs w:val="21"/>
        </w:rPr>
        <w:t>部门限制参加投标。</w:t>
      </w:r>
    </w:p>
    <w:p>
      <w:pPr>
        <w:spacing w:before="136" w:line="359" w:lineRule="auto"/>
        <w:ind w:left="10" w:right="59" w:firstLine="422"/>
        <w:rPr>
          <w:rFonts w:ascii="宋体" w:hAnsi="宋体" w:eastAsia="宋体" w:cs="宋体"/>
          <w:sz w:val="21"/>
          <w:szCs w:val="21"/>
        </w:rPr>
      </w:pPr>
      <w:r>
        <w:rPr>
          <w:rFonts w:ascii="宋体" w:hAnsi="宋体" w:eastAsia="宋体" w:cs="宋体"/>
          <w:spacing w:val="2"/>
          <w:sz w:val="21"/>
          <w:szCs w:val="21"/>
        </w:rPr>
        <w:t>7.投标文件无虚假、伪造的内容。若投标文件中存在虚</w:t>
      </w:r>
      <w:r>
        <w:rPr>
          <w:rFonts w:ascii="宋体" w:hAnsi="宋体" w:eastAsia="宋体" w:cs="宋体"/>
          <w:spacing w:val="1"/>
          <w:sz w:val="21"/>
          <w:szCs w:val="21"/>
        </w:rPr>
        <w:t>假、伪造的内容，同意作无效投标处</w:t>
      </w:r>
      <w:r>
        <w:rPr>
          <w:rFonts w:ascii="宋体" w:hAnsi="宋体" w:eastAsia="宋体" w:cs="宋体"/>
          <w:sz w:val="21"/>
          <w:szCs w:val="21"/>
        </w:rPr>
        <w:t xml:space="preserve"> </w:t>
      </w:r>
      <w:r>
        <w:rPr>
          <w:rFonts w:ascii="宋体" w:hAnsi="宋体" w:eastAsia="宋体" w:cs="宋体"/>
          <w:spacing w:val="-1"/>
          <w:sz w:val="21"/>
          <w:szCs w:val="21"/>
        </w:rPr>
        <w:t>理，投标保证金并不予退还；若中标之后被查实弄虚作假， 同意取消中标资</w:t>
      </w:r>
      <w:r>
        <w:rPr>
          <w:rFonts w:ascii="宋体" w:hAnsi="宋体" w:eastAsia="宋体" w:cs="宋体"/>
          <w:sz w:val="21"/>
          <w:szCs w:val="21"/>
        </w:rPr>
        <w:t xml:space="preserve">格，投标保证金并不 </w:t>
      </w:r>
      <w:r>
        <w:rPr>
          <w:rFonts w:ascii="宋体" w:hAnsi="宋体" w:eastAsia="宋体" w:cs="宋体"/>
          <w:spacing w:val="-2"/>
          <w:sz w:val="21"/>
          <w:szCs w:val="21"/>
        </w:rPr>
        <w:t>予退还。</w:t>
      </w:r>
    </w:p>
    <w:p>
      <w:pPr>
        <w:spacing w:before="1" w:line="220" w:lineRule="auto"/>
        <w:ind w:left="429"/>
        <w:rPr>
          <w:rFonts w:hint="eastAsia" w:ascii="宋体" w:hAnsi="宋体" w:eastAsia="宋体" w:cs="宋体"/>
          <w:sz w:val="21"/>
          <w:szCs w:val="21"/>
          <w:lang w:val="en-US" w:eastAsia="zh-CN"/>
        </w:rPr>
      </w:pPr>
      <w:r>
        <w:rPr>
          <w:rFonts w:ascii="宋体" w:hAnsi="宋体" w:eastAsia="宋体" w:cs="宋体"/>
          <w:spacing w:val="8"/>
          <w:sz w:val="21"/>
          <w:szCs w:val="21"/>
        </w:rPr>
        <w:t>8</w:t>
      </w:r>
      <w:r>
        <w:rPr>
          <w:rFonts w:ascii="宋体" w:hAnsi="宋体" w:eastAsia="宋体" w:cs="宋体"/>
          <w:spacing w:val="5"/>
          <w:sz w:val="21"/>
          <w:szCs w:val="21"/>
        </w:rPr>
        <w:t>.</w:t>
      </w:r>
      <w:r>
        <w:rPr>
          <w:rFonts w:ascii="宋体" w:hAnsi="宋体" w:eastAsia="宋体" w:cs="宋体"/>
          <w:spacing w:val="4"/>
          <w:sz w:val="21"/>
          <w:szCs w:val="21"/>
        </w:rPr>
        <w:t>其他：</w:t>
      </w:r>
      <w:r>
        <w:rPr>
          <w:rFonts w:hint="eastAsia" w:ascii="宋体" w:hAnsi="宋体" w:eastAsia="宋体" w:cs="宋体"/>
          <w:spacing w:val="4"/>
          <w:sz w:val="21"/>
          <w:szCs w:val="21"/>
          <w:lang w:val="en-US" w:eastAsia="zh-CN"/>
        </w:rPr>
        <w:t>/</w:t>
      </w:r>
    </w:p>
    <w:p>
      <w:pPr>
        <w:spacing w:before="157" w:line="359" w:lineRule="auto"/>
        <w:ind w:left="10" w:right="62" w:firstLine="441"/>
        <w:rPr>
          <w:rFonts w:ascii="宋体" w:hAnsi="宋体" w:eastAsia="宋体" w:cs="宋体"/>
          <w:sz w:val="21"/>
          <w:szCs w:val="21"/>
        </w:rPr>
      </w:pPr>
      <w:r>
        <w:rPr>
          <w:rFonts w:ascii="宋体" w:hAnsi="宋体" w:eastAsia="宋体" w:cs="宋体"/>
          <w:spacing w:val="-4"/>
          <w:sz w:val="21"/>
          <w:szCs w:val="21"/>
        </w:rPr>
        <w:t>以上情况如有不实， 愿意被取消中标资格并上报行政主管部门， 由行政主管部门列入不</w:t>
      </w:r>
      <w:r>
        <w:rPr>
          <w:rFonts w:ascii="宋体" w:hAnsi="宋体" w:eastAsia="宋体" w:cs="宋体"/>
          <w:spacing w:val="-3"/>
          <w:sz w:val="21"/>
          <w:szCs w:val="21"/>
        </w:rPr>
        <w:t>良</w:t>
      </w:r>
      <w:r>
        <w:rPr>
          <w:rFonts w:ascii="宋体" w:hAnsi="宋体" w:eastAsia="宋体" w:cs="宋体"/>
          <w:sz w:val="21"/>
          <w:szCs w:val="21"/>
        </w:rPr>
        <w:t xml:space="preserve">行 </w:t>
      </w:r>
      <w:r>
        <w:rPr>
          <w:rFonts w:ascii="宋体" w:hAnsi="宋体" w:eastAsia="宋体" w:cs="宋体"/>
          <w:spacing w:val="-6"/>
          <w:sz w:val="21"/>
          <w:szCs w:val="21"/>
        </w:rPr>
        <w:t>为记</w:t>
      </w:r>
      <w:r>
        <w:rPr>
          <w:rFonts w:ascii="宋体" w:hAnsi="宋体" w:eastAsia="宋体" w:cs="宋体"/>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sz w:val="21"/>
          <w:szCs w:val="21"/>
        </w:rPr>
      </w:pPr>
      <w:r>
        <w:rPr>
          <w:rFonts w:ascii="宋体" w:hAnsi="宋体" w:eastAsia="宋体" w:cs="宋体"/>
          <w:spacing w:val="-1"/>
          <w:sz w:val="21"/>
          <w:szCs w:val="21"/>
        </w:rPr>
        <w:t>附：法定代表人及拟派项目负责人身份证复制</w:t>
      </w:r>
      <w:r>
        <w:rPr>
          <w:rFonts w:ascii="宋体" w:hAnsi="宋体" w:eastAsia="宋体" w:cs="宋体"/>
          <w:sz w:val="21"/>
          <w:szCs w:val="21"/>
        </w:rPr>
        <w:t>件</w:t>
      </w:r>
    </w:p>
    <w:p>
      <w:pPr>
        <w:pStyle w:val="26"/>
        <w:spacing w:after="0" w:line="440" w:lineRule="exact"/>
        <w:ind w:firstLine="0"/>
        <w:rPr>
          <w:color w:val="auto"/>
          <w:sz w:val="21"/>
          <w:szCs w:val="21"/>
          <w:highlight w:val="none"/>
        </w:rPr>
      </w:pPr>
    </w:p>
    <w:p>
      <w:pPr>
        <w:pStyle w:val="26"/>
        <w:tabs>
          <w:tab w:val="left" w:pos="2128"/>
        </w:tabs>
        <w:spacing w:after="0" w:line="460" w:lineRule="exact"/>
        <w:ind w:firstLine="0"/>
        <w:jc w:val="right"/>
        <w:rPr>
          <w:color w:val="auto"/>
          <w:sz w:val="21"/>
          <w:szCs w:val="21"/>
          <w:highlight w:val="none"/>
        </w:rPr>
      </w:pPr>
      <w:bookmarkStart w:id="562" w:name="_Toc22963"/>
      <w:bookmarkStart w:id="563" w:name="_Toc26331"/>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2"/>
      <w:bookmarkEnd w:id="563"/>
    </w:p>
    <w:p>
      <w:pPr>
        <w:pStyle w:val="26"/>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sz w:val="21"/>
        </w:rPr>
      </w:pPr>
    </w:p>
    <w:p>
      <w:pPr>
        <w:spacing w:before="101" w:line="224" w:lineRule="auto"/>
        <w:ind w:left="1469"/>
        <w:outlineLvl w:val="6"/>
        <w:rPr>
          <w:rFonts w:ascii="黑体" w:hAnsi="黑体" w:eastAsia="黑体" w:cs="黑体"/>
          <w:sz w:val="31"/>
          <w:szCs w:val="31"/>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5" w:type="default"/>
          <w:footerReference r:id="rId46" w:type="default"/>
          <w:pgSz w:w="11905" w:h="16838"/>
          <w:pgMar w:top="1247" w:right="1417" w:bottom="1247" w:left="1417" w:header="0" w:footer="1468"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4" w:name="_Toc17921"/>
      <w:bookmarkStart w:id="565" w:name="_Toc16702"/>
      <w:r>
        <w:rPr>
          <w:rFonts w:hint="eastAsia"/>
          <w:b/>
          <w:bCs/>
          <w:color w:val="auto"/>
          <w:sz w:val="36"/>
          <w:szCs w:val="36"/>
          <w:highlight w:val="none"/>
          <w:lang w:val="en-US" w:eastAsia="zh-CN"/>
        </w:rPr>
        <w:t>一、施工组织设计</w:t>
      </w:r>
      <w:bookmarkEnd w:id="564"/>
      <w:bookmarkEnd w:id="565"/>
    </w:p>
    <w:p>
      <w:pPr>
        <w:pStyle w:val="26"/>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6"/>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18"/>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2"/>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2"/>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2"/>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2"/>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7" w:type="default"/>
          <w:pgSz w:w="11905" w:h="16838"/>
          <w:pgMar w:top="1247" w:right="1417" w:bottom="1247" w:left="1417" w:header="0" w:footer="1468" w:gutter="0"/>
          <w:pgNumType w:fmt="decimal"/>
          <w:cols w:space="0" w:num="1"/>
          <w:docGrid w:linePitch="360" w:charSpace="0"/>
        </w:sectPr>
      </w:pPr>
    </w:p>
    <w:p>
      <w:pPr>
        <w:pStyle w:val="31"/>
        <w:jc w:val="right"/>
        <w:rPr>
          <w:color w:val="auto"/>
          <w:sz w:val="21"/>
          <w:szCs w:val="21"/>
          <w:highlight w:val="none"/>
        </w:rPr>
      </w:pPr>
      <w:r>
        <w:rPr>
          <w:color w:val="auto"/>
          <w:sz w:val="21"/>
          <w:szCs w:val="21"/>
          <w:highlight w:val="none"/>
        </w:rPr>
        <w:t>续表</w:t>
      </w:r>
    </w:p>
    <w:tbl>
      <w:tblPr>
        <w:tblStyle w:val="18"/>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bl>
    <w:p>
      <w:pPr>
        <w:pStyle w:val="26"/>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6"/>
        <w:spacing w:after="0" w:line="460" w:lineRule="exact"/>
        <w:ind w:firstLine="420" w:firstLineChars="200"/>
        <w:jc w:val="both"/>
        <w:rPr>
          <w:color w:val="auto"/>
          <w:sz w:val="21"/>
          <w:szCs w:val="21"/>
          <w:highlight w:val="none"/>
        </w:rPr>
        <w:sectPr>
          <w:footerReference r:id="rId48" w:type="default"/>
          <w:footerReference r:id="rId49" w:type="even"/>
          <w:pgSz w:w="11905" w:h="16838"/>
          <w:pgMar w:top="1247" w:right="1417" w:bottom="1247" w:left="1417" w:header="0" w:footer="1468" w:gutter="0"/>
          <w:pgNumType w:fmt="decimal"/>
          <w:cols w:space="0" w:num="1"/>
          <w:docGrid w:linePitch="360" w:charSpace="0"/>
        </w:sectPr>
      </w:pPr>
      <w:r>
        <w:rPr>
          <w:color w:val="auto"/>
          <w:sz w:val="21"/>
          <w:szCs w:val="21"/>
          <w:highlight w:val="none"/>
        </w:rPr>
        <w:t>附表六：临时用地表</w:t>
      </w:r>
    </w:p>
    <w:p>
      <w:pPr>
        <w:pStyle w:val="27"/>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9"/>
        <w:keepNext/>
        <w:keepLines/>
        <w:spacing w:after="0" w:line="600" w:lineRule="exact"/>
        <w:jc w:val="center"/>
        <w:outlineLvl w:val="9"/>
        <w:rPr>
          <w:b/>
          <w:bCs/>
          <w:color w:val="auto"/>
          <w:sz w:val="30"/>
          <w:szCs w:val="30"/>
          <w:highlight w:val="none"/>
        </w:rPr>
      </w:pPr>
      <w:bookmarkStart w:id="566" w:name="_Toc28413"/>
      <w:bookmarkStart w:id="567" w:name="_Toc31706"/>
      <w:bookmarkStart w:id="568" w:name="_Toc9833"/>
      <w:bookmarkStart w:id="569" w:name="_Toc15283"/>
      <w:r>
        <w:rPr>
          <w:b/>
          <w:bCs/>
          <w:color w:val="auto"/>
          <w:sz w:val="30"/>
          <w:szCs w:val="30"/>
          <w:highlight w:val="none"/>
        </w:rPr>
        <w:t>拟投入本标段的主要施工设备表</w:t>
      </w:r>
      <w:bookmarkEnd w:id="566"/>
      <w:bookmarkEnd w:id="567"/>
      <w:bookmarkEnd w:id="568"/>
      <w:bookmarkEnd w:id="569"/>
    </w:p>
    <w:tbl>
      <w:tblPr>
        <w:tblStyle w:val="18"/>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2"/>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2"/>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2"/>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2"/>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0" w:name="_Toc5026"/>
      <w:bookmarkStart w:id="571" w:name="_Toc11237"/>
      <w:bookmarkStart w:id="572" w:name="_Toc7331"/>
      <w:bookmarkStart w:id="573" w:name="_Toc20594"/>
      <w:r>
        <w:rPr>
          <w:b/>
          <w:bCs/>
          <w:color w:val="auto"/>
          <w:sz w:val="30"/>
          <w:szCs w:val="30"/>
          <w:highlight w:val="none"/>
        </w:rPr>
        <w:t>拟投入本标段的试验和检测仪器设备表</w:t>
      </w:r>
      <w:bookmarkEnd w:id="570"/>
      <w:bookmarkEnd w:id="571"/>
      <w:bookmarkEnd w:id="572"/>
      <w:bookmarkEnd w:id="573"/>
    </w:p>
    <w:tbl>
      <w:tblPr>
        <w:tblStyle w:val="18"/>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2"/>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2"/>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2"/>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4" w:name="_Toc27816"/>
      <w:bookmarkStart w:id="575" w:name="_Toc29302"/>
      <w:bookmarkStart w:id="576" w:name="_Toc22619"/>
      <w:bookmarkStart w:id="577" w:name="_Toc32652"/>
      <w:r>
        <w:rPr>
          <w:b/>
          <w:bCs/>
          <w:color w:val="auto"/>
          <w:sz w:val="30"/>
          <w:szCs w:val="30"/>
          <w:highlight w:val="none"/>
        </w:rPr>
        <w:t>拟投入本标段的劳动力计划表</w:t>
      </w:r>
      <w:bookmarkEnd w:id="574"/>
      <w:bookmarkEnd w:id="575"/>
      <w:bookmarkEnd w:id="576"/>
      <w:bookmarkEnd w:id="577"/>
    </w:p>
    <w:p>
      <w:pPr>
        <w:pStyle w:val="30"/>
        <w:spacing w:after="0" w:line="300" w:lineRule="exact"/>
        <w:ind w:right="380"/>
        <w:jc w:val="right"/>
        <w:rPr>
          <w:color w:val="auto"/>
          <w:highlight w:val="none"/>
        </w:rPr>
      </w:pPr>
      <w:r>
        <w:rPr>
          <w:color w:val="auto"/>
          <w:highlight w:val="none"/>
        </w:rPr>
        <w:t>单位：人</w:t>
      </w:r>
    </w:p>
    <w:tbl>
      <w:tblPr>
        <w:tblStyle w:val="18"/>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1468" w:gutter="0"/>
          <w:pgNumType w:fmt="decimal"/>
          <w:cols w:space="0" w:num="1"/>
          <w:docGrid w:linePitch="360" w:charSpace="0"/>
        </w:sectPr>
      </w:pPr>
    </w:p>
    <w:p>
      <w:pPr>
        <w:pStyle w:val="27"/>
        <w:spacing w:after="680"/>
        <w:rPr>
          <w:color w:val="auto"/>
          <w:highlight w:val="none"/>
        </w:rPr>
      </w:pPr>
    </w:p>
    <w:p>
      <w:pPr>
        <w:pStyle w:val="27"/>
        <w:spacing w:after="680"/>
        <w:rPr>
          <w:color w:val="auto"/>
          <w:highlight w:val="none"/>
        </w:rPr>
      </w:pPr>
    </w:p>
    <w:p>
      <w:pPr>
        <w:rPr>
          <w:color w:val="auto"/>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8" w:name="_Toc6774"/>
      <w:bookmarkStart w:id="579" w:name="_Toc9774"/>
      <w:bookmarkStart w:id="580" w:name="_Toc3162"/>
      <w:bookmarkStart w:id="581" w:name="_Toc2789"/>
      <w:r>
        <w:rPr>
          <w:b/>
          <w:bCs/>
          <w:color w:val="auto"/>
          <w:sz w:val="30"/>
          <w:szCs w:val="30"/>
          <w:highlight w:val="none"/>
        </w:rPr>
        <w:t>计划开工日期、完工日期和施工进度表</w:t>
      </w:r>
      <w:bookmarkEnd w:id="578"/>
      <w:bookmarkEnd w:id="579"/>
      <w:bookmarkEnd w:id="580"/>
      <w:bookmarkEnd w:id="581"/>
    </w:p>
    <w:p>
      <w:pPr>
        <w:pStyle w:val="26"/>
        <w:spacing w:after="0" w:line="460" w:lineRule="exact"/>
        <w:ind w:left="420" w:leftChars="200" w:firstLine="0"/>
        <w:jc w:val="both"/>
        <w:rPr>
          <w:color w:val="auto"/>
          <w:sz w:val="21"/>
          <w:szCs w:val="21"/>
          <w:highlight w:val="none"/>
        </w:rPr>
      </w:pPr>
    </w:p>
    <w:p>
      <w:pPr>
        <w:pStyle w:val="26"/>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6"/>
        <w:spacing w:after="0" w:line="460" w:lineRule="exact"/>
        <w:ind w:left="420" w:leftChars="200" w:firstLine="0"/>
        <w:jc w:val="both"/>
        <w:rPr>
          <w:color w:val="auto"/>
          <w:sz w:val="21"/>
          <w:szCs w:val="21"/>
          <w:highlight w:val="none"/>
        </w:rPr>
        <w:sectPr>
          <w:footerReference r:id="rId50" w:type="default"/>
          <w:footerReference r:id="rId51" w:type="even"/>
          <w:type w:val="continuous"/>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7"/>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2" w:name="_Toc30682"/>
      <w:bookmarkStart w:id="583" w:name="_Toc27277"/>
      <w:bookmarkStart w:id="584" w:name="_Toc12607"/>
      <w:bookmarkStart w:id="585" w:name="_Toc27797"/>
      <w:r>
        <w:rPr>
          <w:b/>
          <w:bCs/>
          <w:color w:val="auto"/>
          <w:sz w:val="30"/>
          <w:szCs w:val="30"/>
          <w:highlight w:val="none"/>
        </w:rPr>
        <w:t>施工总平面图</w:t>
      </w:r>
      <w:bookmarkEnd w:id="582"/>
      <w:bookmarkEnd w:id="583"/>
      <w:bookmarkEnd w:id="584"/>
      <w:bookmarkEnd w:id="585"/>
    </w:p>
    <w:p>
      <w:pPr>
        <w:pStyle w:val="26"/>
        <w:spacing w:after="0" w:line="460" w:lineRule="exact"/>
        <w:ind w:firstLine="420" w:firstLineChars="200"/>
        <w:jc w:val="both"/>
        <w:rPr>
          <w:color w:val="auto"/>
          <w:sz w:val="21"/>
          <w:szCs w:val="21"/>
          <w:highlight w:val="none"/>
          <w:lang w:val="en-US" w:eastAsia="zh-CN"/>
        </w:rPr>
      </w:pPr>
    </w:p>
    <w:p>
      <w:pPr>
        <w:pStyle w:val="26"/>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7"/>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6" w:name="_Toc27087"/>
      <w:bookmarkStart w:id="587" w:name="_Toc7294"/>
      <w:bookmarkStart w:id="588" w:name="_Toc29453"/>
      <w:bookmarkStart w:id="589" w:name="_Toc2884"/>
      <w:r>
        <w:rPr>
          <w:b/>
          <w:bCs/>
          <w:color w:val="auto"/>
          <w:sz w:val="30"/>
          <w:szCs w:val="30"/>
          <w:highlight w:val="none"/>
        </w:rPr>
        <w:t>临时用地表</w:t>
      </w:r>
      <w:bookmarkEnd w:id="586"/>
      <w:bookmarkEnd w:id="587"/>
      <w:bookmarkEnd w:id="588"/>
      <w:bookmarkEnd w:id="589"/>
    </w:p>
    <w:tbl>
      <w:tblPr>
        <w:tblStyle w:val="18"/>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sz w:val="31"/>
          <w:szCs w:val="31"/>
        </w:rPr>
      </w:pPr>
    </w:p>
    <w:sectPr>
      <w:footerReference r:id="rId52" w:type="default"/>
      <w:pgSz w:w="11905" w:h="16839"/>
      <w:pgMar w:top="400" w:right="1785" w:bottom="1020" w:left="1785" w:header="0" w:footer="84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panose1 w:val="020B0504020202030204"/>
    <w:charset w:val="00"/>
    <w:family w:val="swiss"/>
    <w:pitch w:val="default"/>
    <w:sig w:usb0="00000007" w:usb1="00000000" w:usb2="00000000" w:usb3="00000000" w:csb0="00000093"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5"/>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CBD8BE9A"/>
    <w:multiLevelType w:val="singleLevel"/>
    <w:tmpl w:val="CBD8BE9A"/>
    <w:lvl w:ilvl="0" w:tentative="0">
      <w:start w:val="2"/>
      <w:numFmt w:val="chineseCounting"/>
      <w:suff w:val="space"/>
      <w:lvlText w:val="(%1)"/>
      <w:lvlJc w:val="left"/>
      <w:rPr>
        <w:rFonts w:hint="eastAsia"/>
      </w:rPr>
    </w:lvl>
  </w:abstractNum>
  <w:abstractNum w:abstractNumId="2">
    <w:nsid w:val="209B8852"/>
    <w:multiLevelType w:val="singleLevel"/>
    <w:tmpl w:val="209B8852"/>
    <w:lvl w:ilvl="0" w:tentative="0">
      <w:start w:val="6"/>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k4NWI3ZDAwYjBmZjQ2MTNlOWM2Y2ZjNDNjYTk0NzMifQ=="/>
  </w:docVars>
  <w:rsids>
    <w:rsidRoot w:val="00172A27"/>
    <w:rsid w:val="00045570"/>
    <w:rsid w:val="0018099E"/>
    <w:rsid w:val="00182FCA"/>
    <w:rsid w:val="001A64C4"/>
    <w:rsid w:val="001C048E"/>
    <w:rsid w:val="005076B2"/>
    <w:rsid w:val="00984CAE"/>
    <w:rsid w:val="00A87F74"/>
    <w:rsid w:val="00B16D5D"/>
    <w:rsid w:val="00F1191B"/>
    <w:rsid w:val="00F50CDF"/>
    <w:rsid w:val="00FE7B94"/>
    <w:rsid w:val="01074D0A"/>
    <w:rsid w:val="01213882"/>
    <w:rsid w:val="01395070"/>
    <w:rsid w:val="013B4DE0"/>
    <w:rsid w:val="019F4F94"/>
    <w:rsid w:val="01A544B3"/>
    <w:rsid w:val="01B830F9"/>
    <w:rsid w:val="01BB3CD7"/>
    <w:rsid w:val="01CB33C2"/>
    <w:rsid w:val="021B6523"/>
    <w:rsid w:val="02641C78"/>
    <w:rsid w:val="02704AC1"/>
    <w:rsid w:val="02AD14F9"/>
    <w:rsid w:val="02B3421B"/>
    <w:rsid w:val="03247659"/>
    <w:rsid w:val="038A1AFE"/>
    <w:rsid w:val="03FF434E"/>
    <w:rsid w:val="04275653"/>
    <w:rsid w:val="0432413A"/>
    <w:rsid w:val="043B10FF"/>
    <w:rsid w:val="044C330C"/>
    <w:rsid w:val="04714E32"/>
    <w:rsid w:val="04AA56B0"/>
    <w:rsid w:val="04B213C1"/>
    <w:rsid w:val="04DC4690"/>
    <w:rsid w:val="04F75026"/>
    <w:rsid w:val="051E6A56"/>
    <w:rsid w:val="05524952"/>
    <w:rsid w:val="059B1E55"/>
    <w:rsid w:val="05A37394"/>
    <w:rsid w:val="05B50014"/>
    <w:rsid w:val="05C463FC"/>
    <w:rsid w:val="05CD222A"/>
    <w:rsid w:val="05FC351D"/>
    <w:rsid w:val="06354D62"/>
    <w:rsid w:val="063B3638"/>
    <w:rsid w:val="065E2E82"/>
    <w:rsid w:val="066C5949"/>
    <w:rsid w:val="06CB0518"/>
    <w:rsid w:val="06F85085"/>
    <w:rsid w:val="07142474"/>
    <w:rsid w:val="0768044E"/>
    <w:rsid w:val="076A0C5F"/>
    <w:rsid w:val="07766587"/>
    <w:rsid w:val="07A31495"/>
    <w:rsid w:val="07AF1BE8"/>
    <w:rsid w:val="07D846E9"/>
    <w:rsid w:val="08332819"/>
    <w:rsid w:val="08534C69"/>
    <w:rsid w:val="088017D6"/>
    <w:rsid w:val="08901A19"/>
    <w:rsid w:val="08C72A13"/>
    <w:rsid w:val="08CC67C9"/>
    <w:rsid w:val="08ED72BF"/>
    <w:rsid w:val="090C3286"/>
    <w:rsid w:val="091F0FEF"/>
    <w:rsid w:val="09652EA6"/>
    <w:rsid w:val="09A17C56"/>
    <w:rsid w:val="09B90AFC"/>
    <w:rsid w:val="09FE6E56"/>
    <w:rsid w:val="0A00497C"/>
    <w:rsid w:val="0A051F93"/>
    <w:rsid w:val="0A391C3C"/>
    <w:rsid w:val="0A622F41"/>
    <w:rsid w:val="0A8607D0"/>
    <w:rsid w:val="0A88480B"/>
    <w:rsid w:val="0B4C4AD3"/>
    <w:rsid w:val="0B7277C4"/>
    <w:rsid w:val="0B7D1FFD"/>
    <w:rsid w:val="0B8213C1"/>
    <w:rsid w:val="0BF510A8"/>
    <w:rsid w:val="0C1E558E"/>
    <w:rsid w:val="0C67788E"/>
    <w:rsid w:val="0CC56726"/>
    <w:rsid w:val="0CCE33C8"/>
    <w:rsid w:val="0CE854AF"/>
    <w:rsid w:val="0CFE6088"/>
    <w:rsid w:val="0D192565"/>
    <w:rsid w:val="0D447276"/>
    <w:rsid w:val="0DA3550A"/>
    <w:rsid w:val="0DC20170"/>
    <w:rsid w:val="0DD71E98"/>
    <w:rsid w:val="0DDF6F9F"/>
    <w:rsid w:val="0DE93979"/>
    <w:rsid w:val="0E053B98"/>
    <w:rsid w:val="0E341099"/>
    <w:rsid w:val="0E3B2427"/>
    <w:rsid w:val="0E4660AC"/>
    <w:rsid w:val="0E482CCF"/>
    <w:rsid w:val="0E6855F4"/>
    <w:rsid w:val="0EB61F53"/>
    <w:rsid w:val="0F233206"/>
    <w:rsid w:val="0F4B3470"/>
    <w:rsid w:val="0F52416A"/>
    <w:rsid w:val="0F6C4862"/>
    <w:rsid w:val="0F736133"/>
    <w:rsid w:val="0F871BA5"/>
    <w:rsid w:val="0F9C05C0"/>
    <w:rsid w:val="0FB22922"/>
    <w:rsid w:val="0FC149A6"/>
    <w:rsid w:val="0FC96F68"/>
    <w:rsid w:val="102B1891"/>
    <w:rsid w:val="102B4F4A"/>
    <w:rsid w:val="105C6685"/>
    <w:rsid w:val="108005C5"/>
    <w:rsid w:val="10B317D5"/>
    <w:rsid w:val="10D64689"/>
    <w:rsid w:val="111C6430"/>
    <w:rsid w:val="111D682E"/>
    <w:rsid w:val="112D05B8"/>
    <w:rsid w:val="11463F35"/>
    <w:rsid w:val="1181079E"/>
    <w:rsid w:val="118317AA"/>
    <w:rsid w:val="11931423"/>
    <w:rsid w:val="12015736"/>
    <w:rsid w:val="12492C39"/>
    <w:rsid w:val="12CF313E"/>
    <w:rsid w:val="12FC5EFD"/>
    <w:rsid w:val="13392CAD"/>
    <w:rsid w:val="135B2C24"/>
    <w:rsid w:val="13830281"/>
    <w:rsid w:val="1399215F"/>
    <w:rsid w:val="139A199E"/>
    <w:rsid w:val="13B306DE"/>
    <w:rsid w:val="13B3480E"/>
    <w:rsid w:val="13BD568C"/>
    <w:rsid w:val="13E968AE"/>
    <w:rsid w:val="13EE5846"/>
    <w:rsid w:val="13F81B1B"/>
    <w:rsid w:val="14013B40"/>
    <w:rsid w:val="140C7B70"/>
    <w:rsid w:val="144B0EEA"/>
    <w:rsid w:val="144D30D5"/>
    <w:rsid w:val="14B826D0"/>
    <w:rsid w:val="14DC5FE6"/>
    <w:rsid w:val="151B1BCE"/>
    <w:rsid w:val="15564246"/>
    <w:rsid w:val="15B12FCF"/>
    <w:rsid w:val="15EA64E1"/>
    <w:rsid w:val="15F31CC5"/>
    <w:rsid w:val="161C2B3E"/>
    <w:rsid w:val="16262F52"/>
    <w:rsid w:val="16280709"/>
    <w:rsid w:val="16816E45"/>
    <w:rsid w:val="16921052"/>
    <w:rsid w:val="16921550"/>
    <w:rsid w:val="16947BE6"/>
    <w:rsid w:val="16C805D0"/>
    <w:rsid w:val="17035AAC"/>
    <w:rsid w:val="17117359"/>
    <w:rsid w:val="171C0777"/>
    <w:rsid w:val="172B6DB1"/>
    <w:rsid w:val="17343EB7"/>
    <w:rsid w:val="174E322F"/>
    <w:rsid w:val="174F1BF6"/>
    <w:rsid w:val="1757752C"/>
    <w:rsid w:val="177D1FB4"/>
    <w:rsid w:val="17886BE6"/>
    <w:rsid w:val="17E20193"/>
    <w:rsid w:val="187F73B4"/>
    <w:rsid w:val="19134222"/>
    <w:rsid w:val="191A70DD"/>
    <w:rsid w:val="192B4E46"/>
    <w:rsid w:val="192F0DDA"/>
    <w:rsid w:val="19A763C3"/>
    <w:rsid w:val="19B52287"/>
    <w:rsid w:val="1A0B4CF3"/>
    <w:rsid w:val="1A0C13E4"/>
    <w:rsid w:val="1AA17AB6"/>
    <w:rsid w:val="1AA72BF2"/>
    <w:rsid w:val="1AB61BAD"/>
    <w:rsid w:val="1AD25EC1"/>
    <w:rsid w:val="1ADD6614"/>
    <w:rsid w:val="1B1700BE"/>
    <w:rsid w:val="1B593EEC"/>
    <w:rsid w:val="1B910DA3"/>
    <w:rsid w:val="1B944F25"/>
    <w:rsid w:val="1BB2400C"/>
    <w:rsid w:val="1BD6378F"/>
    <w:rsid w:val="1BEE0DC9"/>
    <w:rsid w:val="1BF51661"/>
    <w:rsid w:val="1BFD0D1C"/>
    <w:rsid w:val="1C0C0B80"/>
    <w:rsid w:val="1C167A09"/>
    <w:rsid w:val="1C250273"/>
    <w:rsid w:val="1C363B31"/>
    <w:rsid w:val="1C4C3DE6"/>
    <w:rsid w:val="1C5A1971"/>
    <w:rsid w:val="1C9571A6"/>
    <w:rsid w:val="1D0C4666"/>
    <w:rsid w:val="1D0C6F11"/>
    <w:rsid w:val="1D183933"/>
    <w:rsid w:val="1D366FF8"/>
    <w:rsid w:val="1D807E56"/>
    <w:rsid w:val="1D84721B"/>
    <w:rsid w:val="1D992CC6"/>
    <w:rsid w:val="1DEF19FF"/>
    <w:rsid w:val="1E426EBA"/>
    <w:rsid w:val="1E5C5ADE"/>
    <w:rsid w:val="1E652BA8"/>
    <w:rsid w:val="1E7452A6"/>
    <w:rsid w:val="1E761259"/>
    <w:rsid w:val="1E9B0CC0"/>
    <w:rsid w:val="1EFA59E6"/>
    <w:rsid w:val="1F1E6E7B"/>
    <w:rsid w:val="1F3F1A1D"/>
    <w:rsid w:val="1F6D3CAF"/>
    <w:rsid w:val="1FA871F0"/>
    <w:rsid w:val="1FB630C3"/>
    <w:rsid w:val="1FFD5D05"/>
    <w:rsid w:val="1FFE32B4"/>
    <w:rsid w:val="203060ED"/>
    <w:rsid w:val="203211B0"/>
    <w:rsid w:val="206F0270"/>
    <w:rsid w:val="20925CA2"/>
    <w:rsid w:val="2093568E"/>
    <w:rsid w:val="20A976C4"/>
    <w:rsid w:val="20B322F1"/>
    <w:rsid w:val="20D66B08"/>
    <w:rsid w:val="20DD736E"/>
    <w:rsid w:val="20EA375E"/>
    <w:rsid w:val="210C1A01"/>
    <w:rsid w:val="21380A48"/>
    <w:rsid w:val="216C24A0"/>
    <w:rsid w:val="22456F79"/>
    <w:rsid w:val="224F429B"/>
    <w:rsid w:val="22A068A5"/>
    <w:rsid w:val="22CA6849"/>
    <w:rsid w:val="22E22A19"/>
    <w:rsid w:val="236118E9"/>
    <w:rsid w:val="237815D0"/>
    <w:rsid w:val="238C0BD7"/>
    <w:rsid w:val="23952561"/>
    <w:rsid w:val="240F3CE2"/>
    <w:rsid w:val="242C4C9C"/>
    <w:rsid w:val="24480FA2"/>
    <w:rsid w:val="246F4781"/>
    <w:rsid w:val="248C3BA3"/>
    <w:rsid w:val="24CF3471"/>
    <w:rsid w:val="24EC5DD1"/>
    <w:rsid w:val="250D66A6"/>
    <w:rsid w:val="25155B2C"/>
    <w:rsid w:val="252235A1"/>
    <w:rsid w:val="254C2D14"/>
    <w:rsid w:val="25685950"/>
    <w:rsid w:val="2580476C"/>
    <w:rsid w:val="25873D4C"/>
    <w:rsid w:val="258A47E9"/>
    <w:rsid w:val="25D5565D"/>
    <w:rsid w:val="26246FE8"/>
    <w:rsid w:val="264B5928"/>
    <w:rsid w:val="26630315"/>
    <w:rsid w:val="2697330D"/>
    <w:rsid w:val="269C7383"/>
    <w:rsid w:val="26C1503C"/>
    <w:rsid w:val="26C32B62"/>
    <w:rsid w:val="27076EF2"/>
    <w:rsid w:val="27147861"/>
    <w:rsid w:val="27286E69"/>
    <w:rsid w:val="274E52FB"/>
    <w:rsid w:val="277976C4"/>
    <w:rsid w:val="27BD183F"/>
    <w:rsid w:val="282F45B1"/>
    <w:rsid w:val="28320E3C"/>
    <w:rsid w:val="289447B6"/>
    <w:rsid w:val="28C11323"/>
    <w:rsid w:val="28EF1972"/>
    <w:rsid w:val="28F6721F"/>
    <w:rsid w:val="291D0C4F"/>
    <w:rsid w:val="2973234A"/>
    <w:rsid w:val="29B822DE"/>
    <w:rsid w:val="29D82DC8"/>
    <w:rsid w:val="29D83B67"/>
    <w:rsid w:val="2A5644EE"/>
    <w:rsid w:val="2A64640A"/>
    <w:rsid w:val="2A993665"/>
    <w:rsid w:val="2AE61515"/>
    <w:rsid w:val="2AE72EFF"/>
    <w:rsid w:val="2AEA4B61"/>
    <w:rsid w:val="2B275AF8"/>
    <w:rsid w:val="2B325BEB"/>
    <w:rsid w:val="2BA07916"/>
    <w:rsid w:val="2BAE3DE1"/>
    <w:rsid w:val="2BCF3D57"/>
    <w:rsid w:val="2C140086"/>
    <w:rsid w:val="2C1520B2"/>
    <w:rsid w:val="2C2440A3"/>
    <w:rsid w:val="2C267E1B"/>
    <w:rsid w:val="2C285B01"/>
    <w:rsid w:val="2C8763E0"/>
    <w:rsid w:val="2CEA709A"/>
    <w:rsid w:val="2D031F0A"/>
    <w:rsid w:val="2D614E83"/>
    <w:rsid w:val="2D652BC5"/>
    <w:rsid w:val="2D746964"/>
    <w:rsid w:val="2D88240F"/>
    <w:rsid w:val="2D8E5127"/>
    <w:rsid w:val="2D8F7C42"/>
    <w:rsid w:val="2DA25319"/>
    <w:rsid w:val="2DA90D03"/>
    <w:rsid w:val="2DB43204"/>
    <w:rsid w:val="2DC94537"/>
    <w:rsid w:val="2DCB1885"/>
    <w:rsid w:val="2E232138"/>
    <w:rsid w:val="2E3600BD"/>
    <w:rsid w:val="2E3A5DFF"/>
    <w:rsid w:val="2E6330C4"/>
    <w:rsid w:val="2E6B420B"/>
    <w:rsid w:val="2E7035CF"/>
    <w:rsid w:val="2E76495E"/>
    <w:rsid w:val="2E7B3D22"/>
    <w:rsid w:val="2E953036"/>
    <w:rsid w:val="2E9C2616"/>
    <w:rsid w:val="2EA414CB"/>
    <w:rsid w:val="2EAA1167"/>
    <w:rsid w:val="2EEC7C5F"/>
    <w:rsid w:val="2EFF1B09"/>
    <w:rsid w:val="2F07230D"/>
    <w:rsid w:val="2F0A3A24"/>
    <w:rsid w:val="2F193C67"/>
    <w:rsid w:val="2F2B2B24"/>
    <w:rsid w:val="2F364819"/>
    <w:rsid w:val="2FC021F3"/>
    <w:rsid w:val="2FD96459"/>
    <w:rsid w:val="30026A02"/>
    <w:rsid w:val="305F1B4D"/>
    <w:rsid w:val="30865720"/>
    <w:rsid w:val="309061AB"/>
    <w:rsid w:val="309A4933"/>
    <w:rsid w:val="309D4424"/>
    <w:rsid w:val="30AE4883"/>
    <w:rsid w:val="30B20D73"/>
    <w:rsid w:val="30DA39F7"/>
    <w:rsid w:val="30EA4582"/>
    <w:rsid w:val="30EE2ED1"/>
    <w:rsid w:val="30F46739"/>
    <w:rsid w:val="3102072B"/>
    <w:rsid w:val="311741D6"/>
    <w:rsid w:val="318A6232"/>
    <w:rsid w:val="3199690D"/>
    <w:rsid w:val="31A33CBC"/>
    <w:rsid w:val="31C2361B"/>
    <w:rsid w:val="31CA2DDC"/>
    <w:rsid w:val="32186458"/>
    <w:rsid w:val="3243161E"/>
    <w:rsid w:val="32590284"/>
    <w:rsid w:val="32676A97"/>
    <w:rsid w:val="32DF2AD1"/>
    <w:rsid w:val="331537EB"/>
    <w:rsid w:val="333A41AC"/>
    <w:rsid w:val="336D632F"/>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C642D"/>
    <w:rsid w:val="35492DCC"/>
    <w:rsid w:val="35AA386B"/>
    <w:rsid w:val="35EE27B6"/>
    <w:rsid w:val="35F1149A"/>
    <w:rsid w:val="36013107"/>
    <w:rsid w:val="36015455"/>
    <w:rsid w:val="36211653"/>
    <w:rsid w:val="364A2958"/>
    <w:rsid w:val="366C1B88"/>
    <w:rsid w:val="36D6243D"/>
    <w:rsid w:val="36F31241"/>
    <w:rsid w:val="36FB6257"/>
    <w:rsid w:val="37377380"/>
    <w:rsid w:val="37CE75B8"/>
    <w:rsid w:val="38066D52"/>
    <w:rsid w:val="381E22EE"/>
    <w:rsid w:val="382B0567"/>
    <w:rsid w:val="38327B47"/>
    <w:rsid w:val="386C0D24"/>
    <w:rsid w:val="387826B4"/>
    <w:rsid w:val="387E31B6"/>
    <w:rsid w:val="38C620B7"/>
    <w:rsid w:val="38D35896"/>
    <w:rsid w:val="38F848ED"/>
    <w:rsid w:val="391A0D07"/>
    <w:rsid w:val="39202096"/>
    <w:rsid w:val="396B4DB7"/>
    <w:rsid w:val="39753550"/>
    <w:rsid w:val="399777F9"/>
    <w:rsid w:val="39A93E39"/>
    <w:rsid w:val="39AE76A2"/>
    <w:rsid w:val="39E13E5C"/>
    <w:rsid w:val="39EB6200"/>
    <w:rsid w:val="3A0D1094"/>
    <w:rsid w:val="3A175247"/>
    <w:rsid w:val="3A2636DC"/>
    <w:rsid w:val="3A4E724D"/>
    <w:rsid w:val="3A5913BB"/>
    <w:rsid w:val="3A5E2E76"/>
    <w:rsid w:val="3A751F6D"/>
    <w:rsid w:val="3A775CE5"/>
    <w:rsid w:val="3A992A90"/>
    <w:rsid w:val="3ACF167E"/>
    <w:rsid w:val="3AE15338"/>
    <w:rsid w:val="3AE25855"/>
    <w:rsid w:val="3AFB223A"/>
    <w:rsid w:val="3B6B7D37"/>
    <w:rsid w:val="3B81506E"/>
    <w:rsid w:val="3B84690C"/>
    <w:rsid w:val="3B9308FD"/>
    <w:rsid w:val="3BB173A5"/>
    <w:rsid w:val="3BB32D4D"/>
    <w:rsid w:val="3BB84807"/>
    <w:rsid w:val="3BC211E2"/>
    <w:rsid w:val="3BE253E0"/>
    <w:rsid w:val="3C1C08F2"/>
    <w:rsid w:val="3C3027F9"/>
    <w:rsid w:val="3C9E1C4F"/>
    <w:rsid w:val="3CB31743"/>
    <w:rsid w:val="3CD45671"/>
    <w:rsid w:val="3CE9331F"/>
    <w:rsid w:val="3CEF24AB"/>
    <w:rsid w:val="3D22462E"/>
    <w:rsid w:val="3D484A54"/>
    <w:rsid w:val="3D5642D8"/>
    <w:rsid w:val="3D5A3DC8"/>
    <w:rsid w:val="3D856028"/>
    <w:rsid w:val="3D92499B"/>
    <w:rsid w:val="3D960B78"/>
    <w:rsid w:val="3DEB2C72"/>
    <w:rsid w:val="3E344619"/>
    <w:rsid w:val="3E3C34CE"/>
    <w:rsid w:val="3E7011EE"/>
    <w:rsid w:val="3E8135D7"/>
    <w:rsid w:val="3EA23BA4"/>
    <w:rsid w:val="3F3E3276"/>
    <w:rsid w:val="3F60143E"/>
    <w:rsid w:val="3F746C97"/>
    <w:rsid w:val="3F9904AC"/>
    <w:rsid w:val="3F9A32B7"/>
    <w:rsid w:val="3FB17EB7"/>
    <w:rsid w:val="3FCA68B7"/>
    <w:rsid w:val="3FD95530"/>
    <w:rsid w:val="404C5455"/>
    <w:rsid w:val="40A3502A"/>
    <w:rsid w:val="40C70712"/>
    <w:rsid w:val="40E21DA2"/>
    <w:rsid w:val="40E8793D"/>
    <w:rsid w:val="40F77B80"/>
    <w:rsid w:val="40FA41AB"/>
    <w:rsid w:val="410C362B"/>
    <w:rsid w:val="410D3FB7"/>
    <w:rsid w:val="412A1D04"/>
    <w:rsid w:val="412A3AB2"/>
    <w:rsid w:val="412F1132"/>
    <w:rsid w:val="414032D5"/>
    <w:rsid w:val="414210F7"/>
    <w:rsid w:val="41594D78"/>
    <w:rsid w:val="415E7BFF"/>
    <w:rsid w:val="417E7959"/>
    <w:rsid w:val="41886A2A"/>
    <w:rsid w:val="41961147"/>
    <w:rsid w:val="41C061C4"/>
    <w:rsid w:val="41E21E95"/>
    <w:rsid w:val="41F27C60"/>
    <w:rsid w:val="42206C63"/>
    <w:rsid w:val="423D5A66"/>
    <w:rsid w:val="425C5EED"/>
    <w:rsid w:val="42752198"/>
    <w:rsid w:val="42EA6DFF"/>
    <w:rsid w:val="43087A30"/>
    <w:rsid w:val="431763A8"/>
    <w:rsid w:val="43291081"/>
    <w:rsid w:val="435A7F52"/>
    <w:rsid w:val="435D6A69"/>
    <w:rsid w:val="43615785"/>
    <w:rsid w:val="43A322E2"/>
    <w:rsid w:val="44625EBC"/>
    <w:rsid w:val="449776B0"/>
    <w:rsid w:val="449A0F4E"/>
    <w:rsid w:val="44A43B7B"/>
    <w:rsid w:val="44EE7717"/>
    <w:rsid w:val="44EF7376"/>
    <w:rsid w:val="450B1E4C"/>
    <w:rsid w:val="45362927"/>
    <w:rsid w:val="453E2817"/>
    <w:rsid w:val="455671FE"/>
    <w:rsid w:val="4568104C"/>
    <w:rsid w:val="456A4DC4"/>
    <w:rsid w:val="45853E33"/>
    <w:rsid w:val="458B6AE9"/>
    <w:rsid w:val="45D91F5D"/>
    <w:rsid w:val="45EE77A4"/>
    <w:rsid w:val="46152F8B"/>
    <w:rsid w:val="461D300E"/>
    <w:rsid w:val="46203170"/>
    <w:rsid w:val="463177EE"/>
    <w:rsid w:val="46696E2A"/>
    <w:rsid w:val="46C83D2F"/>
    <w:rsid w:val="46D15EC4"/>
    <w:rsid w:val="46D45844"/>
    <w:rsid w:val="46D71FE6"/>
    <w:rsid w:val="47305B9A"/>
    <w:rsid w:val="474653BD"/>
    <w:rsid w:val="476475F1"/>
    <w:rsid w:val="478D4176"/>
    <w:rsid w:val="479903C6"/>
    <w:rsid w:val="479C322F"/>
    <w:rsid w:val="47D8286F"/>
    <w:rsid w:val="47F50055"/>
    <w:rsid w:val="481A3A9E"/>
    <w:rsid w:val="48873598"/>
    <w:rsid w:val="489F1A9F"/>
    <w:rsid w:val="48C77E38"/>
    <w:rsid w:val="49804BB7"/>
    <w:rsid w:val="49825388"/>
    <w:rsid w:val="49A95790"/>
    <w:rsid w:val="4A767D68"/>
    <w:rsid w:val="4A814186"/>
    <w:rsid w:val="4AAA7A11"/>
    <w:rsid w:val="4AB77738"/>
    <w:rsid w:val="4AC74AE9"/>
    <w:rsid w:val="4AE90539"/>
    <w:rsid w:val="4AE922E8"/>
    <w:rsid w:val="4B15132F"/>
    <w:rsid w:val="4B290A61"/>
    <w:rsid w:val="4B2C55D8"/>
    <w:rsid w:val="4B5104CE"/>
    <w:rsid w:val="4B630235"/>
    <w:rsid w:val="4BA17066"/>
    <w:rsid w:val="4BB931C6"/>
    <w:rsid w:val="4BCB3861"/>
    <w:rsid w:val="4BE11211"/>
    <w:rsid w:val="4C017B05"/>
    <w:rsid w:val="4C35155C"/>
    <w:rsid w:val="4C883D82"/>
    <w:rsid w:val="4C8D1398"/>
    <w:rsid w:val="4CA96713"/>
    <w:rsid w:val="4CB136A7"/>
    <w:rsid w:val="4CE90CC5"/>
    <w:rsid w:val="4CF51418"/>
    <w:rsid w:val="4D4B1038"/>
    <w:rsid w:val="4D523F6D"/>
    <w:rsid w:val="4D583A52"/>
    <w:rsid w:val="4D7C2AB9"/>
    <w:rsid w:val="4D82166B"/>
    <w:rsid w:val="4D970721"/>
    <w:rsid w:val="4DA8765B"/>
    <w:rsid w:val="4DAE5A6A"/>
    <w:rsid w:val="4DD202D7"/>
    <w:rsid w:val="4DDD3C5A"/>
    <w:rsid w:val="4E395334"/>
    <w:rsid w:val="4E5A39BF"/>
    <w:rsid w:val="4E5B79A0"/>
    <w:rsid w:val="4E600B13"/>
    <w:rsid w:val="4E760336"/>
    <w:rsid w:val="4E8E558A"/>
    <w:rsid w:val="4E916F1E"/>
    <w:rsid w:val="4EA416E7"/>
    <w:rsid w:val="4EBB21ED"/>
    <w:rsid w:val="4EBD7D4D"/>
    <w:rsid w:val="4EE2777A"/>
    <w:rsid w:val="4EF179BD"/>
    <w:rsid w:val="4F2E7660"/>
    <w:rsid w:val="4F400944"/>
    <w:rsid w:val="4F5F3B48"/>
    <w:rsid w:val="4FA42819"/>
    <w:rsid w:val="4FA7451F"/>
    <w:rsid w:val="4FB05ACA"/>
    <w:rsid w:val="4FD95020"/>
    <w:rsid w:val="505C7A00"/>
    <w:rsid w:val="506F4906"/>
    <w:rsid w:val="507813C6"/>
    <w:rsid w:val="50834F8C"/>
    <w:rsid w:val="50903205"/>
    <w:rsid w:val="50973136"/>
    <w:rsid w:val="50B923F3"/>
    <w:rsid w:val="50C057AC"/>
    <w:rsid w:val="50C25AB5"/>
    <w:rsid w:val="50E7551B"/>
    <w:rsid w:val="51114346"/>
    <w:rsid w:val="51413CD0"/>
    <w:rsid w:val="51417051"/>
    <w:rsid w:val="51786C05"/>
    <w:rsid w:val="518965D2"/>
    <w:rsid w:val="51AD23AB"/>
    <w:rsid w:val="51D0752F"/>
    <w:rsid w:val="51DE1435"/>
    <w:rsid w:val="523A5B1F"/>
    <w:rsid w:val="523A78CD"/>
    <w:rsid w:val="52BD45AC"/>
    <w:rsid w:val="52D054FF"/>
    <w:rsid w:val="5349426B"/>
    <w:rsid w:val="537D3F15"/>
    <w:rsid w:val="53AA2130"/>
    <w:rsid w:val="53B35B89"/>
    <w:rsid w:val="53D051D1"/>
    <w:rsid w:val="53D33B35"/>
    <w:rsid w:val="540168F4"/>
    <w:rsid w:val="540F44B7"/>
    <w:rsid w:val="54531D4B"/>
    <w:rsid w:val="547215A0"/>
    <w:rsid w:val="5486079C"/>
    <w:rsid w:val="54AB5F5C"/>
    <w:rsid w:val="54AC1CC0"/>
    <w:rsid w:val="54DC2EBD"/>
    <w:rsid w:val="54DF0561"/>
    <w:rsid w:val="54F767BE"/>
    <w:rsid w:val="55004DFD"/>
    <w:rsid w:val="554A7DEE"/>
    <w:rsid w:val="555148AC"/>
    <w:rsid w:val="5572737D"/>
    <w:rsid w:val="55A75279"/>
    <w:rsid w:val="563D6370"/>
    <w:rsid w:val="56464A92"/>
    <w:rsid w:val="566D64C3"/>
    <w:rsid w:val="5676586A"/>
    <w:rsid w:val="56867733"/>
    <w:rsid w:val="56CB4C99"/>
    <w:rsid w:val="57435475"/>
    <w:rsid w:val="57C62F3F"/>
    <w:rsid w:val="57D23A02"/>
    <w:rsid w:val="57D63C5E"/>
    <w:rsid w:val="58150BC0"/>
    <w:rsid w:val="581A4428"/>
    <w:rsid w:val="58421289"/>
    <w:rsid w:val="587578B0"/>
    <w:rsid w:val="591460E1"/>
    <w:rsid w:val="59154BEF"/>
    <w:rsid w:val="592B4EA9"/>
    <w:rsid w:val="593A0E1B"/>
    <w:rsid w:val="594D25DB"/>
    <w:rsid w:val="5963595B"/>
    <w:rsid w:val="59B15C12"/>
    <w:rsid w:val="59BC1DD2"/>
    <w:rsid w:val="59C4289D"/>
    <w:rsid w:val="59C77C98"/>
    <w:rsid w:val="59DB7BE7"/>
    <w:rsid w:val="59FD190B"/>
    <w:rsid w:val="5A0C1B4F"/>
    <w:rsid w:val="5A753B98"/>
    <w:rsid w:val="5A8838A1"/>
    <w:rsid w:val="5AA12AF6"/>
    <w:rsid w:val="5AB04179"/>
    <w:rsid w:val="5AD703AE"/>
    <w:rsid w:val="5B5318C2"/>
    <w:rsid w:val="5B57329D"/>
    <w:rsid w:val="5B5C08B4"/>
    <w:rsid w:val="5B6360E6"/>
    <w:rsid w:val="5B9A6F42"/>
    <w:rsid w:val="5BB4249E"/>
    <w:rsid w:val="5BB43B62"/>
    <w:rsid w:val="5BFD3E45"/>
    <w:rsid w:val="5C007491"/>
    <w:rsid w:val="5C142F3C"/>
    <w:rsid w:val="5C2E2250"/>
    <w:rsid w:val="5C5F68AD"/>
    <w:rsid w:val="5C796266"/>
    <w:rsid w:val="5C9127DF"/>
    <w:rsid w:val="5CB14C2F"/>
    <w:rsid w:val="5CD64696"/>
    <w:rsid w:val="5CD94CB9"/>
    <w:rsid w:val="5CE45005"/>
    <w:rsid w:val="5D4D2BAA"/>
    <w:rsid w:val="5DA21CD3"/>
    <w:rsid w:val="5DDB1F64"/>
    <w:rsid w:val="5DDD16DD"/>
    <w:rsid w:val="5DDE1A54"/>
    <w:rsid w:val="5DF272AD"/>
    <w:rsid w:val="5DFC31B0"/>
    <w:rsid w:val="5E2F0505"/>
    <w:rsid w:val="5E420235"/>
    <w:rsid w:val="5E7B72A3"/>
    <w:rsid w:val="5E9D190F"/>
    <w:rsid w:val="5ED21D1B"/>
    <w:rsid w:val="5EDD010D"/>
    <w:rsid w:val="5F1D65AC"/>
    <w:rsid w:val="5F296CFF"/>
    <w:rsid w:val="5F41673E"/>
    <w:rsid w:val="5F8609B3"/>
    <w:rsid w:val="5FFC08B7"/>
    <w:rsid w:val="604F6CED"/>
    <w:rsid w:val="60561D75"/>
    <w:rsid w:val="6067103B"/>
    <w:rsid w:val="60DB04CD"/>
    <w:rsid w:val="60E3046B"/>
    <w:rsid w:val="61333069"/>
    <w:rsid w:val="613C7EFA"/>
    <w:rsid w:val="6146003C"/>
    <w:rsid w:val="619F27FC"/>
    <w:rsid w:val="625422E5"/>
    <w:rsid w:val="625D412A"/>
    <w:rsid w:val="62DB2A06"/>
    <w:rsid w:val="62F15D85"/>
    <w:rsid w:val="631657EC"/>
    <w:rsid w:val="63352B22"/>
    <w:rsid w:val="63416D0D"/>
    <w:rsid w:val="634458AE"/>
    <w:rsid w:val="63506F50"/>
    <w:rsid w:val="63C20B3C"/>
    <w:rsid w:val="63C811DC"/>
    <w:rsid w:val="63DA0F0F"/>
    <w:rsid w:val="63E36016"/>
    <w:rsid w:val="63F444C1"/>
    <w:rsid w:val="63F44780"/>
    <w:rsid w:val="640970FF"/>
    <w:rsid w:val="641849EA"/>
    <w:rsid w:val="64223687"/>
    <w:rsid w:val="64413C96"/>
    <w:rsid w:val="64524F4A"/>
    <w:rsid w:val="6461518D"/>
    <w:rsid w:val="649D58E8"/>
    <w:rsid w:val="649F39B1"/>
    <w:rsid w:val="64AD2180"/>
    <w:rsid w:val="64CC0858"/>
    <w:rsid w:val="64E8140A"/>
    <w:rsid w:val="64F9635C"/>
    <w:rsid w:val="6529123F"/>
    <w:rsid w:val="652A3E03"/>
    <w:rsid w:val="657D7DA4"/>
    <w:rsid w:val="658E3D60"/>
    <w:rsid w:val="65E6594A"/>
    <w:rsid w:val="6649596B"/>
    <w:rsid w:val="664A412A"/>
    <w:rsid w:val="66524D8D"/>
    <w:rsid w:val="666B22F3"/>
    <w:rsid w:val="66A9010E"/>
    <w:rsid w:val="66CD4D5B"/>
    <w:rsid w:val="66DE0D17"/>
    <w:rsid w:val="66E16111"/>
    <w:rsid w:val="674E0D9C"/>
    <w:rsid w:val="675863D3"/>
    <w:rsid w:val="67746ECA"/>
    <w:rsid w:val="67753429"/>
    <w:rsid w:val="67B37ECB"/>
    <w:rsid w:val="67B97A73"/>
    <w:rsid w:val="67BA52E0"/>
    <w:rsid w:val="67E1461B"/>
    <w:rsid w:val="67FA0C0D"/>
    <w:rsid w:val="680577D0"/>
    <w:rsid w:val="681D7251"/>
    <w:rsid w:val="684670AF"/>
    <w:rsid w:val="684D7F02"/>
    <w:rsid w:val="686239C2"/>
    <w:rsid w:val="6870599E"/>
    <w:rsid w:val="688D02FE"/>
    <w:rsid w:val="68A1024E"/>
    <w:rsid w:val="68A85133"/>
    <w:rsid w:val="68D93544"/>
    <w:rsid w:val="69026F3E"/>
    <w:rsid w:val="690F3409"/>
    <w:rsid w:val="691E364C"/>
    <w:rsid w:val="69603C65"/>
    <w:rsid w:val="697A298C"/>
    <w:rsid w:val="698E2580"/>
    <w:rsid w:val="69AE677E"/>
    <w:rsid w:val="69AF0748"/>
    <w:rsid w:val="69B95123"/>
    <w:rsid w:val="69DB32BB"/>
    <w:rsid w:val="69F525FF"/>
    <w:rsid w:val="6A037E18"/>
    <w:rsid w:val="6A162576"/>
    <w:rsid w:val="6A3F39DB"/>
    <w:rsid w:val="6A4470E3"/>
    <w:rsid w:val="6A7F45BF"/>
    <w:rsid w:val="6A7F636D"/>
    <w:rsid w:val="6AA16147"/>
    <w:rsid w:val="6AB26742"/>
    <w:rsid w:val="6AC63822"/>
    <w:rsid w:val="6B0D635E"/>
    <w:rsid w:val="6B2534C0"/>
    <w:rsid w:val="6B7452B0"/>
    <w:rsid w:val="6B947BF6"/>
    <w:rsid w:val="6C0516E7"/>
    <w:rsid w:val="6C07661A"/>
    <w:rsid w:val="6C141EFD"/>
    <w:rsid w:val="6C2E3BA6"/>
    <w:rsid w:val="6C343264"/>
    <w:rsid w:val="6C727F37"/>
    <w:rsid w:val="6C960A99"/>
    <w:rsid w:val="6CA13C29"/>
    <w:rsid w:val="6CDB5FFD"/>
    <w:rsid w:val="6D1F7993"/>
    <w:rsid w:val="6D4A4A10"/>
    <w:rsid w:val="6D505D9E"/>
    <w:rsid w:val="6D521B17"/>
    <w:rsid w:val="6D57712D"/>
    <w:rsid w:val="6DAA3701"/>
    <w:rsid w:val="6DD72B83"/>
    <w:rsid w:val="6DEF21E8"/>
    <w:rsid w:val="6DF46E10"/>
    <w:rsid w:val="6E072901"/>
    <w:rsid w:val="6E133EA4"/>
    <w:rsid w:val="6E5B49FB"/>
    <w:rsid w:val="6ED00F45"/>
    <w:rsid w:val="6F0B01CF"/>
    <w:rsid w:val="6F205B4F"/>
    <w:rsid w:val="6F2D45E9"/>
    <w:rsid w:val="6F430D98"/>
    <w:rsid w:val="6F9401C4"/>
    <w:rsid w:val="6FC7059A"/>
    <w:rsid w:val="6FCC14A6"/>
    <w:rsid w:val="6FCC795E"/>
    <w:rsid w:val="6FD17CF0"/>
    <w:rsid w:val="6FDC4642"/>
    <w:rsid w:val="700A0487"/>
    <w:rsid w:val="70196898"/>
    <w:rsid w:val="701D2C2B"/>
    <w:rsid w:val="70232A34"/>
    <w:rsid w:val="702F7EED"/>
    <w:rsid w:val="703C0F56"/>
    <w:rsid w:val="70AB3A18"/>
    <w:rsid w:val="70E85996"/>
    <w:rsid w:val="70F57389"/>
    <w:rsid w:val="70FC24C5"/>
    <w:rsid w:val="71025602"/>
    <w:rsid w:val="710E21F8"/>
    <w:rsid w:val="71303F5E"/>
    <w:rsid w:val="71483C97"/>
    <w:rsid w:val="716821A6"/>
    <w:rsid w:val="71BE59CD"/>
    <w:rsid w:val="71E12284"/>
    <w:rsid w:val="720E5936"/>
    <w:rsid w:val="724B08B6"/>
    <w:rsid w:val="726E11A1"/>
    <w:rsid w:val="72AB79C6"/>
    <w:rsid w:val="72AE77EF"/>
    <w:rsid w:val="72D164E9"/>
    <w:rsid w:val="731A4E85"/>
    <w:rsid w:val="73441F01"/>
    <w:rsid w:val="7375655F"/>
    <w:rsid w:val="737E18B7"/>
    <w:rsid w:val="738B7B30"/>
    <w:rsid w:val="739015EB"/>
    <w:rsid w:val="73AA445A"/>
    <w:rsid w:val="73B2330F"/>
    <w:rsid w:val="73B36D4C"/>
    <w:rsid w:val="73BE4472"/>
    <w:rsid w:val="740F47A9"/>
    <w:rsid w:val="7412568B"/>
    <w:rsid w:val="742C1313"/>
    <w:rsid w:val="74890514"/>
    <w:rsid w:val="749E11D9"/>
    <w:rsid w:val="74CB3119"/>
    <w:rsid w:val="74EE481B"/>
    <w:rsid w:val="756A5E7A"/>
    <w:rsid w:val="75711A3B"/>
    <w:rsid w:val="75794FC1"/>
    <w:rsid w:val="75A82C1C"/>
    <w:rsid w:val="75B85909"/>
    <w:rsid w:val="76283D5C"/>
    <w:rsid w:val="76373F9F"/>
    <w:rsid w:val="76983A7C"/>
    <w:rsid w:val="76BF3ED8"/>
    <w:rsid w:val="76F510B4"/>
    <w:rsid w:val="76F53C3E"/>
    <w:rsid w:val="771A18F7"/>
    <w:rsid w:val="77291B3A"/>
    <w:rsid w:val="773F2F9D"/>
    <w:rsid w:val="777059BB"/>
    <w:rsid w:val="77A13A95"/>
    <w:rsid w:val="77C26F9D"/>
    <w:rsid w:val="77C655DB"/>
    <w:rsid w:val="77DA4BE2"/>
    <w:rsid w:val="77FC7AB0"/>
    <w:rsid w:val="781225CE"/>
    <w:rsid w:val="782B3690"/>
    <w:rsid w:val="783B7D77"/>
    <w:rsid w:val="788039DC"/>
    <w:rsid w:val="79020895"/>
    <w:rsid w:val="79075EAB"/>
    <w:rsid w:val="7992712A"/>
    <w:rsid w:val="79A82583"/>
    <w:rsid w:val="79AB64CC"/>
    <w:rsid w:val="7A2C24E2"/>
    <w:rsid w:val="7A6D4434"/>
    <w:rsid w:val="7A7B2E7E"/>
    <w:rsid w:val="7A9C5DCD"/>
    <w:rsid w:val="7ABC4A73"/>
    <w:rsid w:val="7AD95625"/>
    <w:rsid w:val="7B1623D5"/>
    <w:rsid w:val="7B3D7962"/>
    <w:rsid w:val="7B4C22BA"/>
    <w:rsid w:val="7B770C65"/>
    <w:rsid w:val="7B785837"/>
    <w:rsid w:val="7BA57C9B"/>
    <w:rsid w:val="7BBF0CBF"/>
    <w:rsid w:val="7BEE3352"/>
    <w:rsid w:val="7BF81ADB"/>
    <w:rsid w:val="7C1E3C37"/>
    <w:rsid w:val="7C6F4493"/>
    <w:rsid w:val="7C801D81"/>
    <w:rsid w:val="7CA0289E"/>
    <w:rsid w:val="7CAF663E"/>
    <w:rsid w:val="7CDC4F4D"/>
    <w:rsid w:val="7CF61B4A"/>
    <w:rsid w:val="7D0175BF"/>
    <w:rsid w:val="7D146DE8"/>
    <w:rsid w:val="7D1B7D8D"/>
    <w:rsid w:val="7D470F6C"/>
    <w:rsid w:val="7D6F401F"/>
    <w:rsid w:val="7D935F5F"/>
    <w:rsid w:val="7D9B4E14"/>
    <w:rsid w:val="7DBB54B6"/>
    <w:rsid w:val="7DE40569"/>
    <w:rsid w:val="7EA1645A"/>
    <w:rsid w:val="7EDB7D0A"/>
    <w:rsid w:val="7F052E8D"/>
    <w:rsid w:val="7F2257ED"/>
    <w:rsid w:val="7F497961"/>
    <w:rsid w:val="7F4A6AF1"/>
    <w:rsid w:val="7F565496"/>
    <w:rsid w:val="7F741D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6"/>
    <w:qFormat/>
    <w:uiPriority w:val="0"/>
    <w:pPr>
      <w:keepNext/>
      <w:keepLines/>
      <w:outlineLvl w:val="1"/>
    </w:pPr>
    <w:rPr>
      <w:rFonts w:ascii="Arial" w:hAnsi="Arial" w:eastAsia="黑体" w:cs="Arial"/>
      <w:b/>
      <w:sz w:val="32"/>
      <w:szCs w:val="32"/>
    </w:rPr>
  </w:style>
  <w:style w:type="paragraph" w:styleId="9">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200" w:firstLine="200" w:firstLineChars="200"/>
    </w:pPr>
  </w:style>
  <w:style w:type="paragraph" w:styleId="3">
    <w:name w:val="Body Text Indent"/>
    <w:basedOn w:val="1"/>
    <w:next w:val="1"/>
    <w:qFormat/>
    <w:uiPriority w:val="0"/>
    <w:pPr>
      <w:spacing w:after="120" w:afterLines="0" w:afterAutospacing="0"/>
      <w:ind w:left="420" w:leftChars="200"/>
    </w:pPr>
  </w:style>
  <w:style w:type="paragraph" w:styleId="6">
    <w:name w:val="Body Text First Indent"/>
    <w:basedOn w:val="7"/>
    <w:next w:val="8"/>
    <w:qFormat/>
    <w:uiPriority w:val="0"/>
    <w:pPr>
      <w:spacing w:after="120" w:line="240" w:lineRule="auto"/>
      <w:ind w:firstLine="420" w:firstLineChars="100"/>
    </w:pPr>
    <w:rPr>
      <w:sz w:val="24"/>
    </w:rPr>
  </w:style>
  <w:style w:type="paragraph" w:styleId="7">
    <w:name w:val="Body Text"/>
    <w:basedOn w:val="1"/>
    <w:next w:val="6"/>
    <w:qFormat/>
    <w:uiPriority w:val="0"/>
    <w:pPr>
      <w:spacing w:line="300" w:lineRule="auto"/>
    </w:pPr>
    <w:rPr>
      <w:sz w:val="28"/>
      <w:szCs w:val="20"/>
    </w:rPr>
  </w:style>
  <w:style w:type="paragraph" w:styleId="8">
    <w:name w:val="toc 6"/>
    <w:basedOn w:val="1"/>
    <w:next w:val="1"/>
    <w:qFormat/>
    <w:uiPriority w:val="39"/>
    <w:pPr>
      <w:ind w:left="2100" w:leftChars="1000"/>
    </w:pPr>
  </w:style>
  <w:style w:type="paragraph" w:styleId="10">
    <w:name w:val="Normal Indent"/>
    <w:basedOn w:val="1"/>
    <w:qFormat/>
    <w:uiPriority w:val="0"/>
    <w:pPr>
      <w:ind w:firstLine="488"/>
    </w:pPr>
    <w:rPr>
      <w:sz w:val="24"/>
      <w:szCs w:val="20"/>
    </w:rPr>
  </w:style>
  <w:style w:type="paragraph" w:styleId="11">
    <w:name w:val="annotation text"/>
    <w:basedOn w:val="1"/>
    <w:qFormat/>
    <w:uiPriority w:val="0"/>
    <w:pPr>
      <w:jc w:val="left"/>
    </w:pPr>
  </w:style>
  <w:style w:type="paragraph" w:styleId="12">
    <w:name w:val="toc 3"/>
    <w:basedOn w:val="1"/>
    <w:next w:val="1"/>
    <w:qFormat/>
    <w:uiPriority w:val="0"/>
    <w:pPr>
      <w:ind w:left="840" w:leftChars="400"/>
    </w:pPr>
  </w:style>
  <w:style w:type="paragraph" w:styleId="13">
    <w:name w:val="Plain Text"/>
    <w:basedOn w:val="1"/>
    <w:qFormat/>
    <w:uiPriority w:val="0"/>
    <w:rPr>
      <w:rFonts w:ascii="Courier New" w:hAnsi="Courier New" w:eastAsia="微软雅黑"/>
      <w:szCs w:val="20"/>
    </w:rPr>
  </w:style>
  <w:style w:type="paragraph" w:styleId="14">
    <w:name w:val="Body Text Indent 2"/>
    <w:basedOn w:val="1"/>
    <w:qFormat/>
    <w:uiPriority w:val="0"/>
    <w:pPr>
      <w:spacing w:after="120" w:line="480" w:lineRule="auto"/>
      <w:ind w:left="420" w:leftChars="200"/>
    </w:pPr>
  </w:style>
  <w:style w:type="paragraph" w:styleId="15">
    <w:name w:val="footer"/>
    <w:basedOn w:val="1"/>
    <w:qFormat/>
    <w:uiPriority w:val="0"/>
    <w:pPr>
      <w:tabs>
        <w:tab w:val="center" w:pos="4153"/>
        <w:tab w:val="right" w:pos="8306"/>
      </w:tabs>
    </w:pPr>
    <w:rPr>
      <w:sz w:val="18"/>
    </w:rPr>
  </w:style>
  <w:style w:type="paragraph" w:styleId="16">
    <w:name w:val="toc 1"/>
    <w:basedOn w:val="1"/>
    <w:next w:val="1"/>
    <w:qFormat/>
    <w:uiPriority w:val="0"/>
    <w:pPr>
      <w:spacing w:before="120" w:after="120" w:line="360" w:lineRule="auto"/>
      <w:jc w:val="center"/>
    </w:pPr>
    <w:rPr>
      <w:rFonts w:ascii="Calibri" w:hAnsi="Calibri"/>
      <w:b/>
      <w:bCs/>
      <w:caps/>
      <w:sz w:val="20"/>
      <w:szCs w:val="20"/>
    </w:rPr>
  </w:style>
  <w:style w:type="paragraph" w:styleId="17">
    <w:name w:val="toc 2"/>
    <w:basedOn w:val="1"/>
    <w:next w:val="1"/>
    <w:qFormat/>
    <w:uiPriority w:val="0"/>
    <w:pPr>
      <w:ind w:left="420" w:left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paragraph" w:customStyle="1" w:styleId="23">
    <w:name w:val="章正文"/>
    <w:basedOn w:val="1"/>
    <w:qFormat/>
    <w:uiPriority w:val="0"/>
    <w:pPr>
      <w:spacing w:beforeLines="50" w:after="120" w:line="300" w:lineRule="auto"/>
      <w:ind w:firstLine="480"/>
    </w:pPr>
    <w:rPr>
      <w:rFonts w:ascii="Helvetica" w:hAnsi="Helvetica"/>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7">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28">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29">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0">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1">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2">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3">
    <w:name w:val="List Paragraph"/>
    <w:basedOn w:val="1"/>
    <w:unhideWhenUsed/>
    <w:qFormat/>
    <w:uiPriority w:val="99"/>
    <w:pPr>
      <w:ind w:firstLine="420" w:firstLineChars="200"/>
    </w:pPr>
  </w:style>
  <w:style w:type="paragraph" w:customStyle="1" w:styleId="34">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5">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6">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7">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38">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39">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0">
    <w:name w:val="样式 标题 3 + (中文) 黑体 小四 非加粗 段前: 7.8 磅 段后: 0 磅 行距: 固定值 20 磅"/>
    <w:basedOn w:val="9"/>
    <w:qFormat/>
    <w:uiPriority w:val="0"/>
    <w:pPr>
      <w:spacing w:before="0" w:after="0" w:line="400" w:lineRule="exact"/>
    </w:pPr>
    <w:rPr>
      <w:rFonts w:eastAsia="黑体" w:cs="宋体"/>
      <w:b w:val="0"/>
      <w:bCs w:val="0"/>
      <w:sz w:val="24"/>
      <w:szCs w:val="20"/>
    </w:rPr>
  </w:style>
  <w:style w:type="character" w:customStyle="1" w:styleId="41">
    <w:name w:val="标题 2 Char"/>
    <w:qFormat/>
    <w:locked/>
    <w:uiPriority w:val="0"/>
    <w:rPr>
      <w:rFonts w:ascii="Arial" w:hAnsi="Arial" w:eastAsia="黑体"/>
      <w:bCs/>
      <w:kern w:val="2"/>
      <w:sz w:val="24"/>
      <w:szCs w:val="32"/>
      <w:lang w:val="en-US" w:eastAsia="zh-CN" w:bidi="ar-SA"/>
    </w:rPr>
  </w:style>
  <w:style w:type="character" w:customStyle="1" w:styleId="42">
    <w:name w:val="标题 2 Char Char"/>
    <w:qFormat/>
    <w:uiPriority w:val="0"/>
    <w:rPr>
      <w:rFonts w:ascii="Arial" w:hAnsi="Arial" w:eastAsia="黑体"/>
      <w:bCs/>
      <w:kern w:val="2"/>
      <w:sz w:val="24"/>
      <w:szCs w:val="32"/>
      <w:lang w:val="en-US" w:eastAsia="zh-CN" w:bidi="ar-SA"/>
    </w:rPr>
  </w:style>
  <w:style w:type="paragraph" w:customStyle="1" w:styleId="43">
    <w:name w:val="正文_0"/>
    <w:next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标题 1_0"/>
    <w:basedOn w:val="43"/>
    <w:next w:val="43"/>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theme" Target="theme/theme1.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header" Target="header7.xml"/><Relationship Id="rId44" Type="http://schemas.openxmlformats.org/officeDocument/2006/relationships/footer" Target="footer34.xml"/><Relationship Id="rId43" Type="http://schemas.openxmlformats.org/officeDocument/2006/relationships/footer" Target="footer33.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118</Pages>
  <Words>42262</Words>
  <Characters>44846</Characters>
  <TotalTime>10</TotalTime>
  <ScaleCrop>false</ScaleCrop>
  <LinksUpToDate>false</LinksUpToDate>
  <CharactersWithSpaces>52192</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陆巧静</cp:lastModifiedBy>
  <cp:lastPrinted>2023-05-18T01:28:00Z</cp:lastPrinted>
  <dcterms:modified xsi:type="dcterms:W3CDTF">2023-06-07T00:53:42Z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2052-11.1.0.14309</vt:lpwstr>
  </property>
  <property fmtid="{D5CDD505-2E9C-101B-9397-08002B2CF9AE}" pid="5" name="ICV">
    <vt:lpwstr>3DCAB4EABD0F4850AAA94B099C997D0A_13</vt:lpwstr>
  </property>
</Properties>
</file>