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9" w:lineRule="auto"/>
        <w:rPr>
          <w:rFonts w:ascii="Arial"/>
          <w:sz w:val="21"/>
        </w:rPr>
      </w:pPr>
    </w:p>
    <w:p>
      <w:pPr>
        <w:spacing w:line="320" w:lineRule="auto"/>
        <w:rPr>
          <w:rFonts w:ascii="Arial"/>
          <w:sz w:val="21"/>
        </w:rPr>
      </w:pPr>
    </w:p>
    <w:p>
      <w:pPr>
        <w:jc w:val="center"/>
        <w:rPr>
          <w:rFonts w:hint="eastAsia" w:ascii="仿宋_GB2312" w:hAnsi="仿宋_GB2312" w:cs="仿宋_GB2312"/>
          <w:b/>
          <w:bCs/>
          <w:sz w:val="44"/>
          <w:szCs w:val="44"/>
          <w:u w:val="none"/>
          <w:lang w:val="en-US" w:eastAsia="zh-CN"/>
        </w:rPr>
      </w:pPr>
      <w:r>
        <w:rPr>
          <w:rFonts w:hint="eastAsia" w:ascii="仿宋_GB2312" w:hAnsi="仿宋_GB2312" w:cs="仿宋_GB2312"/>
          <w:b/>
          <w:bCs/>
          <w:sz w:val="44"/>
          <w:szCs w:val="44"/>
          <w:u w:val="none"/>
          <w:lang w:val="en-US" w:eastAsia="zh-CN"/>
        </w:rPr>
        <w:t xml:space="preserve"> 新昌客货站至金庭互通连接线工程（嵊州段）</w:t>
      </w:r>
    </w:p>
    <w:p>
      <w:pPr>
        <w:jc w:val="center"/>
        <w:rPr>
          <w:rFonts w:hint="eastAsia" w:ascii="宋体" w:hAnsi="宋体" w:eastAsia="宋体" w:cs="宋体"/>
          <w:b/>
          <w:sz w:val="44"/>
          <w:szCs w:val="44"/>
          <w:u w:val="none"/>
        </w:rPr>
      </w:pPr>
      <w:r>
        <w:rPr>
          <w:rFonts w:hint="eastAsia" w:ascii="宋体" w:hAnsi="宋体" w:eastAsia="宋体" w:cs="宋体"/>
          <w:b/>
          <w:bCs/>
          <w:kern w:val="0"/>
          <w:sz w:val="44"/>
          <w:szCs w:val="44"/>
          <w:u w:val="none"/>
          <w:lang w:val="en-US" w:eastAsia="zh-CN"/>
        </w:rPr>
        <w:t>勘察设计</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9"/>
        <w:rPr>
          <w:rFonts w:ascii="Arial"/>
          <w:sz w:val="21"/>
        </w:rPr>
      </w:pPr>
    </w:p>
    <w:p>
      <w:pPr>
        <w:pStyle w:val="9"/>
        <w:rPr>
          <w:rFonts w:ascii="Arial"/>
          <w:sz w:val="21"/>
        </w:rPr>
      </w:pPr>
    </w:p>
    <w:p>
      <w:pPr>
        <w:spacing w:line="243" w:lineRule="auto"/>
        <w:rPr>
          <w:rFonts w:ascii="Arial"/>
          <w:sz w:val="21"/>
        </w:rPr>
      </w:pPr>
    </w:p>
    <w:p>
      <w:pPr>
        <w:spacing w:line="243" w:lineRule="auto"/>
        <w:rPr>
          <w:rFonts w:ascii="Arial"/>
          <w:sz w:val="21"/>
        </w:rPr>
      </w:pPr>
    </w:p>
    <w:p>
      <w:pPr>
        <w:spacing w:before="179" w:line="221" w:lineRule="auto"/>
        <w:ind w:left="2803"/>
        <w:rPr>
          <w:rFonts w:ascii="宋体" w:hAnsi="宋体" w:eastAsia="宋体" w:cs="宋体"/>
          <w:sz w:val="55"/>
          <w:szCs w:val="55"/>
        </w:rPr>
      </w:pPr>
      <w:r>
        <w:rPr>
          <w:rFonts w:ascii="宋体" w:hAnsi="宋体" w:eastAsia="宋体" w:cs="宋体"/>
          <w:spacing w:val="7"/>
          <w:sz w:val="55"/>
          <w:szCs w:val="55"/>
          <w14:textOutline w14:w="10151" w14:cap="sq" w14:cmpd="sng">
            <w14:solidFill>
              <w14:srgbClr w14:val="000000"/>
            </w14:solidFill>
            <w14:prstDash w14:val="solid"/>
            <w14:bevel/>
          </w14:textOutline>
        </w:rPr>
        <w:t>最高投标限</w:t>
      </w:r>
      <w:r>
        <w:rPr>
          <w:rFonts w:ascii="宋体" w:hAnsi="宋体" w:eastAsia="宋体" w:cs="宋体"/>
          <w:spacing w:val="5"/>
          <w:sz w:val="55"/>
          <w:szCs w:val="55"/>
          <w14:textOutline w14:w="10151" w14:cap="sq" w14:cmpd="sng">
            <w14:solidFill>
              <w14:srgbClr w14:val="000000"/>
            </w14:solidFill>
            <w14:prstDash w14:val="solid"/>
            <w14:bevel/>
          </w14:textOutline>
        </w:rPr>
        <w:t>价</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rPr>
          <w:rFonts w:ascii="Arial"/>
          <w:sz w:val="21"/>
        </w:rPr>
      </w:pPr>
    </w:p>
    <w:p>
      <w:pPr>
        <w:pStyle w:val="9"/>
        <w:rPr>
          <w:rFonts w:ascii="Arial"/>
          <w:sz w:val="21"/>
        </w:rPr>
      </w:pPr>
    </w:p>
    <w:p>
      <w:pPr>
        <w:pStyle w:val="9"/>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0"/>
          <w:szCs w:val="20"/>
        </w:rPr>
      </w:pPr>
    </w:p>
    <w:p>
      <w:pPr>
        <w:spacing w:line="252" w:lineRule="auto"/>
        <w:rPr>
          <w:rFonts w:ascii="Arial"/>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snapToGrid/>
          <w:kern w:val="2"/>
          <w:sz w:val="32"/>
          <w:szCs w:val="32"/>
          <w:highlight w:val="none"/>
          <w:lang w:val="en-US" w:eastAsia="zh-CN" w:bidi="ar-SA"/>
        </w:rPr>
      </w:pPr>
      <w:r>
        <w:rPr>
          <w:rFonts w:hint="eastAsia" w:ascii="宋体" w:hAnsi="宋体" w:eastAsia="宋体" w:cs="宋体"/>
          <w:b/>
          <w:snapToGrid/>
          <w:kern w:val="2"/>
          <w:sz w:val="32"/>
          <w:szCs w:val="32"/>
          <w:highlight w:val="none"/>
          <w:lang w:val="en-US" w:eastAsia="zh-CN" w:bidi="ar-SA"/>
        </w:rPr>
        <w:t>招 标 人：嵊州市交通投资发展集团有限公司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snapToGrid/>
          <w:kern w:val="2"/>
          <w:sz w:val="32"/>
          <w:szCs w:val="32"/>
          <w:highlight w:val="none"/>
          <w:lang w:val="en-US" w:eastAsia="zh-CN" w:bidi="ar-SA"/>
        </w:rPr>
      </w:pPr>
      <w:r>
        <w:rPr>
          <w:rFonts w:hint="eastAsia" w:ascii="宋体" w:hAnsi="宋体" w:eastAsia="宋体" w:cs="宋体"/>
          <w:b/>
          <w:snapToGrid/>
          <w:kern w:val="2"/>
          <w:sz w:val="32"/>
          <w:szCs w:val="32"/>
          <w:highlight w:val="none"/>
          <w:lang w:val="en-US" w:eastAsia="zh-CN" w:bidi="ar-SA"/>
        </w:rPr>
        <w:t xml:space="preserve">招标代理：浙江同济工程管理有限公司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snapToGrid/>
          <w:kern w:val="2"/>
          <w:sz w:val="32"/>
          <w:szCs w:val="32"/>
          <w:highlight w:val="none"/>
          <w:lang w:val="en-US" w:eastAsia="zh-CN" w:bidi="ar-SA"/>
        </w:rPr>
      </w:pPr>
      <w:r>
        <w:rPr>
          <w:rFonts w:hint="eastAsia" w:ascii="宋体" w:hAnsi="宋体" w:eastAsia="宋体" w:cs="宋体"/>
          <w:b/>
          <w:snapToGrid/>
          <w:kern w:val="2"/>
          <w:sz w:val="32"/>
          <w:szCs w:val="32"/>
          <w:highlight w:val="none"/>
          <w:lang w:val="en-US" w:eastAsia="zh-CN" w:bidi="ar-SA"/>
        </w:rPr>
        <w:t>日    期：2024年1月</w:t>
      </w:r>
    </w:p>
    <w:p>
      <w:pPr>
        <w:sectPr>
          <w:pgSz w:w="11906" w:h="16839"/>
          <w:pgMar w:top="1431" w:right="1459" w:bottom="0" w:left="14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23" w:line="600" w:lineRule="exact"/>
        <w:jc w:val="center"/>
        <w:textAlignment w:val="baseline"/>
        <w:outlineLvl w:val="0"/>
        <w:rPr>
          <w:rFonts w:hint="eastAsia" w:ascii="宋体" w:hAnsi="宋体" w:eastAsia="宋体" w:cs="宋体"/>
          <w:b/>
          <w:bCs/>
          <w:kern w:val="0"/>
          <w:sz w:val="44"/>
          <w:szCs w:val="44"/>
          <w:u w:val="none"/>
          <w:lang w:val="en-US" w:eastAsia="zh-CN"/>
        </w:rPr>
      </w:pPr>
      <w:r>
        <w:rPr>
          <w:rFonts w:hint="eastAsia" w:ascii="仿宋_GB2312" w:hAnsi="仿宋_GB2312" w:cs="仿宋_GB2312"/>
          <w:b/>
          <w:bCs/>
          <w:sz w:val="36"/>
          <w:szCs w:val="36"/>
          <w:u w:val="none"/>
          <w:lang w:val="en-US" w:eastAsia="zh-CN"/>
        </w:rPr>
        <w:t xml:space="preserve"> 新昌客货站至金庭互通连接线工程（嵊州段）</w:t>
      </w:r>
    </w:p>
    <w:p>
      <w:pPr>
        <w:keepNext w:val="0"/>
        <w:keepLines w:val="0"/>
        <w:pageBreakBefore w:val="0"/>
        <w:widowControl/>
        <w:kinsoku w:val="0"/>
        <w:wordWrap/>
        <w:overflowPunct/>
        <w:topLinePunct w:val="0"/>
        <w:autoSpaceDE w:val="0"/>
        <w:autoSpaceDN w:val="0"/>
        <w:bidi w:val="0"/>
        <w:adjustRightInd w:val="0"/>
        <w:snapToGrid w:val="0"/>
        <w:spacing w:before="123" w:line="600" w:lineRule="exact"/>
        <w:jc w:val="center"/>
        <w:textAlignment w:val="baseline"/>
        <w:outlineLvl w:val="0"/>
        <w:rPr>
          <w:rFonts w:ascii="宋体" w:hAnsi="宋体" w:eastAsia="宋体" w:cs="宋体"/>
          <w:sz w:val="32"/>
          <w:szCs w:val="32"/>
        </w:rPr>
      </w:pPr>
      <w:r>
        <w:rPr>
          <w:rFonts w:hint="eastAsia" w:ascii="宋体" w:hAnsi="宋体" w:eastAsia="宋体" w:cs="宋体"/>
          <w:spacing w:val="10"/>
          <w:sz w:val="32"/>
          <w:szCs w:val="32"/>
          <w14:textOutline w14:w="5793" w14:cap="sq" w14:cmpd="sng">
            <w14:solidFill>
              <w14:srgbClr w14:val="000000"/>
            </w14:solidFill>
            <w14:prstDash w14:val="solid"/>
            <w14:bevel/>
          </w14:textOutline>
        </w:rPr>
        <w:t>勘察设计</w:t>
      </w:r>
      <w:r>
        <w:rPr>
          <w:rFonts w:ascii="宋体" w:hAnsi="宋体" w:eastAsia="宋体" w:cs="宋体"/>
          <w:spacing w:val="10"/>
          <w:sz w:val="32"/>
          <w:szCs w:val="32"/>
          <w14:textOutline w14:w="5793" w14:cap="sq" w14:cmpd="sng">
            <w14:solidFill>
              <w14:srgbClr w14:val="000000"/>
            </w14:solidFill>
            <w14:prstDash w14:val="solid"/>
            <w14:bevel/>
          </w14:textOutline>
        </w:rPr>
        <w:t>最高投标限价计算书</w:t>
      </w:r>
    </w:p>
    <w:p>
      <w:pPr>
        <w:spacing w:line="26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400" w:lineRule="exact"/>
        <w:ind w:left="3"/>
        <w:textAlignment w:val="baseline"/>
        <w:rPr>
          <w:rFonts w:ascii="宋体" w:hAnsi="宋体" w:eastAsia="宋体" w:cs="宋体"/>
          <w:sz w:val="24"/>
          <w:szCs w:val="24"/>
        </w:rPr>
      </w:pPr>
      <w:r>
        <w:rPr>
          <w:rFonts w:ascii="宋体" w:hAnsi="宋体" w:eastAsia="宋体" w:cs="宋体"/>
          <w:spacing w:val="9"/>
          <w:position w:val="2"/>
          <w:sz w:val="24"/>
          <w:szCs w:val="24"/>
          <w14:textOutline w14:w="4358" w14:cap="sq" w14:cmpd="sng">
            <w14:solidFill>
              <w14:srgbClr w14:val="000000"/>
            </w14:solidFill>
            <w14:prstDash w14:val="solid"/>
            <w14:bevel/>
          </w14:textOutline>
        </w:rPr>
        <w:t>一</w:t>
      </w:r>
      <w:r>
        <w:rPr>
          <w:rFonts w:ascii="宋体" w:hAnsi="宋体" w:eastAsia="宋体" w:cs="宋体"/>
          <w:spacing w:val="7"/>
          <w:position w:val="2"/>
          <w:sz w:val="24"/>
          <w:szCs w:val="24"/>
          <w14:textOutline w14:w="4358" w14:cap="sq" w14:cmpd="sng">
            <w14:solidFill>
              <w14:srgbClr w14:val="000000"/>
            </w14:solidFill>
            <w14:prstDash w14:val="solid"/>
            <w14:bevel/>
          </w14:textOutline>
        </w:rPr>
        <w:t>、工程概况：</w:t>
      </w:r>
    </w:p>
    <w:p>
      <w:pPr>
        <w:keepNext w:val="0"/>
        <w:keepLines w:val="0"/>
        <w:pageBreakBefore w:val="0"/>
        <w:widowControl/>
        <w:kinsoku w:val="0"/>
        <w:wordWrap/>
        <w:overflowPunct/>
        <w:topLinePunct w:val="0"/>
        <w:autoSpaceDE w:val="0"/>
        <w:autoSpaceDN w:val="0"/>
        <w:bidi w:val="0"/>
        <w:adjustRightInd w:val="0"/>
        <w:snapToGrid w:val="0"/>
        <w:spacing w:before="0" w:beforeLines="50" w:line="336" w:lineRule="auto"/>
        <w:ind w:firstLine="396" w:firstLineChars="200"/>
        <w:jc w:val="both"/>
        <w:textAlignment w:val="baseline"/>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新昌客货站至金庭互通连接线工程（嵊州段）起点顺接嵊州隧道段终点，路线沿兰洲村东侧布置，上跨上东江、甬金高速改扩建工程后，终点接入S312北仑至嵊州公路（嵊张线改扩建），利用 S312 至金庭互通，路线全长约 1.445km，设计速度为 80km/h，采用双向四车道一级公路标准，路基宽度 24.5m。</w:t>
      </w:r>
    </w:p>
    <w:p>
      <w:pPr>
        <w:keepNext w:val="0"/>
        <w:keepLines w:val="0"/>
        <w:pageBreakBefore w:val="0"/>
        <w:widowControl/>
        <w:kinsoku w:val="0"/>
        <w:wordWrap/>
        <w:overflowPunct/>
        <w:topLinePunct w:val="0"/>
        <w:autoSpaceDE w:val="0"/>
        <w:autoSpaceDN w:val="0"/>
        <w:bidi w:val="0"/>
        <w:adjustRightInd w:val="0"/>
        <w:snapToGrid w:val="0"/>
        <w:spacing w:before="100" w:line="400" w:lineRule="exact"/>
        <w:ind w:left="3"/>
        <w:textAlignment w:val="baseline"/>
        <w:rPr>
          <w:rFonts w:ascii="宋体" w:hAnsi="宋体" w:eastAsia="宋体" w:cs="宋体"/>
          <w:sz w:val="24"/>
          <w:szCs w:val="24"/>
        </w:rPr>
      </w:pPr>
      <w:r>
        <w:rPr>
          <w:rFonts w:ascii="宋体" w:hAnsi="宋体" w:eastAsia="宋体" w:cs="宋体"/>
          <w:spacing w:val="11"/>
          <w:position w:val="1"/>
          <w:sz w:val="24"/>
          <w:szCs w:val="24"/>
          <w14:textOutline w14:w="4358" w14:cap="sq" w14:cmpd="sng">
            <w14:solidFill>
              <w14:srgbClr w14:val="000000"/>
            </w14:solidFill>
            <w14:prstDash w14:val="solid"/>
            <w14:bevel/>
          </w14:textOutline>
        </w:rPr>
        <w:t>二</w:t>
      </w:r>
      <w:r>
        <w:rPr>
          <w:rFonts w:ascii="宋体" w:hAnsi="宋体" w:eastAsia="宋体" w:cs="宋体"/>
          <w:spacing w:val="8"/>
          <w:position w:val="1"/>
          <w:sz w:val="24"/>
          <w:szCs w:val="24"/>
          <w14:textOutline w14:w="4358" w14:cap="sq" w14:cmpd="sng">
            <w14:solidFill>
              <w14:srgbClr w14:val="000000"/>
            </w14:solidFill>
            <w14:prstDash w14:val="solid"/>
            <w14:bevel/>
          </w14:textOutline>
        </w:rPr>
        <w:t>、招标内容</w:t>
      </w:r>
    </w:p>
    <w:p>
      <w:pPr>
        <w:keepNext w:val="0"/>
        <w:keepLines w:val="0"/>
        <w:pageBreakBefore w:val="0"/>
        <w:widowControl/>
        <w:kinsoku w:val="0"/>
        <w:wordWrap/>
        <w:overflowPunct/>
        <w:topLinePunct w:val="0"/>
        <w:autoSpaceDE w:val="0"/>
        <w:autoSpaceDN w:val="0"/>
        <w:bidi w:val="0"/>
        <w:adjustRightInd w:val="0"/>
        <w:snapToGrid w:val="0"/>
        <w:spacing w:before="0" w:beforeLines="5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本次勘察设计招标设 1 个标段：</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本次招标的勘察设计范围包括公路工程(含路基、路面、桥涵、路线交叉及交通安全设施)等的勘察、初步设计、</w:t>
      </w:r>
      <w:r>
        <w:rPr>
          <w:rFonts w:hint="eastAsia" w:ascii="宋体" w:hAnsi="宋体" w:eastAsia="宋体" w:cs="宋体"/>
          <w:color w:val="auto"/>
          <w:spacing w:val="-11"/>
          <w:highlight w:val="none"/>
          <w:lang w:val="en-US" w:eastAsia="zh-CN"/>
        </w:rPr>
        <w:t>技术设计（如需要）、</w:t>
      </w:r>
      <w:r>
        <w:rPr>
          <w:rFonts w:hint="eastAsia" w:ascii="宋体" w:hAnsi="宋体" w:eastAsia="宋体" w:cs="宋体"/>
          <w:color w:val="auto"/>
          <w:spacing w:val="-11"/>
          <w:sz w:val="22"/>
          <w:szCs w:val="22"/>
          <w:highlight w:val="none"/>
          <w:lang w:eastAsia="zh-CN"/>
        </w:rPr>
        <w:t>施工图设计、概预算文件编制、施工项目专用技术规范编制、施工招标用图纸、</w:t>
      </w:r>
      <w:r>
        <w:rPr>
          <w:rFonts w:hint="eastAsia" w:ascii="宋体" w:hAnsi="宋体" w:eastAsia="宋体" w:cs="宋体"/>
          <w:color w:val="auto"/>
          <w:spacing w:val="-11"/>
          <w:highlight w:val="none"/>
        </w:rPr>
        <w:t>后续服务及相关科研（如需要）等全部工作</w:t>
      </w:r>
      <w:r>
        <w:rPr>
          <w:rFonts w:hint="eastAsia" w:ascii="宋体" w:hAnsi="宋体" w:eastAsia="宋体" w:cs="宋体"/>
          <w:color w:val="auto"/>
          <w:spacing w:val="-11"/>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eastAsia="zh-CN"/>
        </w:rPr>
      </w:pPr>
      <w:r>
        <w:rPr>
          <w:rFonts w:hint="eastAsia" w:ascii="宋体" w:hAnsi="宋体" w:eastAsia="宋体" w:cs="宋体"/>
          <w:color w:val="auto"/>
          <w:spacing w:val="-11"/>
          <w:sz w:val="22"/>
          <w:szCs w:val="22"/>
          <w:highlight w:val="none"/>
          <w:lang w:eastAsia="zh-CN"/>
        </w:rPr>
        <w:t>勘察设计周期：</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（1）中标通知书发出后5天内，编制总体勘察设计大纲，完成外业勘测与地质初勘指导书，报发包人批准；</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 xml:space="preserve">（2）合同签订后25天内，提交初测、初勘报告、初步设计文件送审稿；在收到上级主管部门审查意见后，设计人应在 5天内对勘察、设计文件进行修改完善，提交勘察、初步设计文件报批稿和电子稿； </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 xml:space="preserve">（3）获得初步设计批复文件后 25天内，提交详勘、定测报告、施工图设计文件送审稿；在收到上级主管部门审查意见后，设计人应在 5 天内对勘察、设计文件进行修改完善，提交勘察、施工图设计文件最终稿和电子稿； </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 xml:space="preserve">（4）根据发包人招标工作进度的需要，分批提交开展施工招标工作所需的图纸、参考资料等招标资料； </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（5）施工现场配合期服务：从项目开工至项目交工验收，施工期全程服务。</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勘察设计周期在实施过程中如有调整，以招标人发出的任务通知书时间为准。</w:t>
      </w:r>
    </w:p>
    <w:p>
      <w:pPr>
        <w:spacing w:before="121" w:line="305" w:lineRule="exact"/>
        <w:outlineLvl w:val="1"/>
        <w:rPr>
          <w:rFonts w:ascii="宋体" w:hAnsi="宋体" w:eastAsia="宋体" w:cs="宋体"/>
          <w:sz w:val="24"/>
          <w:szCs w:val="24"/>
        </w:rPr>
      </w:pPr>
      <w:r>
        <w:rPr>
          <w:rFonts w:ascii="宋体" w:hAnsi="宋体" w:eastAsia="宋体" w:cs="宋体"/>
          <w:spacing w:val="10"/>
          <w:position w:val="1"/>
          <w:sz w:val="24"/>
          <w:szCs w:val="24"/>
          <w14:textOutline w14:w="4358" w14:cap="sq" w14:cmpd="sng">
            <w14:solidFill>
              <w14:srgbClr w14:val="000000"/>
            </w14:solidFill>
            <w14:prstDash w14:val="solid"/>
            <w14:bevel/>
          </w14:textOutline>
        </w:rPr>
        <w:t>三</w:t>
      </w:r>
      <w:r>
        <w:rPr>
          <w:rFonts w:ascii="宋体" w:hAnsi="宋体" w:eastAsia="宋体" w:cs="宋体"/>
          <w:spacing w:val="9"/>
          <w:position w:val="1"/>
          <w:sz w:val="24"/>
          <w:szCs w:val="24"/>
          <w14:textOutline w14:w="4358" w14:cap="sq" w14:cmpd="sng">
            <w14:solidFill>
              <w14:srgbClr w14:val="000000"/>
            </w14:solidFill>
            <w14:prstDash w14:val="solid"/>
            <w14:bevel/>
          </w14:textOutline>
        </w:rPr>
        <w:t>、计费依据</w:t>
      </w:r>
    </w:p>
    <w:p>
      <w:pPr>
        <w:keepNext w:val="0"/>
        <w:keepLines w:val="0"/>
        <w:pageBreakBefore w:val="0"/>
        <w:widowControl/>
        <w:kinsoku w:val="0"/>
        <w:wordWrap/>
        <w:overflowPunct/>
        <w:topLinePunct w:val="0"/>
        <w:autoSpaceDE w:val="0"/>
        <w:autoSpaceDN w:val="0"/>
        <w:bidi w:val="0"/>
        <w:adjustRightInd w:val="0"/>
        <w:snapToGrid w:val="0"/>
        <w:spacing w:before="0" w:beforeLines="5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1、参照公路工程建设项目概算预算编制办法(JTG3830-2018)；</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2、参照国家发展计划委会计价格[2002]1980号、国家发改委发改价格[2011]534号；</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3、浙江省物价局关于进一步完善工程造价咨询服务收费的通知(浙价服〔2009〕84号)；</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4、市场询价。</w:t>
      </w:r>
      <w:bookmarkStart w:id="0" w:name="_Toc282423128"/>
      <w:bookmarkStart w:id="1" w:name="_Toc282423042"/>
    </w:p>
    <w:p>
      <w:pPr>
        <w:spacing w:before="121" w:line="305" w:lineRule="exact"/>
        <w:outlineLvl w:val="1"/>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四、</w:t>
      </w:r>
      <w:bookmarkEnd w:id="0"/>
      <w:bookmarkEnd w:id="1"/>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计算方法</w:t>
      </w:r>
    </w:p>
    <w:p>
      <w:pPr>
        <w:keepNext w:val="0"/>
        <w:keepLines w:val="0"/>
        <w:pageBreakBefore w:val="0"/>
        <w:widowControl/>
        <w:kinsoku w:val="0"/>
        <w:wordWrap/>
        <w:overflowPunct/>
        <w:topLinePunct w:val="0"/>
        <w:autoSpaceDE w:val="0"/>
        <w:autoSpaceDN w:val="0"/>
        <w:bidi w:val="0"/>
        <w:adjustRightInd w:val="0"/>
        <w:snapToGrid w:val="0"/>
        <w:spacing w:before="121" w:line="336" w:lineRule="auto"/>
        <w:ind w:firstLine="396" w:firstLineChars="200"/>
        <w:textAlignment w:val="baseline"/>
        <w:outlineLvl w:val="1"/>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1.1、根据“公路工程建设项目概算预算编制办法”(JTG3830-2018)的收费标准，本项目前期工作费（含项目建议书和工程可行性研究报告编制、勘察设计费、监理及施工招标文件及标底的编制费）按照定额建安费分档进行计算；</w:t>
      </w:r>
    </w:p>
    <w:p>
      <w:pPr>
        <w:keepNext w:val="0"/>
        <w:keepLines w:val="0"/>
        <w:pageBreakBefore w:val="0"/>
        <w:widowControl/>
        <w:kinsoku w:val="0"/>
        <w:wordWrap/>
        <w:overflowPunct/>
        <w:topLinePunct w:val="0"/>
        <w:autoSpaceDE w:val="0"/>
        <w:autoSpaceDN w:val="0"/>
        <w:bidi w:val="0"/>
        <w:adjustRightInd w:val="0"/>
        <w:snapToGrid w:val="0"/>
        <w:spacing w:before="0" w:beforeLines="5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1.2、设计、监理及施工招标文件及标底的编制费参照参照国家发展计划委会计价格[2002]1980号、国家发改委发改价格[2011]534号、浙江省物价局关于进一步完善工程造价咨询服务收费的通知(浙价服〔2009〕84号)进行测算。</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eastAsia"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1.3、市场询价。</w:t>
      </w:r>
    </w:p>
    <w:p>
      <w:pPr>
        <w:keepNext w:val="0"/>
        <w:keepLines w:val="0"/>
        <w:pageBreakBefore w:val="0"/>
        <w:widowControl/>
        <w:kinsoku w:val="0"/>
        <w:wordWrap/>
        <w:overflowPunct/>
        <w:topLinePunct w:val="0"/>
        <w:autoSpaceDE w:val="0"/>
        <w:autoSpaceDN w:val="0"/>
        <w:bidi w:val="0"/>
        <w:adjustRightInd w:val="0"/>
        <w:snapToGrid w:val="0"/>
        <w:spacing w:before="0" w:line="336" w:lineRule="auto"/>
        <w:ind w:firstLine="396" w:firstLineChars="200"/>
        <w:jc w:val="both"/>
        <w:textAlignment w:val="baseline"/>
        <w:rPr>
          <w:rFonts w:hint="default" w:ascii="宋体" w:hAnsi="宋体" w:eastAsia="宋体" w:cs="宋体"/>
          <w:color w:val="auto"/>
          <w:spacing w:val="-11"/>
          <w:sz w:val="22"/>
          <w:szCs w:val="22"/>
          <w:highlight w:val="none"/>
          <w:lang w:val="en-US" w:eastAsia="zh-CN"/>
        </w:rPr>
      </w:pPr>
      <w:r>
        <w:rPr>
          <w:rFonts w:hint="eastAsia" w:ascii="宋体" w:hAnsi="宋体" w:eastAsia="宋体" w:cs="宋体"/>
          <w:color w:val="auto"/>
          <w:spacing w:val="-11"/>
          <w:sz w:val="22"/>
          <w:szCs w:val="22"/>
          <w:highlight w:val="none"/>
          <w:lang w:val="en-US" w:eastAsia="zh-CN"/>
        </w:rPr>
        <w:t>1.4、定额建安费约为19995.679万元。</w:t>
      </w:r>
    </w:p>
    <w:p>
      <w:pPr>
        <w:pStyle w:val="4"/>
        <w:pageBreakBefore w:val="0"/>
        <w:widowControl w:val="0"/>
        <w:kinsoku/>
        <w:wordWrap/>
        <w:overflowPunct/>
        <w:topLinePunct w:val="0"/>
        <w:bidi w:val="0"/>
        <w:spacing w:before="0" w:after="0" w:line="320" w:lineRule="exact"/>
        <w:ind w:firstLine="480" w:firstLineChars="200"/>
        <w:jc w:val="both"/>
        <w:textAlignment w:val="auto"/>
        <w:rPr>
          <w:rFonts w:hint="default" w:ascii="宋体" w:hAnsi="宋体" w:eastAsia="宋体" w:cs="宋体"/>
          <w:bCs w:val="0"/>
          <w:sz w:val="24"/>
          <w:szCs w:val="24"/>
          <w:lang w:val="en-US" w:eastAsia="zh-CN"/>
        </w:rPr>
      </w:pPr>
      <w:bookmarkStart w:id="2" w:name="_Toc282423129"/>
      <w:bookmarkStart w:id="3" w:name="_Toc282423043"/>
      <w:r>
        <w:rPr>
          <w:rFonts w:hint="eastAsia" w:ascii="宋体" w:hAnsi="宋体" w:cs="宋体"/>
          <w:bCs w:val="0"/>
          <w:sz w:val="24"/>
          <w:szCs w:val="24"/>
          <w:lang w:val="en-US" w:eastAsia="zh-CN"/>
        </w:rPr>
        <w:t>2、</w:t>
      </w:r>
      <w:r>
        <w:rPr>
          <w:rFonts w:hint="eastAsia" w:ascii="宋体" w:hAnsi="宋体" w:cs="宋体"/>
          <w:bCs w:val="0"/>
          <w:sz w:val="24"/>
          <w:szCs w:val="24"/>
        </w:rPr>
        <w:t>项目建议书</w:t>
      </w:r>
      <w:r>
        <w:rPr>
          <w:rFonts w:hint="eastAsia" w:ascii="宋体" w:hAnsi="宋体" w:cs="宋体"/>
          <w:bCs w:val="0"/>
          <w:sz w:val="24"/>
          <w:szCs w:val="24"/>
          <w:lang w:eastAsia="zh-CN"/>
        </w:rPr>
        <w:t>、</w:t>
      </w:r>
      <w:r>
        <w:rPr>
          <w:rFonts w:hint="eastAsia" w:ascii="宋体" w:hAnsi="宋体" w:cs="宋体"/>
          <w:bCs w:val="0"/>
          <w:sz w:val="24"/>
          <w:szCs w:val="24"/>
        </w:rPr>
        <w:t>工程可行性研究报告编制费</w:t>
      </w:r>
      <w:r>
        <w:rPr>
          <w:rFonts w:hint="eastAsia" w:ascii="宋体" w:hAnsi="宋体" w:cs="宋体"/>
          <w:bCs w:val="0"/>
          <w:sz w:val="24"/>
          <w:szCs w:val="24"/>
          <w:lang w:eastAsia="zh-CN"/>
        </w:rPr>
        <w:t>、</w:t>
      </w:r>
      <w:r>
        <w:rPr>
          <w:rFonts w:hint="eastAsia" w:ascii="宋体" w:hAnsi="宋体" w:cs="宋体"/>
          <w:bCs w:val="0"/>
          <w:sz w:val="24"/>
          <w:szCs w:val="24"/>
          <w:lang w:val="en-US" w:eastAsia="zh-CN"/>
        </w:rPr>
        <w:t>勘察设计费计算</w:t>
      </w:r>
    </w:p>
    <w:bookmarkEnd w:id="2"/>
    <w:bookmarkEnd w:id="3"/>
    <w:p>
      <w:pPr>
        <w:keepNext w:val="0"/>
        <w:keepLines w:val="0"/>
        <w:pageBreakBefore w:val="0"/>
        <w:widowControl w:val="0"/>
        <w:tabs>
          <w:tab w:val="left" w:pos="14400"/>
        </w:tabs>
        <w:kinsoku/>
        <w:wordWrap/>
        <w:overflowPunct/>
        <w:topLinePunct w:val="0"/>
        <w:autoSpaceDE w:val="0"/>
        <w:autoSpaceDN w:val="0"/>
        <w:bidi w:val="0"/>
        <w:adjustRightInd w:val="0"/>
        <w:snapToGrid w:val="0"/>
        <w:spacing w:before="0" w:beforeLines="50" w:line="320" w:lineRule="exact"/>
        <w:ind w:firstLine="480"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2</w:t>
      </w:r>
      <w:r>
        <w:rPr>
          <w:rFonts w:hint="eastAsia"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前期工作费为</w:t>
      </w:r>
    </w:p>
    <w:tbl>
      <w:tblPr>
        <w:tblStyle w:val="10"/>
        <w:tblW w:w="8565" w:type="dxa"/>
        <w:tblInd w:w="0" w:type="dxa"/>
        <w:tblLayout w:type="autofit"/>
        <w:tblCellMar>
          <w:top w:w="0" w:type="dxa"/>
          <w:left w:w="0" w:type="dxa"/>
          <w:bottom w:w="0" w:type="dxa"/>
          <w:right w:w="0" w:type="dxa"/>
        </w:tblCellMar>
      </w:tblPr>
      <w:tblGrid>
        <w:gridCol w:w="2470"/>
        <w:gridCol w:w="1738"/>
        <w:gridCol w:w="1421"/>
        <w:gridCol w:w="2936"/>
      </w:tblGrid>
      <w:tr>
        <w:tblPrEx>
          <w:tblCellMar>
            <w:top w:w="0" w:type="dxa"/>
            <w:left w:w="0" w:type="dxa"/>
            <w:bottom w:w="0" w:type="dxa"/>
            <w:right w:w="0" w:type="dxa"/>
          </w:tblCellMar>
        </w:tblPrEx>
        <w:trPr>
          <w:trHeight w:val="440" w:hRule="atLeast"/>
        </w:trPr>
        <w:tc>
          <w:tcPr>
            <w:tcW w:w="2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取费划分</w:t>
            </w:r>
          </w:p>
        </w:tc>
        <w:tc>
          <w:tcPr>
            <w:tcW w:w="60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前期工作费</w:t>
            </w:r>
          </w:p>
        </w:tc>
      </w:tr>
      <w:tr>
        <w:tblPrEx>
          <w:tblCellMar>
            <w:top w:w="0" w:type="dxa"/>
            <w:left w:w="0" w:type="dxa"/>
            <w:bottom w:w="0" w:type="dxa"/>
            <w:right w:w="0" w:type="dxa"/>
          </w:tblCellMar>
        </w:tblPrEx>
        <w:trPr>
          <w:trHeight w:val="430" w:hRule="atLeast"/>
        </w:trPr>
        <w:tc>
          <w:tcPr>
            <w:tcW w:w="2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（定额建安费：</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color w:val="auto"/>
                <w:spacing w:val="-11"/>
                <w:sz w:val="22"/>
                <w:szCs w:val="22"/>
                <w:highlight w:val="none"/>
                <w:lang w:val="en-US" w:eastAsia="zh-CN"/>
              </w:rPr>
              <w:t>19995.679</w:t>
            </w:r>
          </w:p>
        </w:tc>
        <w:tc>
          <w:tcPr>
            <w:tcW w:w="279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440" w:hRule="atLeast"/>
        </w:trPr>
        <w:tc>
          <w:tcPr>
            <w:tcW w:w="2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w:t>
            </w:r>
          </w:p>
        </w:tc>
        <w:tc>
          <w:tcPr>
            <w:tcW w:w="2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费额累计</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0-500        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15.0000万元</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500-1000      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13.5000万元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28.5000万元</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1000-5000     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102.0000万元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130.5000万元</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5000-10000    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123.0000万元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253.5000万元</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10000-30000   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238.8967万元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492.3967万元</w:t>
            </w:r>
          </w:p>
        </w:tc>
      </w:tr>
      <w:tr>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计</w:t>
            </w:r>
          </w:p>
        </w:tc>
        <w:tc>
          <w:tcPr>
            <w:tcW w:w="60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492.3967</w:t>
            </w:r>
            <w:r>
              <w:rPr>
                <w:rFonts w:hint="eastAsia" w:ascii="宋体" w:hAnsi="宋体" w:eastAsia="宋体" w:cs="宋体"/>
                <w:i w:val="0"/>
                <w:color w:val="000000"/>
                <w:kern w:val="0"/>
                <w:sz w:val="22"/>
                <w:szCs w:val="22"/>
                <w:highlight w:val="none"/>
                <w:u w:val="none"/>
                <w:lang w:val="en-US" w:eastAsia="zh-CN" w:bidi="ar"/>
              </w:rPr>
              <w:t>万元</w:t>
            </w:r>
          </w:p>
        </w:tc>
      </w:tr>
    </w:tbl>
    <w:p>
      <w:pPr>
        <w:keepNext w:val="0"/>
        <w:keepLines w:val="0"/>
        <w:pageBreakBefore w:val="0"/>
        <w:widowControl/>
        <w:tabs>
          <w:tab w:val="left" w:pos="14400"/>
        </w:tabs>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宋体" w:hAnsi="宋体"/>
          <w:b/>
          <w:bCs/>
          <w:sz w:val="24"/>
          <w:u w:val="single"/>
          <w:lang w:val="en-US" w:eastAsia="zh-CN"/>
        </w:rPr>
      </w:pPr>
      <w:r>
        <w:rPr>
          <w:rFonts w:hint="eastAsia" w:ascii="宋体" w:hAnsi="宋体" w:cs="宋体"/>
          <w:b/>
          <w:bCs/>
          <w:sz w:val="24"/>
          <w:lang w:val="en-US" w:eastAsia="zh-CN"/>
        </w:rPr>
        <w:t>2.2</w:t>
      </w:r>
      <w:r>
        <w:rPr>
          <w:rFonts w:hint="eastAsia" w:ascii="宋体" w:hAnsi="宋体" w:cs="宋体"/>
          <w:b/>
          <w:bCs/>
          <w:sz w:val="24"/>
          <w:lang w:eastAsia="zh-CN"/>
        </w:rPr>
        <w:t>、</w:t>
      </w:r>
      <w:r>
        <w:rPr>
          <w:rFonts w:hint="eastAsia" w:ascii="宋体" w:hAnsi="宋体"/>
          <w:b/>
          <w:bCs/>
          <w:sz w:val="24"/>
          <w:u w:val="none"/>
          <w:lang w:val="en-US" w:eastAsia="zh-CN"/>
        </w:rPr>
        <w:t>项目建议书和工程可行性研究报告编制费</w:t>
      </w:r>
    </w:p>
    <w:p>
      <w:pPr>
        <w:keepNext w:val="0"/>
        <w:keepLines w:val="0"/>
        <w:pageBreakBefore w:val="0"/>
        <w:widowControl/>
        <w:tabs>
          <w:tab w:val="left" w:pos="14400"/>
        </w:tabs>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default" w:ascii="宋体" w:hAnsi="宋体"/>
          <w:b/>
          <w:bCs/>
          <w:sz w:val="24"/>
          <w:u w:val="none"/>
          <w:lang w:val="en-US" w:eastAsia="zh-CN"/>
        </w:rPr>
      </w:pPr>
      <w:r>
        <w:rPr>
          <w:rFonts w:hint="eastAsia" w:ascii="宋体" w:hAnsi="宋体"/>
          <w:b/>
          <w:bCs/>
          <w:sz w:val="24"/>
          <w:u w:val="none"/>
          <w:lang w:val="en-US" w:eastAsia="zh-CN"/>
        </w:rPr>
        <w:t>本项目项目建议书和工程可行性研究报告签订合同价为27.2万元。</w:t>
      </w:r>
    </w:p>
    <w:p>
      <w:pPr>
        <w:keepNext w:val="0"/>
        <w:keepLines w:val="0"/>
        <w:pageBreakBefore w:val="0"/>
        <w:widowControl/>
        <w:tabs>
          <w:tab w:val="left" w:pos="14400"/>
        </w:tabs>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default" w:ascii="宋体" w:hAnsi="宋体" w:eastAsia="宋体" w:cs="宋体"/>
          <w:b/>
          <w:bCs/>
          <w:sz w:val="24"/>
          <w:lang w:val="en-US" w:eastAsia="zh-CN"/>
        </w:rPr>
      </w:pP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lang w:val="en-US" w:eastAsia="zh-CN"/>
        </w:rPr>
        <w:t>招标代理费</w:t>
      </w:r>
    </w:p>
    <w:p>
      <w:pPr>
        <w:keepNext w:val="0"/>
        <w:keepLines w:val="0"/>
        <w:pageBreakBefore w:val="0"/>
        <w:widowControl/>
        <w:tabs>
          <w:tab w:val="left" w:pos="14400"/>
        </w:tabs>
        <w:kinsoku w:val="0"/>
        <w:wordWrap/>
        <w:overflowPunct/>
        <w:topLinePunct w:val="0"/>
        <w:autoSpaceDE w:val="0"/>
        <w:autoSpaceDN w:val="0"/>
        <w:bidi w:val="0"/>
        <w:adjustRightInd w:val="0"/>
        <w:snapToGrid w:val="0"/>
        <w:spacing w:line="336" w:lineRule="auto"/>
        <w:ind w:firstLine="440" w:firstLineChars="200"/>
        <w:textAlignment w:val="baseline"/>
        <w:rPr>
          <w:rFonts w:hint="eastAsia" w:ascii="宋体" w:hAnsi="宋体" w:cs="宋体"/>
          <w:sz w:val="22"/>
          <w:szCs w:val="20"/>
          <w:highlight w:val="none"/>
          <w:lang w:val="en-US" w:eastAsia="zh-CN"/>
        </w:rPr>
      </w:pPr>
      <w:r>
        <w:rPr>
          <w:rFonts w:hint="eastAsia" w:ascii="宋体" w:hAnsi="宋体" w:cs="宋体"/>
          <w:sz w:val="22"/>
          <w:szCs w:val="20"/>
          <w:highlight w:val="none"/>
          <w:lang w:val="en-US" w:eastAsia="zh-CN"/>
        </w:rPr>
        <w:t>本项目勘察设计预估限价为410万元，预估中标价为350万元，勘察设计代理费为3.5万元。</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leftChars="0" w:firstLine="440" w:firstLineChars="200"/>
        <w:textAlignment w:val="baseline"/>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施工监理预估限价为400万，中标价预估为360万。施工监理代理费为3.58万元。</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leftChars="0" w:firstLine="440" w:firstLineChars="200"/>
        <w:textAlignment w:val="baseline"/>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施工按定额建安费进行估算，中标价预估为16000万元。施工代理费（含标底编制费）为10+37.97*0.6=32.782万元</w:t>
      </w:r>
    </w:p>
    <w:p>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0" w:leftChars="0" w:firstLine="440" w:firstLineChars="200"/>
        <w:textAlignment w:val="baseline"/>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注：单项工程代理费最高不超过10万；标底编制费为标准收费下浮40%计算。</w:t>
      </w:r>
    </w:p>
    <w:p>
      <w:pPr>
        <w:pStyle w:val="2"/>
        <w:keepNext w:val="0"/>
        <w:keepLines w:val="0"/>
        <w:pageBreakBefore w:val="0"/>
        <w:widowControl/>
        <w:kinsoku w:val="0"/>
        <w:wordWrap/>
        <w:overflowPunct/>
        <w:topLinePunct w:val="0"/>
        <w:autoSpaceDE w:val="0"/>
        <w:autoSpaceDN w:val="0"/>
        <w:bidi w:val="0"/>
        <w:adjustRightInd w:val="0"/>
        <w:snapToGrid w:val="0"/>
        <w:spacing w:after="0" w:afterLines="50" w:line="336" w:lineRule="auto"/>
        <w:ind w:firstLine="660" w:firstLineChars="300"/>
        <w:textAlignment w:val="baseline"/>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招标代理费合计=3.5+3.58+32.782=39.862万元。</w:t>
      </w:r>
    </w:p>
    <w:p>
      <w:pPr>
        <w:pStyle w:val="2"/>
        <w:keepNext w:val="0"/>
        <w:keepLines w:val="0"/>
        <w:pageBreakBefore w:val="0"/>
        <w:widowControl/>
        <w:kinsoku w:val="0"/>
        <w:wordWrap/>
        <w:overflowPunct/>
        <w:topLinePunct w:val="0"/>
        <w:autoSpaceDE w:val="0"/>
        <w:autoSpaceDN w:val="0"/>
        <w:bidi w:val="0"/>
        <w:adjustRightInd w:val="0"/>
        <w:snapToGrid w:val="0"/>
        <w:spacing w:after="0" w:afterLines="50" w:line="336" w:lineRule="auto"/>
        <w:ind w:firstLine="660" w:firstLineChars="300"/>
        <w:textAlignment w:val="baseline"/>
        <w:rPr>
          <w:rFonts w:hint="eastAsia" w:ascii="宋体" w:hAnsi="宋体" w:cs="宋体"/>
          <w:sz w:val="22"/>
          <w:szCs w:val="22"/>
          <w:highlight w:val="yellow"/>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afterLines="50" w:line="336" w:lineRule="auto"/>
        <w:ind w:left="0" w:leftChars="0" w:firstLine="0" w:firstLineChars="0"/>
        <w:textAlignment w:val="baseline"/>
        <w:rPr>
          <w:rFonts w:hint="eastAsia" w:ascii="宋体" w:hAnsi="宋体" w:cs="宋体"/>
          <w:sz w:val="22"/>
          <w:szCs w:val="22"/>
          <w:highlight w:val="yellow"/>
          <w:lang w:val="en-US" w:eastAsia="zh-CN"/>
        </w:rPr>
      </w:pPr>
    </w:p>
    <w:tbl>
      <w:tblPr>
        <w:tblStyle w:val="10"/>
        <w:tblW w:w="8975" w:type="dxa"/>
        <w:tblInd w:w="0" w:type="dxa"/>
        <w:tblLayout w:type="fixed"/>
        <w:tblCellMar>
          <w:top w:w="0" w:type="dxa"/>
          <w:left w:w="0" w:type="dxa"/>
          <w:bottom w:w="0" w:type="dxa"/>
          <w:right w:w="0" w:type="dxa"/>
        </w:tblCellMar>
      </w:tblPr>
      <w:tblGrid>
        <w:gridCol w:w="3015"/>
        <w:gridCol w:w="1520"/>
        <w:gridCol w:w="2025"/>
        <w:gridCol w:w="2415"/>
      </w:tblGrid>
      <w:tr>
        <w:tblPrEx>
          <w:tblCellMar>
            <w:top w:w="0" w:type="dxa"/>
            <w:left w:w="0" w:type="dxa"/>
            <w:bottom w:w="0" w:type="dxa"/>
            <w:right w:w="0" w:type="dxa"/>
          </w:tblCellMar>
        </w:tblPrEx>
        <w:trPr>
          <w:trHeight w:val="499" w:hRule="atLeast"/>
        </w:trPr>
        <w:tc>
          <w:tcPr>
            <w:tcW w:w="30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取费划分</w:t>
            </w:r>
          </w:p>
        </w:tc>
        <w:tc>
          <w:tcPr>
            <w:tcW w:w="5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勘察设计招标代理费</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（中标价：</w:t>
            </w:r>
          </w:p>
        </w:tc>
        <w:tc>
          <w:tcPr>
            <w:tcW w:w="2025"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350</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费率</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费额</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费额累计</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        万元</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100-500      万元</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  计</w:t>
            </w:r>
          </w:p>
        </w:tc>
        <w:tc>
          <w:tcPr>
            <w:tcW w:w="59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r>
              <w:rPr>
                <w:rFonts w:hint="eastAsia" w:ascii="宋体" w:hAnsi="宋体" w:eastAsia="宋体" w:cs="宋体"/>
                <w:i w:val="0"/>
                <w:color w:val="000000"/>
                <w:kern w:val="0"/>
                <w:sz w:val="22"/>
                <w:szCs w:val="22"/>
                <w:u w:val="none"/>
                <w:lang w:val="en-US" w:eastAsia="zh-CN" w:bidi="ar"/>
              </w:rPr>
              <w:t xml:space="preserve"> 万元</w:t>
            </w:r>
          </w:p>
        </w:tc>
      </w:tr>
    </w:tbl>
    <w:p>
      <w:pPr>
        <w:pStyle w:val="2"/>
        <w:rPr>
          <w:rFonts w:hint="default"/>
          <w:lang w:val="en-US" w:eastAsia="zh-CN"/>
        </w:rPr>
      </w:pPr>
    </w:p>
    <w:p>
      <w:pPr>
        <w:pStyle w:val="2"/>
        <w:rPr>
          <w:rFonts w:hint="default"/>
          <w:lang w:val="en-US" w:eastAsia="zh-CN"/>
        </w:rPr>
      </w:pPr>
    </w:p>
    <w:tbl>
      <w:tblPr>
        <w:tblStyle w:val="10"/>
        <w:tblW w:w="8945" w:type="dxa"/>
        <w:tblInd w:w="0" w:type="dxa"/>
        <w:tblLayout w:type="fixed"/>
        <w:tblCellMar>
          <w:top w:w="0" w:type="dxa"/>
          <w:left w:w="0" w:type="dxa"/>
          <w:bottom w:w="0" w:type="dxa"/>
          <w:right w:w="0" w:type="dxa"/>
        </w:tblCellMar>
      </w:tblPr>
      <w:tblGrid>
        <w:gridCol w:w="3015"/>
        <w:gridCol w:w="1444"/>
        <w:gridCol w:w="2101"/>
        <w:gridCol w:w="2385"/>
      </w:tblGrid>
      <w:tr>
        <w:tblPrEx>
          <w:tblCellMar>
            <w:top w:w="0" w:type="dxa"/>
            <w:left w:w="0" w:type="dxa"/>
            <w:bottom w:w="0" w:type="dxa"/>
            <w:right w:w="0" w:type="dxa"/>
          </w:tblCellMar>
        </w:tblPrEx>
        <w:trPr>
          <w:trHeight w:val="468" w:hRule="atLeast"/>
        </w:trPr>
        <w:tc>
          <w:tcPr>
            <w:tcW w:w="30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取费划分</w:t>
            </w:r>
          </w:p>
        </w:tc>
        <w:tc>
          <w:tcPr>
            <w:tcW w:w="5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施工监理招标招标代理费</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（中标价：</w:t>
            </w:r>
          </w:p>
        </w:tc>
        <w:tc>
          <w:tcPr>
            <w:tcW w:w="2101"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费率</w:t>
            </w:r>
          </w:p>
        </w:tc>
        <w:tc>
          <w:tcPr>
            <w:tcW w:w="2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费额累计</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0-100        万元</w:t>
            </w: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1.50万元</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100-500      万元</w:t>
            </w:r>
          </w:p>
        </w:tc>
        <w:tc>
          <w:tcPr>
            <w:tcW w:w="1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2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2.08万元</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计</w:t>
            </w:r>
          </w:p>
        </w:tc>
        <w:tc>
          <w:tcPr>
            <w:tcW w:w="5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3.58万元</w:t>
            </w:r>
          </w:p>
        </w:tc>
      </w:tr>
    </w:tbl>
    <w:p>
      <w:pPr>
        <w:pStyle w:val="2"/>
        <w:rPr>
          <w:rFonts w:hint="default"/>
          <w:lang w:val="en-US" w:eastAsia="zh-CN"/>
        </w:rPr>
      </w:pPr>
    </w:p>
    <w:p>
      <w:pPr>
        <w:pStyle w:val="2"/>
        <w:rPr>
          <w:rFonts w:hint="default"/>
          <w:lang w:val="en-US" w:eastAsia="zh-CN"/>
        </w:rPr>
      </w:pPr>
    </w:p>
    <w:tbl>
      <w:tblPr>
        <w:tblStyle w:val="10"/>
        <w:tblW w:w="9035" w:type="dxa"/>
        <w:tblInd w:w="0" w:type="dxa"/>
        <w:tblLayout w:type="fixed"/>
        <w:tblCellMar>
          <w:top w:w="0" w:type="dxa"/>
          <w:left w:w="0" w:type="dxa"/>
          <w:bottom w:w="0" w:type="dxa"/>
          <w:right w:w="0" w:type="dxa"/>
        </w:tblCellMar>
      </w:tblPr>
      <w:tblGrid>
        <w:gridCol w:w="3015"/>
        <w:gridCol w:w="1435"/>
        <w:gridCol w:w="2125"/>
        <w:gridCol w:w="2460"/>
      </w:tblGrid>
      <w:tr>
        <w:tblPrEx>
          <w:tblCellMar>
            <w:top w:w="0" w:type="dxa"/>
            <w:left w:w="0" w:type="dxa"/>
            <w:bottom w:w="0" w:type="dxa"/>
            <w:right w:w="0" w:type="dxa"/>
          </w:tblCellMar>
        </w:tblPrEx>
        <w:trPr>
          <w:trHeight w:val="499" w:hRule="atLeast"/>
        </w:trPr>
        <w:tc>
          <w:tcPr>
            <w:tcW w:w="30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取费划分</w:t>
            </w:r>
          </w:p>
        </w:tc>
        <w:tc>
          <w:tcPr>
            <w:tcW w:w="6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施工招标代理费</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（中标价：</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sz w:val="24"/>
                <w:lang w:val="en-US" w:eastAsia="zh-CN"/>
              </w:rPr>
              <w:t>16000</w:t>
            </w:r>
          </w:p>
        </w:tc>
        <w:tc>
          <w:tcPr>
            <w:tcW w:w="24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费率</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费额累计</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1000-5000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5000-10000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10000-50000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3.0000万元</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33.5500万元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计</w:t>
            </w:r>
          </w:p>
        </w:tc>
        <w:tc>
          <w:tcPr>
            <w:tcW w:w="6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33.5500万元</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0" w:beforeLines="100"/>
        <w:textAlignment w:val="baseline"/>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注：单项工程代理费最高不超过10万</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textAlignment w:val="baseline"/>
        <w:rPr>
          <w:rFonts w:hint="eastAsia" w:ascii="宋体" w:hAnsi="宋体" w:cs="宋体"/>
          <w:sz w:val="22"/>
          <w:szCs w:val="22"/>
          <w:highlight w:val="no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beforeLines="100"/>
        <w:textAlignment w:val="baseline"/>
        <w:rPr>
          <w:rFonts w:hint="default" w:ascii="宋体" w:hAnsi="宋体" w:cs="宋体"/>
          <w:sz w:val="22"/>
          <w:szCs w:val="22"/>
          <w:highlight w:val="none"/>
          <w:lang w:val="en-US" w:eastAsia="zh-CN"/>
        </w:rPr>
      </w:pPr>
    </w:p>
    <w:p>
      <w:pPr>
        <w:pStyle w:val="2"/>
        <w:rPr>
          <w:rFonts w:hint="default"/>
          <w:lang w:val="en-US" w:eastAsia="zh-CN"/>
        </w:rPr>
      </w:pPr>
    </w:p>
    <w:tbl>
      <w:tblPr>
        <w:tblStyle w:val="10"/>
        <w:tblW w:w="9050" w:type="dxa"/>
        <w:tblInd w:w="0" w:type="dxa"/>
        <w:tblLayout w:type="fixed"/>
        <w:tblCellMar>
          <w:top w:w="0" w:type="dxa"/>
          <w:left w:w="0" w:type="dxa"/>
          <w:bottom w:w="0" w:type="dxa"/>
          <w:right w:w="0" w:type="dxa"/>
        </w:tblCellMar>
      </w:tblPr>
      <w:tblGrid>
        <w:gridCol w:w="3015"/>
        <w:gridCol w:w="1435"/>
        <w:gridCol w:w="2125"/>
        <w:gridCol w:w="2475"/>
      </w:tblGrid>
      <w:tr>
        <w:tblPrEx>
          <w:tblCellMar>
            <w:top w:w="0" w:type="dxa"/>
            <w:left w:w="0" w:type="dxa"/>
            <w:bottom w:w="0" w:type="dxa"/>
            <w:right w:w="0" w:type="dxa"/>
          </w:tblCellMar>
        </w:tblPrEx>
        <w:trPr>
          <w:trHeight w:val="499" w:hRule="atLeast"/>
        </w:trPr>
        <w:tc>
          <w:tcPr>
            <w:tcW w:w="30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分档累进计费标准</w:t>
            </w:r>
          </w:p>
        </w:tc>
        <w:tc>
          <w:tcPr>
            <w:tcW w:w="6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施工清单预算编制费</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6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sz w:val="24"/>
                <w:lang w:val="en-US" w:eastAsia="zh-CN"/>
              </w:rPr>
              <w:t>17996.11</w:t>
            </w:r>
            <w:r>
              <w:rPr>
                <w:rFonts w:hint="eastAsia" w:ascii="宋体" w:hAnsi="宋体" w:eastAsia="宋体" w:cs="宋体"/>
                <w:i w:val="0"/>
                <w:color w:val="000000"/>
                <w:kern w:val="0"/>
                <w:sz w:val="20"/>
                <w:szCs w:val="20"/>
                <w:u w:val="none"/>
                <w:lang w:val="en-US" w:eastAsia="zh-CN" w:bidi="ar"/>
              </w:rPr>
              <w:t>万元（</w:t>
            </w:r>
            <w:r>
              <w:rPr>
                <w:rFonts w:hint="eastAsia" w:ascii="宋体" w:hAnsi="宋体" w:eastAsia="宋体" w:cs="宋体"/>
                <w:i w:val="0"/>
                <w:color w:val="000000"/>
                <w:sz w:val="20"/>
                <w:szCs w:val="20"/>
                <w:u w:val="none"/>
                <w:lang w:val="en-US" w:eastAsia="zh-CN"/>
              </w:rPr>
              <w:t>定额建安费下浮10%</w:t>
            </w: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499" w:hRule="atLeast"/>
        </w:trPr>
        <w:tc>
          <w:tcPr>
            <w:tcW w:w="30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费率</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费额累计</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501-1000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1001-2000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2001-5000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5001-10000   万元</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23.580万元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 万元以上</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2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14.39万元</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37.97万元</w:t>
            </w:r>
          </w:p>
        </w:tc>
      </w:tr>
      <w:tr>
        <w:tblPrEx>
          <w:tblCellMar>
            <w:top w:w="0" w:type="dxa"/>
            <w:left w:w="0" w:type="dxa"/>
            <w:bottom w:w="0" w:type="dxa"/>
            <w:right w:w="0" w:type="dxa"/>
          </w:tblCellMar>
        </w:tblPrEx>
        <w:trPr>
          <w:trHeight w:val="499" w:hRule="atLeast"/>
        </w:trPr>
        <w:tc>
          <w:tcPr>
            <w:tcW w:w="30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计</w:t>
            </w:r>
          </w:p>
        </w:tc>
        <w:tc>
          <w:tcPr>
            <w:tcW w:w="6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37.97万元</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0" w:beforeLines="50" w:line="312" w:lineRule="auto"/>
        <w:ind w:firstLine="440" w:firstLineChars="200"/>
        <w:textAlignment w:val="baseline"/>
        <w:rPr>
          <w:rFonts w:hint="eastAsia" w:ascii="宋体" w:hAnsi="宋体"/>
          <w:b/>
          <w:bCs/>
          <w:sz w:val="24"/>
          <w:u w:val="single"/>
          <w:lang w:val="en-US" w:eastAsia="zh-CN"/>
        </w:rPr>
      </w:pPr>
      <w:r>
        <w:rPr>
          <w:rFonts w:hint="eastAsia" w:ascii="宋体" w:hAnsi="宋体" w:cs="宋体"/>
          <w:sz w:val="22"/>
          <w:szCs w:val="22"/>
          <w:highlight w:val="none"/>
          <w:lang w:val="en-US" w:eastAsia="zh-CN"/>
        </w:rPr>
        <w:t>注：收费按标准收费下浮40%计算。</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line="312" w:lineRule="auto"/>
        <w:ind w:firstLine="480" w:firstLineChars="200"/>
        <w:textAlignment w:val="baseline"/>
        <w:rPr>
          <w:rFonts w:hint="eastAsia" w:ascii="宋体" w:hAnsi="宋体"/>
          <w:b/>
          <w:bCs/>
          <w:sz w:val="24"/>
          <w:highlight w:val="none"/>
          <w:u w:val="single"/>
          <w:lang w:val="en-US" w:eastAsia="zh-CN"/>
        </w:rPr>
      </w:pPr>
      <w:r>
        <w:rPr>
          <w:rFonts w:hint="eastAsia" w:ascii="宋体" w:hAnsi="宋体"/>
          <w:b/>
          <w:bCs/>
          <w:sz w:val="24"/>
          <w:u w:val="single"/>
          <w:lang w:val="en-US" w:eastAsia="zh-CN"/>
        </w:rPr>
        <w:t>2.4本项目勘察设计费=前期工作费-项目建议书和工程可行性研究报告编制-招标代理费=492.3967-2</w:t>
      </w:r>
      <w:r>
        <w:rPr>
          <w:rFonts w:hint="eastAsia" w:ascii="宋体" w:hAnsi="宋体"/>
          <w:b/>
          <w:bCs/>
          <w:sz w:val="24"/>
          <w:highlight w:val="none"/>
          <w:u w:val="single"/>
          <w:lang w:val="en-US" w:eastAsia="zh-CN"/>
        </w:rPr>
        <w:t>7.2-39.862=425.3347万元。</w:t>
      </w:r>
    </w:p>
    <w:p>
      <w:pPr>
        <w:pStyle w:val="9"/>
        <w:ind w:left="0" w:leftChars="0" w:firstLine="480" w:firstLineChars="200"/>
        <w:rPr>
          <w:rFonts w:hint="eastAsia" w:ascii="宋体" w:hAnsi="宋体" w:eastAsia="Arial" w:cs="Arial"/>
          <w:b/>
          <w:bCs/>
          <w:snapToGrid w:val="0"/>
          <w:color w:val="000000"/>
          <w:kern w:val="0"/>
          <w:sz w:val="24"/>
          <w:szCs w:val="24"/>
          <w:u w:val="single"/>
          <w:lang w:val="en-US" w:eastAsia="zh-CN"/>
        </w:rPr>
      </w:pPr>
      <w:r>
        <w:rPr>
          <w:rFonts w:hint="eastAsia" w:ascii="宋体" w:hAnsi="宋体" w:eastAsia="Arial" w:cs="Arial"/>
          <w:b/>
          <w:bCs/>
          <w:snapToGrid w:val="0"/>
          <w:color w:val="000000"/>
          <w:kern w:val="0"/>
          <w:sz w:val="24"/>
          <w:szCs w:val="24"/>
          <w:u w:val="single"/>
          <w:lang w:val="en-US" w:eastAsia="zh-CN"/>
        </w:rPr>
        <w:t>根据</w:t>
      </w:r>
      <w:r>
        <w:rPr>
          <w:rFonts w:hint="default" w:ascii="宋体" w:hAnsi="宋体" w:eastAsia="Arial" w:cs="Arial"/>
          <w:b/>
          <w:bCs/>
          <w:snapToGrid w:val="0"/>
          <w:color w:val="000000"/>
          <w:kern w:val="0"/>
          <w:sz w:val="24"/>
          <w:szCs w:val="24"/>
          <w:u w:val="single"/>
          <w:lang w:val="en-US" w:eastAsia="zh-CN"/>
        </w:rPr>
        <w:t xml:space="preserve">嵊政办发明电〔2023〕30号 </w:t>
      </w:r>
      <w:r>
        <w:rPr>
          <w:rFonts w:hint="eastAsia" w:ascii="宋体" w:hAnsi="宋体" w:eastAsia="Arial" w:cs="Arial"/>
          <w:b/>
          <w:bCs/>
          <w:snapToGrid w:val="0"/>
          <w:color w:val="000000"/>
          <w:kern w:val="0"/>
          <w:sz w:val="24"/>
          <w:szCs w:val="24"/>
          <w:u w:val="single"/>
          <w:lang w:val="en-US" w:eastAsia="zh-CN"/>
        </w:rPr>
        <w:t>文件规定，本项目勘察设计费最高限价为：</w:t>
      </w:r>
    </w:p>
    <w:p>
      <w:pPr>
        <w:pStyle w:val="9"/>
        <w:ind w:left="0" w:leftChars="0" w:firstLine="480" w:firstLineChars="200"/>
        <w:rPr>
          <w:rFonts w:hint="default" w:ascii="宋体" w:hAnsi="宋体" w:eastAsia="Arial" w:cs="Arial"/>
          <w:b/>
          <w:bCs/>
          <w:snapToGrid w:val="0"/>
          <w:color w:val="000000"/>
          <w:kern w:val="0"/>
          <w:sz w:val="24"/>
          <w:szCs w:val="24"/>
          <w:highlight w:val="none"/>
          <w:u w:val="single"/>
          <w:lang w:val="en-US" w:eastAsia="zh-CN"/>
        </w:rPr>
      </w:pPr>
      <w:r>
        <w:rPr>
          <w:rFonts w:hint="eastAsia" w:ascii="宋体" w:hAnsi="宋体"/>
          <w:b/>
          <w:bCs/>
          <w:sz w:val="24"/>
          <w:highlight w:val="none"/>
          <w:u w:val="single"/>
          <w:lang w:val="en-US" w:eastAsia="zh-CN"/>
        </w:rPr>
        <w:t>425.3347</w:t>
      </w:r>
      <w:r>
        <w:rPr>
          <w:rFonts w:hint="eastAsia" w:ascii="宋体" w:hAnsi="宋体" w:eastAsia="Arial" w:cs="Arial"/>
          <w:b/>
          <w:bCs/>
          <w:snapToGrid w:val="0"/>
          <w:color w:val="000000"/>
          <w:kern w:val="0"/>
          <w:sz w:val="24"/>
          <w:szCs w:val="24"/>
          <w:highlight w:val="none"/>
          <w:u w:val="single"/>
          <w:lang w:val="en-US" w:eastAsia="zh-CN"/>
        </w:rPr>
        <w:t>*（1-8%）=</w:t>
      </w:r>
      <w:r>
        <w:rPr>
          <w:rFonts w:hint="eastAsia" w:ascii="宋体" w:hAnsi="宋体" w:cs="Arial"/>
          <w:b/>
          <w:bCs/>
          <w:snapToGrid w:val="0"/>
          <w:color w:val="000000"/>
          <w:kern w:val="0"/>
          <w:sz w:val="24"/>
          <w:szCs w:val="24"/>
          <w:highlight w:val="none"/>
          <w:u w:val="single"/>
          <w:lang w:val="en-US" w:eastAsia="zh-CN"/>
        </w:rPr>
        <w:t>391.307</w:t>
      </w:r>
      <w:bookmarkStart w:id="4" w:name="_GoBack"/>
      <w:bookmarkEnd w:id="4"/>
      <w:r>
        <w:rPr>
          <w:rFonts w:hint="eastAsia" w:ascii="宋体" w:hAnsi="宋体" w:cs="Arial"/>
          <w:b/>
          <w:bCs/>
          <w:snapToGrid w:val="0"/>
          <w:color w:val="000000"/>
          <w:kern w:val="0"/>
          <w:sz w:val="24"/>
          <w:szCs w:val="24"/>
          <w:highlight w:val="none"/>
          <w:u w:val="single"/>
          <w:lang w:val="en-US" w:eastAsia="zh-CN"/>
        </w:rPr>
        <w:t>9</w:t>
      </w:r>
      <w:r>
        <w:rPr>
          <w:rFonts w:hint="eastAsia" w:ascii="宋体" w:hAnsi="宋体" w:eastAsia="Arial" w:cs="Arial"/>
          <w:b/>
          <w:bCs/>
          <w:snapToGrid w:val="0"/>
          <w:color w:val="000000"/>
          <w:kern w:val="0"/>
          <w:sz w:val="24"/>
          <w:szCs w:val="24"/>
          <w:highlight w:val="none"/>
          <w:u w:val="single"/>
          <w:lang w:val="en-US" w:eastAsia="zh-CN"/>
        </w:rPr>
        <w:t>万元</w:t>
      </w:r>
    </w:p>
    <w:sectPr>
      <w:footerReference r:id="rId5" w:type="default"/>
      <w:pgSz w:w="11906" w:h="16839"/>
      <w:pgMar w:top="1431" w:right="1497" w:bottom="1440" w:left="1396" w:header="0" w:footer="99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Y2ZjA5OGI0ZGQzYWU5OWY5MGE3NThiMDY4MzFiNWQifQ=="/>
  </w:docVars>
  <w:rsids>
    <w:rsidRoot w:val="00000000"/>
    <w:rsid w:val="00BF026B"/>
    <w:rsid w:val="00F41A51"/>
    <w:rsid w:val="02904E6B"/>
    <w:rsid w:val="03541CED"/>
    <w:rsid w:val="045A1EA0"/>
    <w:rsid w:val="055B15DD"/>
    <w:rsid w:val="10710EEE"/>
    <w:rsid w:val="10F6644C"/>
    <w:rsid w:val="146227C6"/>
    <w:rsid w:val="19A010FF"/>
    <w:rsid w:val="1BDB7830"/>
    <w:rsid w:val="1D1F3096"/>
    <w:rsid w:val="20B92D3D"/>
    <w:rsid w:val="24912949"/>
    <w:rsid w:val="27201D62"/>
    <w:rsid w:val="2F052166"/>
    <w:rsid w:val="2F075B58"/>
    <w:rsid w:val="35573F8C"/>
    <w:rsid w:val="39E918FB"/>
    <w:rsid w:val="44614A6F"/>
    <w:rsid w:val="46D40150"/>
    <w:rsid w:val="4A370351"/>
    <w:rsid w:val="4CD600DF"/>
    <w:rsid w:val="4DD3196C"/>
    <w:rsid w:val="4E031912"/>
    <w:rsid w:val="4F1D3AC9"/>
    <w:rsid w:val="54C04054"/>
    <w:rsid w:val="59177B43"/>
    <w:rsid w:val="5A155AFF"/>
    <w:rsid w:val="5A3477F8"/>
    <w:rsid w:val="5A8B3768"/>
    <w:rsid w:val="5BEA640D"/>
    <w:rsid w:val="5C4C6046"/>
    <w:rsid w:val="5C6550CC"/>
    <w:rsid w:val="5DED253E"/>
    <w:rsid w:val="62916E3A"/>
    <w:rsid w:val="6B297730"/>
    <w:rsid w:val="75A77BF7"/>
    <w:rsid w:val="766F5401"/>
    <w:rsid w:val="7C1939AF"/>
    <w:rsid w:val="7DC75C09"/>
    <w:rsid w:val="7E671FD9"/>
    <w:rsid w:val="7F9B5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b/>
      <w:bCs/>
      <w:kern w:val="0"/>
      <w:sz w:val="36"/>
      <w:szCs w:val="32"/>
    </w:rPr>
  </w:style>
  <w:style w:type="paragraph" w:styleId="5">
    <w:name w:val="heading 3"/>
    <w:basedOn w:val="1"/>
    <w:next w:val="1"/>
    <w:autoRedefine/>
    <w:qFormat/>
    <w:uiPriority w:val="1"/>
    <w:pPr>
      <w:ind w:left="138"/>
      <w:outlineLvl w:val="2"/>
    </w:pPr>
    <w:rPr>
      <w:b/>
      <w:bCs/>
      <w:sz w:val="24"/>
      <w:szCs w:val="2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autoRedefine/>
    <w:qFormat/>
    <w:uiPriority w:val="1"/>
    <w:rPr>
      <w:sz w:val="24"/>
      <w:szCs w:val="24"/>
    </w:rPr>
  </w:style>
  <w:style w:type="paragraph" w:styleId="6">
    <w:name w:val="Body Text Indent"/>
    <w:basedOn w:val="1"/>
    <w:next w:val="1"/>
    <w:autoRedefine/>
    <w:qFormat/>
    <w:uiPriority w:val="0"/>
    <w:pPr>
      <w:spacing w:after="120" w:afterLines="0" w:afterAutospacing="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autoRedefine/>
    <w:qFormat/>
    <w:uiPriority w:val="0"/>
    <w:pPr>
      <w:ind w:left="200" w:firstLine="200" w:firstLineChars="200"/>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Table Paragraph"/>
    <w:basedOn w:val="1"/>
    <w:autoRedefine/>
    <w:qFormat/>
    <w:uiPriority w:val="1"/>
  </w:style>
  <w:style w:type="paragraph" w:customStyle="1" w:styleId="15">
    <w:name w:val="p0"/>
    <w:basedOn w:val="1"/>
    <w:autoRedefine/>
    <w:qFormat/>
    <w:uiPriority w:val="0"/>
    <w:pPr>
      <w:widowControl/>
    </w:pPr>
    <w:rPr>
      <w:rFonts w:cs="宋体"/>
      <w:kern w:val="0"/>
      <w:sz w:val="24"/>
      <w:szCs w:val="24"/>
    </w:rPr>
  </w:style>
  <w:style w:type="paragraph" w:customStyle="1" w:styleId="16">
    <w:name w:val="Table Text"/>
    <w:basedOn w:val="1"/>
    <w:autoRedefine/>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2303</Words>
  <Characters>2743</Characters>
  <TotalTime>7</TotalTime>
  <ScaleCrop>false</ScaleCrop>
  <LinksUpToDate>false</LinksUpToDate>
  <CharactersWithSpaces>2867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2022-07-08T15:31:00Z</dcterms:created>
  <dc:creator>jzt</dc:creator>
  <cp:lastModifiedBy>落叶吻秋风</cp:lastModifiedBy>
  <cp:lastPrinted>2024-01-30T01:59:39Z</cp:lastPrinted>
  <dcterms:modified xsi:type="dcterms:W3CDTF">2024-01-30T02:06:12Z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2023-02-24T14:49:20Z</vt:filetime>
  </property>
  <property fmtid="{D5CDD505-2E9C-101B-9397-08002B2CF9AE}" pid="4" name="KSOProductBuildVer">
    <vt:lpwstr>2052-12.1.0.16250</vt:lpwstr>
  </property>
  <property fmtid="{D5CDD505-2E9C-101B-9397-08002B2CF9AE}" pid="5" name="ICV">
    <vt:lpwstr>7CD5D98DFFF2451396244BA83E098E3C</vt:lpwstr>
  </property>
</Properties>
</file>